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965D2F" w14:textId="77777777" w:rsidR="00A70E6F" w:rsidRDefault="00A70E6F" w:rsidP="00A70E6F">
      <w:pPr>
        <w:jc w:val="center"/>
        <w:rPr>
          <w:b/>
          <w:bCs/>
          <w:sz w:val="48"/>
          <w:szCs w:val="48"/>
          <w:lang w:eastAsia="pt-BR"/>
        </w:rPr>
      </w:pPr>
    </w:p>
    <w:p w14:paraId="5EAC1F2B" w14:textId="77777777" w:rsidR="00A70E6F" w:rsidRDefault="00A70E6F" w:rsidP="00A70E6F">
      <w:pPr>
        <w:jc w:val="center"/>
        <w:rPr>
          <w:b/>
          <w:bCs/>
          <w:sz w:val="48"/>
          <w:szCs w:val="48"/>
          <w:lang w:eastAsia="pt-BR"/>
        </w:rPr>
      </w:pPr>
    </w:p>
    <w:p w14:paraId="5C65FBB2" w14:textId="77777777" w:rsidR="00A70E6F" w:rsidRDefault="00A70E6F" w:rsidP="00A70E6F">
      <w:pPr>
        <w:jc w:val="center"/>
        <w:rPr>
          <w:b/>
          <w:bCs/>
          <w:sz w:val="48"/>
          <w:szCs w:val="48"/>
          <w:lang w:eastAsia="pt-BR"/>
        </w:rPr>
      </w:pPr>
    </w:p>
    <w:p w14:paraId="6B3FBDD8" w14:textId="77777777" w:rsidR="00ED2E2C" w:rsidRDefault="00ED2E2C" w:rsidP="00A70E6F">
      <w:pPr>
        <w:jc w:val="center"/>
        <w:rPr>
          <w:b/>
          <w:bCs/>
          <w:sz w:val="48"/>
          <w:szCs w:val="48"/>
          <w:lang w:eastAsia="pt-BR"/>
        </w:rPr>
      </w:pPr>
      <w:bookmarkStart w:id="0" w:name="_Toc229405420"/>
      <w:r>
        <w:rPr>
          <w:rFonts w:ascii="Times New Roman"/>
          <w:noProof/>
          <w:sz w:val="20"/>
        </w:rPr>
        <w:drawing>
          <wp:inline distT="0" distB="0" distL="0" distR="0" wp14:anchorId="3D568DA4" wp14:editId="3C84B421">
            <wp:extent cx="4702871" cy="1190148"/>
            <wp:effectExtent l="0" t="0" r="0" b="0"/>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8" cstate="print"/>
                    <a:stretch>
                      <a:fillRect/>
                    </a:stretch>
                  </pic:blipFill>
                  <pic:spPr>
                    <a:xfrm>
                      <a:off x="0" y="0"/>
                      <a:ext cx="4702871" cy="1190148"/>
                    </a:xfrm>
                    <a:prstGeom prst="rect">
                      <a:avLst/>
                    </a:prstGeom>
                  </pic:spPr>
                </pic:pic>
              </a:graphicData>
            </a:graphic>
          </wp:inline>
        </w:drawing>
      </w:r>
      <w:bookmarkEnd w:id="0"/>
    </w:p>
    <w:p w14:paraId="7C722B81" w14:textId="77777777" w:rsidR="00ED2E2C" w:rsidRDefault="00ED2E2C" w:rsidP="00A70E6F">
      <w:pPr>
        <w:jc w:val="center"/>
        <w:rPr>
          <w:b/>
          <w:bCs/>
          <w:sz w:val="48"/>
          <w:szCs w:val="48"/>
          <w:lang w:eastAsia="pt-BR"/>
        </w:rPr>
      </w:pPr>
    </w:p>
    <w:p w14:paraId="57111F06" w14:textId="77777777" w:rsidR="00ED2E2C" w:rsidRDefault="00ED2E2C" w:rsidP="00A70E6F">
      <w:pPr>
        <w:jc w:val="center"/>
        <w:rPr>
          <w:b/>
          <w:bCs/>
          <w:sz w:val="48"/>
          <w:szCs w:val="48"/>
          <w:lang w:eastAsia="pt-BR"/>
        </w:rPr>
      </w:pPr>
    </w:p>
    <w:p w14:paraId="62710475" w14:textId="42FBF5CA" w:rsidR="00A70E6F" w:rsidRDefault="00CF7ABE" w:rsidP="00A70E6F">
      <w:pPr>
        <w:jc w:val="center"/>
        <w:rPr>
          <w:b/>
          <w:bCs/>
          <w:sz w:val="48"/>
          <w:szCs w:val="48"/>
          <w:lang w:eastAsia="pt-BR"/>
        </w:rPr>
      </w:pPr>
      <w:r w:rsidRPr="00A70E6F">
        <w:rPr>
          <w:b/>
          <w:bCs/>
          <w:sz w:val="48"/>
          <w:szCs w:val="48"/>
          <w:lang w:eastAsia="pt-BR"/>
        </w:rPr>
        <w:t>CADERNO</w:t>
      </w:r>
    </w:p>
    <w:p w14:paraId="7B368D86" w14:textId="0F7DA6B4" w:rsidR="00CF7ABE" w:rsidRPr="00A70E6F" w:rsidRDefault="00CF7ABE" w:rsidP="00A70E6F">
      <w:pPr>
        <w:jc w:val="center"/>
        <w:rPr>
          <w:b/>
          <w:bCs/>
          <w:sz w:val="48"/>
          <w:szCs w:val="48"/>
          <w:lang w:eastAsia="pt-BR"/>
        </w:rPr>
      </w:pPr>
      <w:r w:rsidRPr="00A70E6F">
        <w:rPr>
          <w:b/>
          <w:bCs/>
          <w:sz w:val="48"/>
          <w:szCs w:val="48"/>
          <w:lang w:eastAsia="pt-BR"/>
        </w:rPr>
        <w:t>ECONÔMICO-FINANCEIRO DA PPP</w:t>
      </w:r>
    </w:p>
    <w:p w14:paraId="0F015B37" w14:textId="77777777" w:rsidR="00ED2E2C" w:rsidRDefault="00CF7ABE" w:rsidP="00A70E6F">
      <w:pPr>
        <w:jc w:val="center"/>
        <w:rPr>
          <w:b/>
          <w:bCs/>
          <w:sz w:val="32"/>
          <w:szCs w:val="32"/>
          <w:lang w:eastAsia="pt-BR"/>
        </w:rPr>
      </w:pPr>
      <w:r w:rsidRPr="00A70E6F">
        <w:rPr>
          <w:b/>
          <w:bCs/>
          <w:sz w:val="32"/>
          <w:szCs w:val="32"/>
          <w:lang w:eastAsia="pt-BR"/>
        </w:rPr>
        <w:t>Planta Industrial de Destinação/Tratamento</w:t>
      </w:r>
    </w:p>
    <w:p w14:paraId="76E035FA" w14:textId="3B4F13B6" w:rsidR="00CF7ABE" w:rsidRDefault="00CF7ABE" w:rsidP="00ED2E2C">
      <w:pPr>
        <w:jc w:val="center"/>
        <w:rPr>
          <w:b/>
          <w:bCs/>
          <w:sz w:val="32"/>
          <w:szCs w:val="32"/>
          <w:lang w:eastAsia="pt-BR"/>
        </w:rPr>
      </w:pPr>
      <w:r w:rsidRPr="00A70E6F">
        <w:rPr>
          <w:b/>
          <w:bCs/>
          <w:sz w:val="32"/>
          <w:szCs w:val="32"/>
          <w:lang w:eastAsia="pt-BR"/>
        </w:rPr>
        <w:t>de RSU</w:t>
      </w:r>
      <w:r w:rsidR="00ED2E2C">
        <w:rPr>
          <w:b/>
          <w:bCs/>
          <w:sz w:val="32"/>
          <w:szCs w:val="32"/>
          <w:lang w:eastAsia="pt-BR"/>
        </w:rPr>
        <w:t xml:space="preserve"> </w:t>
      </w:r>
      <w:r w:rsidRPr="00A70E6F">
        <w:rPr>
          <w:b/>
          <w:bCs/>
          <w:sz w:val="32"/>
          <w:szCs w:val="32"/>
          <w:lang w:eastAsia="pt-BR"/>
        </w:rPr>
        <w:t>com Integração Energética</w:t>
      </w:r>
    </w:p>
    <w:p w14:paraId="11AE2F42" w14:textId="77777777" w:rsidR="00B90978" w:rsidRDefault="00B90978" w:rsidP="00ED2E2C">
      <w:pPr>
        <w:jc w:val="center"/>
        <w:rPr>
          <w:b/>
          <w:bCs/>
          <w:sz w:val="32"/>
          <w:szCs w:val="32"/>
          <w:lang w:eastAsia="pt-BR"/>
        </w:rPr>
      </w:pPr>
    </w:p>
    <w:p w14:paraId="57A05C68" w14:textId="5B7A4A32" w:rsidR="00B90978" w:rsidRPr="00A70E6F" w:rsidRDefault="00B90978" w:rsidP="00ED2E2C">
      <w:pPr>
        <w:jc w:val="center"/>
        <w:rPr>
          <w:b/>
          <w:bCs/>
          <w:sz w:val="32"/>
          <w:szCs w:val="32"/>
          <w:lang w:eastAsia="pt-BR"/>
        </w:rPr>
      </w:pPr>
      <w:r>
        <w:rPr>
          <w:b/>
          <w:bCs/>
          <w:sz w:val="32"/>
          <w:szCs w:val="32"/>
          <w:lang w:eastAsia="pt-BR"/>
        </w:rPr>
        <w:t>RIBEIRA DO POMBAL</w:t>
      </w:r>
    </w:p>
    <w:p w14:paraId="42354AA4" w14:textId="77777777" w:rsidR="00B74E01" w:rsidRDefault="00B74E01" w:rsidP="00B74E01">
      <w:pPr>
        <w:spacing w:before="100" w:beforeAutospacing="1" w:after="100" w:afterAutospacing="1" w:line="360" w:lineRule="auto"/>
        <w:ind w:firstLine="709"/>
        <w:jc w:val="both"/>
        <w:outlineLvl w:val="0"/>
        <w:rPr>
          <w:rFonts w:eastAsia="Times New Roman" w:cs="Arial"/>
          <w:kern w:val="0"/>
          <w:lang w:eastAsia="pt-BR"/>
          <w14:ligatures w14:val="none"/>
        </w:rPr>
      </w:pPr>
    </w:p>
    <w:p w14:paraId="113C97F3" w14:textId="77777777" w:rsidR="00B74E01" w:rsidRDefault="00B74E01" w:rsidP="00B74E01">
      <w:pPr>
        <w:spacing w:before="100" w:beforeAutospacing="1" w:after="100" w:afterAutospacing="1" w:line="360" w:lineRule="auto"/>
        <w:ind w:firstLine="709"/>
        <w:jc w:val="both"/>
        <w:outlineLvl w:val="0"/>
        <w:rPr>
          <w:rFonts w:eastAsia="Times New Roman" w:cs="Arial"/>
          <w:kern w:val="0"/>
          <w:lang w:eastAsia="pt-BR"/>
          <w14:ligatures w14:val="none"/>
        </w:rPr>
      </w:pPr>
    </w:p>
    <w:p w14:paraId="33A4B28E" w14:textId="77777777" w:rsidR="00B74E01" w:rsidRDefault="00B74E01" w:rsidP="00B74E01">
      <w:pPr>
        <w:spacing w:before="100" w:beforeAutospacing="1" w:after="100" w:afterAutospacing="1" w:line="360" w:lineRule="auto"/>
        <w:ind w:firstLine="709"/>
        <w:jc w:val="both"/>
        <w:outlineLvl w:val="0"/>
        <w:rPr>
          <w:rFonts w:eastAsia="Times New Roman" w:cs="Arial"/>
          <w:kern w:val="0"/>
          <w:lang w:eastAsia="pt-BR"/>
          <w14:ligatures w14:val="none"/>
        </w:rPr>
      </w:pPr>
    </w:p>
    <w:p w14:paraId="7520B470" w14:textId="77777777" w:rsidR="00B74E01" w:rsidRDefault="00B74E01" w:rsidP="00B74E01">
      <w:pPr>
        <w:spacing w:before="100" w:beforeAutospacing="1" w:after="100" w:afterAutospacing="1" w:line="360" w:lineRule="auto"/>
        <w:ind w:firstLine="709"/>
        <w:jc w:val="both"/>
        <w:outlineLvl w:val="0"/>
        <w:rPr>
          <w:rFonts w:eastAsia="Times New Roman" w:cs="Arial"/>
          <w:kern w:val="0"/>
          <w:lang w:eastAsia="pt-BR"/>
          <w14:ligatures w14:val="none"/>
        </w:rPr>
      </w:pPr>
    </w:p>
    <w:p w14:paraId="1CF18176" w14:textId="77777777" w:rsidR="00B74E01" w:rsidRDefault="00B74E01" w:rsidP="002D5E24">
      <w:pPr>
        <w:spacing w:before="100" w:beforeAutospacing="1" w:after="100" w:afterAutospacing="1" w:line="360" w:lineRule="auto"/>
        <w:jc w:val="both"/>
        <w:outlineLvl w:val="0"/>
        <w:rPr>
          <w:rFonts w:eastAsia="Times New Roman" w:cs="Arial"/>
          <w:kern w:val="0"/>
          <w:lang w:eastAsia="pt-BR"/>
          <w14:ligatures w14:val="none"/>
        </w:rPr>
      </w:pPr>
    </w:p>
    <w:p w14:paraId="3ED54A42" w14:textId="77777777" w:rsidR="00B74E01" w:rsidRDefault="00B74E01" w:rsidP="00B74E01">
      <w:pPr>
        <w:spacing w:before="100" w:beforeAutospacing="1" w:after="100" w:afterAutospacing="1" w:line="360" w:lineRule="auto"/>
        <w:ind w:firstLine="709"/>
        <w:jc w:val="both"/>
        <w:outlineLvl w:val="0"/>
        <w:rPr>
          <w:rFonts w:eastAsia="Times New Roman" w:cs="Arial"/>
          <w:kern w:val="0"/>
          <w:lang w:eastAsia="pt-BR"/>
          <w14:ligatures w14:val="none"/>
        </w:rPr>
      </w:pPr>
    </w:p>
    <w:sdt>
      <w:sdtPr>
        <w:rPr>
          <w:rFonts w:ascii="Arial" w:eastAsiaTheme="minorHAnsi" w:hAnsi="Arial" w:cstheme="minorBidi"/>
          <w:color w:val="auto"/>
          <w:kern w:val="2"/>
          <w:sz w:val="24"/>
          <w:szCs w:val="24"/>
          <w:lang w:eastAsia="en-US"/>
          <w14:ligatures w14:val="standardContextual"/>
        </w:rPr>
        <w:id w:val="-1337074233"/>
        <w:docPartObj>
          <w:docPartGallery w:val="Table of Contents"/>
          <w:docPartUnique/>
        </w:docPartObj>
      </w:sdtPr>
      <w:sdtEndPr>
        <w:rPr>
          <w:b/>
          <w:bCs/>
        </w:rPr>
      </w:sdtEndPr>
      <w:sdtContent>
        <w:p w14:paraId="7A5DE57C" w14:textId="716B0A5B" w:rsidR="005578CF" w:rsidRPr="00514939" w:rsidRDefault="005578CF">
          <w:pPr>
            <w:pStyle w:val="CabealhodoSumrio"/>
            <w:rPr>
              <w:color w:val="000000" w:themeColor="text1"/>
            </w:rPr>
          </w:pPr>
          <w:r w:rsidRPr="00514939">
            <w:rPr>
              <w:color w:val="000000" w:themeColor="text1"/>
            </w:rPr>
            <w:t>Sumário</w:t>
          </w:r>
        </w:p>
        <w:p w14:paraId="3445EC1D" w14:textId="0425C39A" w:rsidR="00514939" w:rsidRDefault="005578CF">
          <w:pPr>
            <w:pStyle w:val="Sumrio1"/>
            <w:tabs>
              <w:tab w:val="right" w:leader="dot" w:pos="9061"/>
            </w:tabs>
            <w:rPr>
              <w:rFonts w:asciiTheme="minorHAnsi" w:eastAsiaTheme="minorEastAsia" w:hAnsiTheme="minorHAnsi"/>
              <w:noProof/>
              <w:lang w:eastAsia="pt-BR"/>
            </w:rPr>
          </w:pPr>
          <w:r>
            <w:fldChar w:fldCharType="begin"/>
          </w:r>
          <w:r>
            <w:instrText xml:space="preserve"> TOC \o "1-3" \h \z \u </w:instrText>
          </w:r>
          <w:r>
            <w:fldChar w:fldCharType="separate"/>
          </w:r>
          <w:hyperlink w:anchor="_Toc230204003" w:history="1">
            <w:r w:rsidR="00514939" w:rsidRPr="004A0D71">
              <w:rPr>
                <w:rStyle w:val="Hyperlink"/>
                <w:noProof/>
              </w:rPr>
              <w:t>1. Apresentação do Caderno Econômico-Financeiro</w:t>
            </w:r>
            <w:r w:rsidR="00514939">
              <w:rPr>
                <w:noProof/>
                <w:webHidden/>
              </w:rPr>
              <w:tab/>
            </w:r>
            <w:r w:rsidR="00514939">
              <w:rPr>
                <w:noProof/>
                <w:webHidden/>
              </w:rPr>
              <w:fldChar w:fldCharType="begin"/>
            </w:r>
            <w:r w:rsidR="00514939">
              <w:rPr>
                <w:noProof/>
                <w:webHidden/>
              </w:rPr>
              <w:instrText xml:space="preserve"> PAGEREF _Toc230204003 \h </w:instrText>
            </w:r>
            <w:r w:rsidR="00514939">
              <w:rPr>
                <w:noProof/>
                <w:webHidden/>
              </w:rPr>
            </w:r>
            <w:r w:rsidR="00514939">
              <w:rPr>
                <w:noProof/>
                <w:webHidden/>
              </w:rPr>
              <w:fldChar w:fldCharType="separate"/>
            </w:r>
            <w:r w:rsidR="00B90978">
              <w:rPr>
                <w:noProof/>
                <w:webHidden/>
              </w:rPr>
              <w:t>10</w:t>
            </w:r>
            <w:r w:rsidR="00514939">
              <w:rPr>
                <w:noProof/>
                <w:webHidden/>
              </w:rPr>
              <w:fldChar w:fldCharType="end"/>
            </w:r>
          </w:hyperlink>
        </w:p>
        <w:p w14:paraId="797FE8AD" w14:textId="17DB3C93" w:rsidR="00514939" w:rsidRDefault="00514939">
          <w:pPr>
            <w:pStyle w:val="Sumrio1"/>
            <w:tabs>
              <w:tab w:val="right" w:leader="dot" w:pos="9061"/>
            </w:tabs>
            <w:rPr>
              <w:rFonts w:asciiTheme="minorHAnsi" w:eastAsiaTheme="minorEastAsia" w:hAnsiTheme="minorHAnsi"/>
              <w:noProof/>
              <w:lang w:eastAsia="pt-BR"/>
            </w:rPr>
          </w:pPr>
          <w:hyperlink w:anchor="_Toc230204004" w:history="1">
            <w:r w:rsidRPr="004A0D71">
              <w:rPr>
                <w:rStyle w:val="Hyperlink"/>
                <w:noProof/>
              </w:rPr>
              <w:t>2. Objeto Econômico da PPP</w:t>
            </w:r>
            <w:r>
              <w:rPr>
                <w:noProof/>
                <w:webHidden/>
              </w:rPr>
              <w:tab/>
            </w:r>
            <w:r>
              <w:rPr>
                <w:noProof/>
                <w:webHidden/>
              </w:rPr>
              <w:fldChar w:fldCharType="begin"/>
            </w:r>
            <w:r>
              <w:rPr>
                <w:noProof/>
                <w:webHidden/>
              </w:rPr>
              <w:instrText xml:space="preserve"> PAGEREF _Toc230204004 \h </w:instrText>
            </w:r>
            <w:r>
              <w:rPr>
                <w:noProof/>
                <w:webHidden/>
              </w:rPr>
            </w:r>
            <w:r>
              <w:rPr>
                <w:noProof/>
                <w:webHidden/>
              </w:rPr>
              <w:fldChar w:fldCharType="separate"/>
            </w:r>
            <w:r w:rsidR="00B90978">
              <w:rPr>
                <w:noProof/>
                <w:webHidden/>
              </w:rPr>
              <w:t>12</w:t>
            </w:r>
            <w:r>
              <w:rPr>
                <w:noProof/>
                <w:webHidden/>
              </w:rPr>
              <w:fldChar w:fldCharType="end"/>
            </w:r>
          </w:hyperlink>
        </w:p>
        <w:p w14:paraId="3B0E3460" w14:textId="7B76D925" w:rsidR="00514939" w:rsidRDefault="00514939">
          <w:pPr>
            <w:pStyle w:val="Sumrio2"/>
            <w:tabs>
              <w:tab w:val="right" w:leader="dot" w:pos="9061"/>
            </w:tabs>
            <w:rPr>
              <w:rFonts w:asciiTheme="minorHAnsi" w:eastAsiaTheme="minorEastAsia" w:hAnsiTheme="minorHAnsi"/>
              <w:noProof/>
              <w:lang w:eastAsia="pt-BR"/>
            </w:rPr>
          </w:pPr>
          <w:hyperlink w:anchor="_Toc230204005" w:history="1">
            <w:r w:rsidRPr="004A0D71">
              <w:rPr>
                <w:rStyle w:val="Hyperlink"/>
                <w:noProof/>
              </w:rPr>
              <w:t>2.1. Componentes econômicos do objeto</w:t>
            </w:r>
            <w:r>
              <w:rPr>
                <w:noProof/>
                <w:webHidden/>
              </w:rPr>
              <w:tab/>
            </w:r>
            <w:r>
              <w:rPr>
                <w:noProof/>
                <w:webHidden/>
              </w:rPr>
              <w:fldChar w:fldCharType="begin"/>
            </w:r>
            <w:r>
              <w:rPr>
                <w:noProof/>
                <w:webHidden/>
              </w:rPr>
              <w:instrText xml:space="preserve"> PAGEREF _Toc230204005 \h </w:instrText>
            </w:r>
            <w:r>
              <w:rPr>
                <w:noProof/>
                <w:webHidden/>
              </w:rPr>
            </w:r>
            <w:r>
              <w:rPr>
                <w:noProof/>
                <w:webHidden/>
              </w:rPr>
              <w:fldChar w:fldCharType="separate"/>
            </w:r>
            <w:r w:rsidR="00B90978">
              <w:rPr>
                <w:noProof/>
                <w:webHidden/>
              </w:rPr>
              <w:t>13</w:t>
            </w:r>
            <w:r>
              <w:rPr>
                <w:noProof/>
                <w:webHidden/>
              </w:rPr>
              <w:fldChar w:fldCharType="end"/>
            </w:r>
          </w:hyperlink>
        </w:p>
        <w:p w14:paraId="2AFC26B6" w14:textId="462EF584" w:rsidR="00514939" w:rsidRDefault="00514939">
          <w:pPr>
            <w:pStyle w:val="Sumrio2"/>
            <w:tabs>
              <w:tab w:val="right" w:leader="dot" w:pos="9061"/>
            </w:tabs>
            <w:rPr>
              <w:rFonts w:asciiTheme="minorHAnsi" w:eastAsiaTheme="minorEastAsia" w:hAnsiTheme="minorHAnsi"/>
              <w:noProof/>
              <w:lang w:eastAsia="pt-BR"/>
            </w:rPr>
          </w:pPr>
          <w:hyperlink w:anchor="_Toc230204006" w:history="1">
            <w:r w:rsidRPr="004A0D71">
              <w:rPr>
                <w:rStyle w:val="Hyperlink"/>
                <w:noProof/>
              </w:rPr>
              <w:t>2.2. Natureza industrial da solução</w:t>
            </w:r>
            <w:r>
              <w:rPr>
                <w:noProof/>
                <w:webHidden/>
              </w:rPr>
              <w:tab/>
            </w:r>
            <w:r>
              <w:rPr>
                <w:noProof/>
                <w:webHidden/>
              </w:rPr>
              <w:fldChar w:fldCharType="begin"/>
            </w:r>
            <w:r>
              <w:rPr>
                <w:noProof/>
                <w:webHidden/>
              </w:rPr>
              <w:instrText xml:space="preserve"> PAGEREF _Toc230204006 \h </w:instrText>
            </w:r>
            <w:r>
              <w:rPr>
                <w:noProof/>
                <w:webHidden/>
              </w:rPr>
            </w:r>
            <w:r>
              <w:rPr>
                <w:noProof/>
                <w:webHidden/>
              </w:rPr>
              <w:fldChar w:fldCharType="separate"/>
            </w:r>
            <w:r w:rsidR="00B90978">
              <w:rPr>
                <w:noProof/>
                <w:webHidden/>
              </w:rPr>
              <w:t>14</w:t>
            </w:r>
            <w:r>
              <w:rPr>
                <w:noProof/>
                <w:webHidden/>
              </w:rPr>
              <w:fldChar w:fldCharType="end"/>
            </w:r>
          </w:hyperlink>
        </w:p>
        <w:p w14:paraId="2665D3CF" w14:textId="6096A14D" w:rsidR="00514939" w:rsidRDefault="00514939">
          <w:pPr>
            <w:pStyle w:val="Sumrio2"/>
            <w:tabs>
              <w:tab w:val="right" w:leader="dot" w:pos="9061"/>
            </w:tabs>
            <w:rPr>
              <w:rFonts w:asciiTheme="minorHAnsi" w:eastAsiaTheme="minorEastAsia" w:hAnsiTheme="minorHAnsi"/>
              <w:noProof/>
              <w:lang w:eastAsia="pt-BR"/>
            </w:rPr>
          </w:pPr>
          <w:hyperlink w:anchor="_Toc230204007" w:history="1">
            <w:r w:rsidRPr="004A0D71">
              <w:rPr>
                <w:rStyle w:val="Hyperlink"/>
                <w:noProof/>
              </w:rPr>
              <w:t>2.3. Diretriz de não confusão entre obrigação pública e risco empresarial</w:t>
            </w:r>
            <w:r>
              <w:rPr>
                <w:noProof/>
                <w:webHidden/>
              </w:rPr>
              <w:tab/>
            </w:r>
            <w:r>
              <w:rPr>
                <w:noProof/>
                <w:webHidden/>
              </w:rPr>
              <w:fldChar w:fldCharType="begin"/>
            </w:r>
            <w:r>
              <w:rPr>
                <w:noProof/>
                <w:webHidden/>
              </w:rPr>
              <w:instrText xml:space="preserve"> PAGEREF _Toc230204007 \h </w:instrText>
            </w:r>
            <w:r>
              <w:rPr>
                <w:noProof/>
                <w:webHidden/>
              </w:rPr>
            </w:r>
            <w:r>
              <w:rPr>
                <w:noProof/>
                <w:webHidden/>
              </w:rPr>
              <w:fldChar w:fldCharType="separate"/>
            </w:r>
            <w:r w:rsidR="00B90978">
              <w:rPr>
                <w:noProof/>
                <w:webHidden/>
              </w:rPr>
              <w:t>14</w:t>
            </w:r>
            <w:r>
              <w:rPr>
                <w:noProof/>
                <w:webHidden/>
              </w:rPr>
              <w:fldChar w:fldCharType="end"/>
            </w:r>
          </w:hyperlink>
        </w:p>
        <w:p w14:paraId="2B7B6ED0" w14:textId="3F6A943D" w:rsidR="00514939" w:rsidRDefault="00514939">
          <w:pPr>
            <w:pStyle w:val="Sumrio1"/>
            <w:tabs>
              <w:tab w:val="right" w:leader="dot" w:pos="9061"/>
            </w:tabs>
            <w:rPr>
              <w:rFonts w:asciiTheme="minorHAnsi" w:eastAsiaTheme="minorEastAsia" w:hAnsiTheme="minorHAnsi"/>
              <w:noProof/>
              <w:lang w:eastAsia="pt-BR"/>
            </w:rPr>
          </w:pPr>
          <w:hyperlink w:anchor="_Toc230204008" w:history="1">
            <w:r w:rsidRPr="004A0D71">
              <w:rPr>
                <w:rStyle w:val="Hyperlink"/>
                <w:noProof/>
              </w:rPr>
              <w:t>3. Quadro Geral dos Números do Projeto</w:t>
            </w:r>
            <w:r>
              <w:rPr>
                <w:noProof/>
                <w:webHidden/>
              </w:rPr>
              <w:tab/>
            </w:r>
            <w:r>
              <w:rPr>
                <w:noProof/>
                <w:webHidden/>
              </w:rPr>
              <w:fldChar w:fldCharType="begin"/>
            </w:r>
            <w:r>
              <w:rPr>
                <w:noProof/>
                <w:webHidden/>
              </w:rPr>
              <w:instrText xml:space="preserve"> PAGEREF _Toc230204008 \h </w:instrText>
            </w:r>
            <w:r>
              <w:rPr>
                <w:noProof/>
                <w:webHidden/>
              </w:rPr>
            </w:r>
            <w:r>
              <w:rPr>
                <w:noProof/>
                <w:webHidden/>
              </w:rPr>
              <w:fldChar w:fldCharType="separate"/>
            </w:r>
            <w:r w:rsidR="00B90978">
              <w:rPr>
                <w:noProof/>
                <w:webHidden/>
              </w:rPr>
              <w:t>15</w:t>
            </w:r>
            <w:r>
              <w:rPr>
                <w:noProof/>
                <w:webHidden/>
              </w:rPr>
              <w:fldChar w:fldCharType="end"/>
            </w:r>
          </w:hyperlink>
        </w:p>
        <w:p w14:paraId="3956E765" w14:textId="1B516FF1" w:rsidR="00514939" w:rsidRDefault="00514939">
          <w:pPr>
            <w:pStyle w:val="Sumrio2"/>
            <w:tabs>
              <w:tab w:val="right" w:leader="dot" w:pos="9061"/>
            </w:tabs>
            <w:rPr>
              <w:rFonts w:asciiTheme="minorHAnsi" w:eastAsiaTheme="minorEastAsia" w:hAnsiTheme="minorHAnsi"/>
              <w:noProof/>
              <w:lang w:eastAsia="pt-BR"/>
            </w:rPr>
          </w:pPr>
          <w:hyperlink w:anchor="_Toc230204009" w:history="1">
            <w:r w:rsidRPr="004A0D71">
              <w:rPr>
                <w:rStyle w:val="Hyperlink"/>
                <w:rFonts w:eastAsia="Times New Roman"/>
                <w:noProof/>
                <w:lang w:eastAsia="pt-BR"/>
              </w:rPr>
              <w:t>3.1. Premissas gerais</w:t>
            </w:r>
            <w:r>
              <w:rPr>
                <w:noProof/>
                <w:webHidden/>
              </w:rPr>
              <w:tab/>
            </w:r>
            <w:r>
              <w:rPr>
                <w:noProof/>
                <w:webHidden/>
              </w:rPr>
              <w:fldChar w:fldCharType="begin"/>
            </w:r>
            <w:r>
              <w:rPr>
                <w:noProof/>
                <w:webHidden/>
              </w:rPr>
              <w:instrText xml:space="preserve"> PAGEREF _Toc230204009 \h </w:instrText>
            </w:r>
            <w:r>
              <w:rPr>
                <w:noProof/>
                <w:webHidden/>
              </w:rPr>
            </w:r>
            <w:r>
              <w:rPr>
                <w:noProof/>
                <w:webHidden/>
              </w:rPr>
              <w:fldChar w:fldCharType="separate"/>
            </w:r>
            <w:r w:rsidR="00B90978">
              <w:rPr>
                <w:noProof/>
                <w:webHidden/>
              </w:rPr>
              <w:t>15</w:t>
            </w:r>
            <w:r>
              <w:rPr>
                <w:noProof/>
                <w:webHidden/>
              </w:rPr>
              <w:fldChar w:fldCharType="end"/>
            </w:r>
          </w:hyperlink>
        </w:p>
        <w:p w14:paraId="55F7F29E" w14:textId="20C68EC8" w:rsidR="00514939" w:rsidRDefault="00514939">
          <w:pPr>
            <w:pStyle w:val="Sumrio2"/>
            <w:tabs>
              <w:tab w:val="right" w:leader="dot" w:pos="9061"/>
            </w:tabs>
            <w:rPr>
              <w:rFonts w:asciiTheme="minorHAnsi" w:eastAsiaTheme="minorEastAsia" w:hAnsiTheme="minorHAnsi"/>
              <w:noProof/>
              <w:lang w:eastAsia="pt-BR"/>
            </w:rPr>
          </w:pPr>
          <w:hyperlink w:anchor="_Toc230204010" w:history="1">
            <w:r w:rsidRPr="004A0D71">
              <w:rPr>
                <w:rStyle w:val="Hyperlink"/>
                <w:rFonts w:eastAsia="Times New Roman"/>
                <w:noProof/>
                <w:lang w:eastAsia="pt-BR"/>
              </w:rPr>
              <w:t>3.2. Energia elétrica municipal</w:t>
            </w:r>
            <w:r>
              <w:rPr>
                <w:noProof/>
                <w:webHidden/>
              </w:rPr>
              <w:tab/>
            </w:r>
            <w:r>
              <w:rPr>
                <w:noProof/>
                <w:webHidden/>
              </w:rPr>
              <w:fldChar w:fldCharType="begin"/>
            </w:r>
            <w:r>
              <w:rPr>
                <w:noProof/>
                <w:webHidden/>
              </w:rPr>
              <w:instrText xml:space="preserve"> PAGEREF _Toc230204010 \h </w:instrText>
            </w:r>
            <w:r>
              <w:rPr>
                <w:noProof/>
                <w:webHidden/>
              </w:rPr>
            </w:r>
            <w:r>
              <w:rPr>
                <w:noProof/>
                <w:webHidden/>
              </w:rPr>
              <w:fldChar w:fldCharType="separate"/>
            </w:r>
            <w:r w:rsidR="00B90978">
              <w:rPr>
                <w:noProof/>
                <w:webHidden/>
              </w:rPr>
              <w:t>16</w:t>
            </w:r>
            <w:r>
              <w:rPr>
                <w:noProof/>
                <w:webHidden/>
              </w:rPr>
              <w:fldChar w:fldCharType="end"/>
            </w:r>
          </w:hyperlink>
        </w:p>
        <w:p w14:paraId="24238AF1" w14:textId="17063F4C" w:rsidR="00514939" w:rsidRDefault="00514939">
          <w:pPr>
            <w:pStyle w:val="Sumrio2"/>
            <w:tabs>
              <w:tab w:val="right" w:leader="dot" w:pos="9061"/>
            </w:tabs>
            <w:rPr>
              <w:rFonts w:asciiTheme="minorHAnsi" w:eastAsiaTheme="minorEastAsia" w:hAnsiTheme="minorHAnsi"/>
              <w:noProof/>
              <w:lang w:eastAsia="pt-BR"/>
            </w:rPr>
          </w:pPr>
          <w:hyperlink w:anchor="_Toc230204011" w:history="1">
            <w:r w:rsidRPr="004A0D71">
              <w:rPr>
                <w:rStyle w:val="Hyperlink"/>
                <w:rFonts w:eastAsia="Times New Roman"/>
                <w:noProof/>
                <w:lang w:eastAsia="pt-BR"/>
              </w:rPr>
              <w:t>3.3. Receitas principais da PPP</w:t>
            </w:r>
            <w:r>
              <w:rPr>
                <w:noProof/>
                <w:webHidden/>
              </w:rPr>
              <w:tab/>
            </w:r>
            <w:r>
              <w:rPr>
                <w:noProof/>
                <w:webHidden/>
              </w:rPr>
              <w:fldChar w:fldCharType="begin"/>
            </w:r>
            <w:r>
              <w:rPr>
                <w:noProof/>
                <w:webHidden/>
              </w:rPr>
              <w:instrText xml:space="preserve"> PAGEREF _Toc230204011 \h </w:instrText>
            </w:r>
            <w:r>
              <w:rPr>
                <w:noProof/>
                <w:webHidden/>
              </w:rPr>
            </w:r>
            <w:r>
              <w:rPr>
                <w:noProof/>
                <w:webHidden/>
              </w:rPr>
              <w:fldChar w:fldCharType="separate"/>
            </w:r>
            <w:r w:rsidR="00B90978">
              <w:rPr>
                <w:noProof/>
                <w:webHidden/>
              </w:rPr>
              <w:t>16</w:t>
            </w:r>
            <w:r>
              <w:rPr>
                <w:noProof/>
                <w:webHidden/>
              </w:rPr>
              <w:fldChar w:fldCharType="end"/>
            </w:r>
          </w:hyperlink>
        </w:p>
        <w:p w14:paraId="0295F67A" w14:textId="3A6DCF98" w:rsidR="00514939" w:rsidRDefault="00514939">
          <w:pPr>
            <w:pStyle w:val="Sumrio2"/>
            <w:tabs>
              <w:tab w:val="right" w:leader="dot" w:pos="9061"/>
            </w:tabs>
            <w:rPr>
              <w:rFonts w:asciiTheme="minorHAnsi" w:eastAsiaTheme="minorEastAsia" w:hAnsiTheme="minorHAnsi"/>
              <w:noProof/>
              <w:lang w:eastAsia="pt-BR"/>
            </w:rPr>
          </w:pPr>
          <w:hyperlink w:anchor="_Toc230204012" w:history="1">
            <w:r w:rsidRPr="004A0D71">
              <w:rPr>
                <w:rStyle w:val="Hyperlink"/>
                <w:rFonts w:eastAsia="Times New Roman"/>
                <w:noProof/>
                <w:lang w:eastAsia="pt-BR"/>
              </w:rPr>
              <w:t>3.4. Relação entre economia energética e custo do RSU</w:t>
            </w:r>
            <w:r>
              <w:rPr>
                <w:noProof/>
                <w:webHidden/>
              </w:rPr>
              <w:tab/>
            </w:r>
            <w:r>
              <w:rPr>
                <w:noProof/>
                <w:webHidden/>
              </w:rPr>
              <w:fldChar w:fldCharType="begin"/>
            </w:r>
            <w:r>
              <w:rPr>
                <w:noProof/>
                <w:webHidden/>
              </w:rPr>
              <w:instrText xml:space="preserve"> PAGEREF _Toc230204012 \h </w:instrText>
            </w:r>
            <w:r>
              <w:rPr>
                <w:noProof/>
                <w:webHidden/>
              </w:rPr>
            </w:r>
            <w:r>
              <w:rPr>
                <w:noProof/>
                <w:webHidden/>
              </w:rPr>
              <w:fldChar w:fldCharType="separate"/>
            </w:r>
            <w:r w:rsidR="00B90978">
              <w:rPr>
                <w:noProof/>
                <w:webHidden/>
              </w:rPr>
              <w:t>17</w:t>
            </w:r>
            <w:r>
              <w:rPr>
                <w:noProof/>
                <w:webHidden/>
              </w:rPr>
              <w:fldChar w:fldCharType="end"/>
            </w:r>
          </w:hyperlink>
        </w:p>
        <w:p w14:paraId="4E1D5F44" w14:textId="20310051" w:rsidR="00514939" w:rsidRDefault="00514939">
          <w:pPr>
            <w:pStyle w:val="Sumrio2"/>
            <w:tabs>
              <w:tab w:val="right" w:leader="dot" w:pos="9061"/>
            </w:tabs>
            <w:rPr>
              <w:rFonts w:asciiTheme="minorHAnsi" w:eastAsiaTheme="minorEastAsia" w:hAnsiTheme="minorHAnsi"/>
              <w:noProof/>
              <w:lang w:eastAsia="pt-BR"/>
            </w:rPr>
          </w:pPr>
          <w:hyperlink w:anchor="_Toc230204013" w:history="1">
            <w:r w:rsidRPr="004A0D71">
              <w:rPr>
                <w:rStyle w:val="Hyperlink"/>
                <w:rFonts w:eastAsia="Times New Roman"/>
                <w:noProof/>
                <w:lang w:eastAsia="pt-BR"/>
              </w:rPr>
              <w:t>3.5. CAPEX</w:t>
            </w:r>
            <w:r>
              <w:rPr>
                <w:noProof/>
                <w:webHidden/>
              </w:rPr>
              <w:tab/>
            </w:r>
            <w:r>
              <w:rPr>
                <w:noProof/>
                <w:webHidden/>
              </w:rPr>
              <w:fldChar w:fldCharType="begin"/>
            </w:r>
            <w:r>
              <w:rPr>
                <w:noProof/>
                <w:webHidden/>
              </w:rPr>
              <w:instrText xml:space="preserve"> PAGEREF _Toc230204013 \h </w:instrText>
            </w:r>
            <w:r>
              <w:rPr>
                <w:noProof/>
                <w:webHidden/>
              </w:rPr>
            </w:r>
            <w:r>
              <w:rPr>
                <w:noProof/>
                <w:webHidden/>
              </w:rPr>
              <w:fldChar w:fldCharType="separate"/>
            </w:r>
            <w:r w:rsidR="00B90978">
              <w:rPr>
                <w:noProof/>
                <w:webHidden/>
              </w:rPr>
              <w:t>17</w:t>
            </w:r>
            <w:r>
              <w:rPr>
                <w:noProof/>
                <w:webHidden/>
              </w:rPr>
              <w:fldChar w:fldCharType="end"/>
            </w:r>
          </w:hyperlink>
        </w:p>
        <w:p w14:paraId="57DC8F57" w14:textId="1B6E742C" w:rsidR="00514939" w:rsidRDefault="00514939">
          <w:pPr>
            <w:pStyle w:val="Sumrio2"/>
            <w:tabs>
              <w:tab w:val="right" w:leader="dot" w:pos="9061"/>
            </w:tabs>
            <w:rPr>
              <w:rFonts w:asciiTheme="minorHAnsi" w:eastAsiaTheme="minorEastAsia" w:hAnsiTheme="minorHAnsi"/>
              <w:noProof/>
              <w:lang w:eastAsia="pt-BR"/>
            </w:rPr>
          </w:pPr>
          <w:hyperlink w:anchor="_Toc230204014" w:history="1">
            <w:r w:rsidRPr="004A0D71">
              <w:rPr>
                <w:rStyle w:val="Hyperlink"/>
                <w:rFonts w:eastAsia="Times New Roman"/>
                <w:noProof/>
                <w:lang w:eastAsia="pt-BR"/>
              </w:rPr>
              <w:t>3.6. OPEX</w:t>
            </w:r>
            <w:r>
              <w:rPr>
                <w:noProof/>
                <w:webHidden/>
              </w:rPr>
              <w:tab/>
            </w:r>
            <w:r>
              <w:rPr>
                <w:noProof/>
                <w:webHidden/>
              </w:rPr>
              <w:fldChar w:fldCharType="begin"/>
            </w:r>
            <w:r>
              <w:rPr>
                <w:noProof/>
                <w:webHidden/>
              </w:rPr>
              <w:instrText xml:space="preserve"> PAGEREF _Toc230204014 \h </w:instrText>
            </w:r>
            <w:r>
              <w:rPr>
                <w:noProof/>
                <w:webHidden/>
              </w:rPr>
            </w:r>
            <w:r>
              <w:rPr>
                <w:noProof/>
                <w:webHidden/>
              </w:rPr>
              <w:fldChar w:fldCharType="separate"/>
            </w:r>
            <w:r w:rsidR="00B90978">
              <w:rPr>
                <w:noProof/>
                <w:webHidden/>
              </w:rPr>
              <w:t>18</w:t>
            </w:r>
            <w:r>
              <w:rPr>
                <w:noProof/>
                <w:webHidden/>
              </w:rPr>
              <w:fldChar w:fldCharType="end"/>
            </w:r>
          </w:hyperlink>
        </w:p>
        <w:p w14:paraId="4373F311" w14:textId="714F0023" w:rsidR="00514939" w:rsidRDefault="00514939">
          <w:pPr>
            <w:pStyle w:val="Sumrio2"/>
            <w:tabs>
              <w:tab w:val="right" w:leader="dot" w:pos="9061"/>
            </w:tabs>
            <w:rPr>
              <w:rFonts w:asciiTheme="minorHAnsi" w:eastAsiaTheme="minorEastAsia" w:hAnsiTheme="minorHAnsi"/>
              <w:noProof/>
              <w:lang w:eastAsia="pt-BR"/>
            </w:rPr>
          </w:pPr>
          <w:hyperlink w:anchor="_Toc230204015" w:history="1">
            <w:r w:rsidRPr="004A0D71">
              <w:rPr>
                <w:rStyle w:val="Hyperlink"/>
                <w:rFonts w:eastAsia="Times New Roman"/>
                <w:noProof/>
                <w:lang w:eastAsia="pt-BR"/>
              </w:rPr>
              <w:t>3.7. Receitas acessórias potenciais</w:t>
            </w:r>
            <w:r>
              <w:rPr>
                <w:noProof/>
                <w:webHidden/>
              </w:rPr>
              <w:tab/>
            </w:r>
            <w:r>
              <w:rPr>
                <w:noProof/>
                <w:webHidden/>
              </w:rPr>
              <w:fldChar w:fldCharType="begin"/>
            </w:r>
            <w:r>
              <w:rPr>
                <w:noProof/>
                <w:webHidden/>
              </w:rPr>
              <w:instrText xml:space="preserve"> PAGEREF _Toc230204015 \h </w:instrText>
            </w:r>
            <w:r>
              <w:rPr>
                <w:noProof/>
                <w:webHidden/>
              </w:rPr>
            </w:r>
            <w:r>
              <w:rPr>
                <w:noProof/>
                <w:webHidden/>
              </w:rPr>
              <w:fldChar w:fldCharType="separate"/>
            </w:r>
            <w:r w:rsidR="00B90978">
              <w:rPr>
                <w:noProof/>
                <w:webHidden/>
              </w:rPr>
              <w:t>18</w:t>
            </w:r>
            <w:r>
              <w:rPr>
                <w:noProof/>
                <w:webHidden/>
              </w:rPr>
              <w:fldChar w:fldCharType="end"/>
            </w:r>
          </w:hyperlink>
        </w:p>
        <w:p w14:paraId="5240B3AF" w14:textId="6F539764" w:rsidR="00514939" w:rsidRDefault="00514939">
          <w:pPr>
            <w:pStyle w:val="Sumrio2"/>
            <w:tabs>
              <w:tab w:val="right" w:leader="dot" w:pos="9061"/>
            </w:tabs>
            <w:rPr>
              <w:rFonts w:asciiTheme="minorHAnsi" w:eastAsiaTheme="minorEastAsia" w:hAnsiTheme="minorHAnsi"/>
              <w:noProof/>
              <w:lang w:eastAsia="pt-BR"/>
            </w:rPr>
          </w:pPr>
          <w:hyperlink w:anchor="_Toc230204016" w:history="1">
            <w:r w:rsidRPr="004A0D71">
              <w:rPr>
                <w:rStyle w:val="Hyperlink"/>
                <w:rFonts w:eastAsia="Times New Roman"/>
                <w:noProof/>
                <w:lang w:eastAsia="pt-BR"/>
              </w:rPr>
              <w:t>3.8. Financiamento referencial</w:t>
            </w:r>
            <w:r>
              <w:rPr>
                <w:noProof/>
                <w:webHidden/>
              </w:rPr>
              <w:tab/>
            </w:r>
            <w:r>
              <w:rPr>
                <w:noProof/>
                <w:webHidden/>
              </w:rPr>
              <w:fldChar w:fldCharType="begin"/>
            </w:r>
            <w:r>
              <w:rPr>
                <w:noProof/>
                <w:webHidden/>
              </w:rPr>
              <w:instrText xml:space="preserve"> PAGEREF _Toc230204016 \h </w:instrText>
            </w:r>
            <w:r>
              <w:rPr>
                <w:noProof/>
                <w:webHidden/>
              </w:rPr>
            </w:r>
            <w:r>
              <w:rPr>
                <w:noProof/>
                <w:webHidden/>
              </w:rPr>
              <w:fldChar w:fldCharType="separate"/>
            </w:r>
            <w:r w:rsidR="00B90978">
              <w:rPr>
                <w:noProof/>
                <w:webHidden/>
              </w:rPr>
              <w:t>19</w:t>
            </w:r>
            <w:r>
              <w:rPr>
                <w:noProof/>
                <w:webHidden/>
              </w:rPr>
              <w:fldChar w:fldCharType="end"/>
            </w:r>
          </w:hyperlink>
        </w:p>
        <w:p w14:paraId="173A189E" w14:textId="64154B0C" w:rsidR="00514939" w:rsidRDefault="00514939">
          <w:pPr>
            <w:pStyle w:val="Sumrio2"/>
            <w:tabs>
              <w:tab w:val="right" w:leader="dot" w:pos="9061"/>
            </w:tabs>
            <w:rPr>
              <w:rFonts w:asciiTheme="minorHAnsi" w:eastAsiaTheme="minorEastAsia" w:hAnsiTheme="minorHAnsi"/>
              <w:noProof/>
              <w:lang w:eastAsia="pt-BR"/>
            </w:rPr>
          </w:pPr>
          <w:hyperlink w:anchor="_Toc230204017" w:history="1">
            <w:r w:rsidRPr="004A0D71">
              <w:rPr>
                <w:rStyle w:val="Hyperlink"/>
                <w:rFonts w:eastAsia="Times New Roman"/>
                <w:noProof/>
                <w:lang w:eastAsia="pt-BR"/>
              </w:rPr>
              <w:t>3.9. Resultado econômico-financeiro</w:t>
            </w:r>
            <w:r>
              <w:rPr>
                <w:noProof/>
                <w:webHidden/>
              </w:rPr>
              <w:tab/>
            </w:r>
            <w:r>
              <w:rPr>
                <w:noProof/>
                <w:webHidden/>
              </w:rPr>
              <w:fldChar w:fldCharType="begin"/>
            </w:r>
            <w:r>
              <w:rPr>
                <w:noProof/>
                <w:webHidden/>
              </w:rPr>
              <w:instrText xml:space="preserve"> PAGEREF _Toc230204017 \h </w:instrText>
            </w:r>
            <w:r>
              <w:rPr>
                <w:noProof/>
                <w:webHidden/>
              </w:rPr>
            </w:r>
            <w:r>
              <w:rPr>
                <w:noProof/>
                <w:webHidden/>
              </w:rPr>
              <w:fldChar w:fldCharType="separate"/>
            </w:r>
            <w:r w:rsidR="00B90978">
              <w:rPr>
                <w:noProof/>
                <w:webHidden/>
              </w:rPr>
              <w:t>19</w:t>
            </w:r>
            <w:r>
              <w:rPr>
                <w:noProof/>
                <w:webHidden/>
              </w:rPr>
              <w:fldChar w:fldCharType="end"/>
            </w:r>
          </w:hyperlink>
        </w:p>
        <w:p w14:paraId="2ACF2949" w14:textId="618B7FE2" w:rsidR="00514939" w:rsidRDefault="00514939">
          <w:pPr>
            <w:pStyle w:val="Sumrio2"/>
            <w:tabs>
              <w:tab w:val="right" w:leader="dot" w:pos="9061"/>
            </w:tabs>
            <w:rPr>
              <w:rFonts w:asciiTheme="minorHAnsi" w:eastAsiaTheme="minorEastAsia" w:hAnsiTheme="minorHAnsi"/>
              <w:noProof/>
              <w:lang w:eastAsia="pt-BR"/>
            </w:rPr>
          </w:pPr>
          <w:hyperlink w:anchor="_Toc230204018" w:history="1">
            <w:r w:rsidRPr="004A0D71">
              <w:rPr>
                <w:rStyle w:val="Hyperlink"/>
                <w:rFonts w:eastAsia="Times New Roman"/>
                <w:noProof/>
                <w:lang w:eastAsia="pt-BR"/>
              </w:rPr>
              <w:t>3.10. Garantias recomendadas</w:t>
            </w:r>
            <w:r>
              <w:rPr>
                <w:noProof/>
                <w:webHidden/>
              </w:rPr>
              <w:tab/>
            </w:r>
            <w:r>
              <w:rPr>
                <w:noProof/>
                <w:webHidden/>
              </w:rPr>
              <w:fldChar w:fldCharType="begin"/>
            </w:r>
            <w:r>
              <w:rPr>
                <w:noProof/>
                <w:webHidden/>
              </w:rPr>
              <w:instrText xml:space="preserve"> PAGEREF _Toc230204018 \h </w:instrText>
            </w:r>
            <w:r>
              <w:rPr>
                <w:noProof/>
                <w:webHidden/>
              </w:rPr>
            </w:r>
            <w:r>
              <w:rPr>
                <w:noProof/>
                <w:webHidden/>
              </w:rPr>
              <w:fldChar w:fldCharType="separate"/>
            </w:r>
            <w:r w:rsidR="00B90978">
              <w:rPr>
                <w:noProof/>
                <w:webHidden/>
              </w:rPr>
              <w:t>20</w:t>
            </w:r>
            <w:r>
              <w:rPr>
                <w:noProof/>
                <w:webHidden/>
              </w:rPr>
              <w:fldChar w:fldCharType="end"/>
            </w:r>
          </w:hyperlink>
        </w:p>
        <w:p w14:paraId="686F9EB9" w14:textId="4085CB3D" w:rsidR="00514939" w:rsidRDefault="00514939">
          <w:pPr>
            <w:pStyle w:val="Sumrio1"/>
            <w:tabs>
              <w:tab w:val="right" w:leader="dot" w:pos="9061"/>
            </w:tabs>
            <w:rPr>
              <w:rFonts w:asciiTheme="minorHAnsi" w:eastAsiaTheme="minorEastAsia" w:hAnsiTheme="minorHAnsi"/>
              <w:noProof/>
              <w:lang w:eastAsia="pt-BR"/>
            </w:rPr>
          </w:pPr>
          <w:hyperlink w:anchor="_Toc230204019" w:history="1">
            <w:r w:rsidRPr="004A0D71">
              <w:rPr>
                <w:rStyle w:val="Hyperlink"/>
                <w:rFonts w:eastAsia="Times New Roman"/>
                <w:noProof/>
                <w:lang w:eastAsia="pt-BR"/>
              </w:rPr>
              <w:t>4. Lógica Econômica da PPP</w:t>
            </w:r>
            <w:r>
              <w:rPr>
                <w:noProof/>
                <w:webHidden/>
              </w:rPr>
              <w:tab/>
            </w:r>
            <w:r>
              <w:rPr>
                <w:noProof/>
                <w:webHidden/>
              </w:rPr>
              <w:fldChar w:fldCharType="begin"/>
            </w:r>
            <w:r>
              <w:rPr>
                <w:noProof/>
                <w:webHidden/>
              </w:rPr>
              <w:instrText xml:space="preserve"> PAGEREF _Toc230204019 \h </w:instrText>
            </w:r>
            <w:r>
              <w:rPr>
                <w:noProof/>
                <w:webHidden/>
              </w:rPr>
            </w:r>
            <w:r>
              <w:rPr>
                <w:noProof/>
                <w:webHidden/>
              </w:rPr>
              <w:fldChar w:fldCharType="separate"/>
            </w:r>
            <w:r w:rsidR="00B90978">
              <w:rPr>
                <w:noProof/>
                <w:webHidden/>
              </w:rPr>
              <w:t>21</w:t>
            </w:r>
            <w:r>
              <w:rPr>
                <w:noProof/>
                <w:webHidden/>
              </w:rPr>
              <w:fldChar w:fldCharType="end"/>
            </w:r>
          </w:hyperlink>
        </w:p>
        <w:p w14:paraId="1D290ACE" w14:textId="19170CC8" w:rsidR="00514939" w:rsidRDefault="00514939">
          <w:pPr>
            <w:pStyle w:val="Sumrio2"/>
            <w:tabs>
              <w:tab w:val="right" w:leader="dot" w:pos="9061"/>
            </w:tabs>
            <w:rPr>
              <w:rFonts w:asciiTheme="minorHAnsi" w:eastAsiaTheme="minorEastAsia" w:hAnsiTheme="minorHAnsi"/>
              <w:noProof/>
              <w:lang w:eastAsia="pt-BR"/>
            </w:rPr>
          </w:pPr>
          <w:hyperlink w:anchor="_Toc230204020" w:history="1">
            <w:r w:rsidRPr="004A0D71">
              <w:rPr>
                <w:rStyle w:val="Hyperlink"/>
                <w:rFonts w:eastAsia="Times New Roman"/>
                <w:noProof/>
                <w:lang w:eastAsia="pt-BR"/>
              </w:rPr>
              <w:t>4.1. Problema público enfrentado</w:t>
            </w:r>
            <w:r>
              <w:rPr>
                <w:noProof/>
                <w:webHidden/>
              </w:rPr>
              <w:tab/>
            </w:r>
            <w:r>
              <w:rPr>
                <w:noProof/>
                <w:webHidden/>
              </w:rPr>
              <w:fldChar w:fldCharType="begin"/>
            </w:r>
            <w:r>
              <w:rPr>
                <w:noProof/>
                <w:webHidden/>
              </w:rPr>
              <w:instrText xml:space="preserve"> PAGEREF _Toc230204020 \h </w:instrText>
            </w:r>
            <w:r>
              <w:rPr>
                <w:noProof/>
                <w:webHidden/>
              </w:rPr>
            </w:r>
            <w:r>
              <w:rPr>
                <w:noProof/>
                <w:webHidden/>
              </w:rPr>
              <w:fldChar w:fldCharType="separate"/>
            </w:r>
            <w:r w:rsidR="00B90978">
              <w:rPr>
                <w:noProof/>
                <w:webHidden/>
              </w:rPr>
              <w:t>21</w:t>
            </w:r>
            <w:r>
              <w:rPr>
                <w:noProof/>
                <w:webHidden/>
              </w:rPr>
              <w:fldChar w:fldCharType="end"/>
            </w:r>
          </w:hyperlink>
        </w:p>
        <w:p w14:paraId="4A905461" w14:textId="7A371036" w:rsidR="00514939" w:rsidRDefault="00514939">
          <w:pPr>
            <w:pStyle w:val="Sumrio2"/>
            <w:tabs>
              <w:tab w:val="right" w:leader="dot" w:pos="9061"/>
            </w:tabs>
            <w:rPr>
              <w:rFonts w:asciiTheme="minorHAnsi" w:eastAsiaTheme="minorEastAsia" w:hAnsiTheme="minorHAnsi"/>
              <w:noProof/>
              <w:lang w:eastAsia="pt-BR"/>
            </w:rPr>
          </w:pPr>
          <w:hyperlink w:anchor="_Toc230204021" w:history="1">
            <w:r w:rsidRPr="004A0D71">
              <w:rPr>
                <w:rStyle w:val="Hyperlink"/>
                <w:rFonts w:eastAsia="Times New Roman"/>
                <w:noProof/>
                <w:lang w:eastAsia="pt-BR"/>
              </w:rPr>
              <w:t>4.2. Solução econômica proposta</w:t>
            </w:r>
            <w:r>
              <w:rPr>
                <w:noProof/>
                <w:webHidden/>
              </w:rPr>
              <w:tab/>
            </w:r>
            <w:r>
              <w:rPr>
                <w:noProof/>
                <w:webHidden/>
              </w:rPr>
              <w:fldChar w:fldCharType="begin"/>
            </w:r>
            <w:r>
              <w:rPr>
                <w:noProof/>
                <w:webHidden/>
              </w:rPr>
              <w:instrText xml:space="preserve"> PAGEREF _Toc230204021 \h </w:instrText>
            </w:r>
            <w:r>
              <w:rPr>
                <w:noProof/>
                <w:webHidden/>
              </w:rPr>
            </w:r>
            <w:r>
              <w:rPr>
                <w:noProof/>
                <w:webHidden/>
              </w:rPr>
              <w:fldChar w:fldCharType="separate"/>
            </w:r>
            <w:r w:rsidR="00B90978">
              <w:rPr>
                <w:noProof/>
                <w:webHidden/>
              </w:rPr>
              <w:t>22</w:t>
            </w:r>
            <w:r>
              <w:rPr>
                <w:noProof/>
                <w:webHidden/>
              </w:rPr>
              <w:fldChar w:fldCharType="end"/>
            </w:r>
          </w:hyperlink>
        </w:p>
        <w:p w14:paraId="1E01FB63" w14:textId="1C54572E" w:rsidR="00514939" w:rsidRDefault="00514939">
          <w:pPr>
            <w:pStyle w:val="Sumrio2"/>
            <w:tabs>
              <w:tab w:val="right" w:leader="dot" w:pos="9061"/>
            </w:tabs>
            <w:rPr>
              <w:rFonts w:asciiTheme="minorHAnsi" w:eastAsiaTheme="minorEastAsia" w:hAnsiTheme="minorHAnsi"/>
              <w:noProof/>
              <w:lang w:eastAsia="pt-BR"/>
            </w:rPr>
          </w:pPr>
          <w:hyperlink w:anchor="_Toc230204022" w:history="1">
            <w:r w:rsidRPr="004A0D71">
              <w:rPr>
                <w:rStyle w:val="Hyperlink"/>
                <w:rFonts w:eastAsia="Times New Roman"/>
                <w:noProof/>
                <w:lang w:eastAsia="pt-BR"/>
              </w:rPr>
              <w:t>4.3. Economia energética como vetor de custeio ambiental</w:t>
            </w:r>
            <w:r>
              <w:rPr>
                <w:noProof/>
                <w:webHidden/>
              </w:rPr>
              <w:tab/>
            </w:r>
            <w:r>
              <w:rPr>
                <w:noProof/>
                <w:webHidden/>
              </w:rPr>
              <w:fldChar w:fldCharType="begin"/>
            </w:r>
            <w:r>
              <w:rPr>
                <w:noProof/>
                <w:webHidden/>
              </w:rPr>
              <w:instrText xml:space="preserve"> PAGEREF _Toc230204022 \h </w:instrText>
            </w:r>
            <w:r>
              <w:rPr>
                <w:noProof/>
                <w:webHidden/>
              </w:rPr>
            </w:r>
            <w:r>
              <w:rPr>
                <w:noProof/>
                <w:webHidden/>
              </w:rPr>
              <w:fldChar w:fldCharType="separate"/>
            </w:r>
            <w:r w:rsidR="00B90978">
              <w:rPr>
                <w:noProof/>
                <w:webHidden/>
              </w:rPr>
              <w:t>23</w:t>
            </w:r>
            <w:r>
              <w:rPr>
                <w:noProof/>
                <w:webHidden/>
              </w:rPr>
              <w:fldChar w:fldCharType="end"/>
            </w:r>
          </w:hyperlink>
        </w:p>
        <w:p w14:paraId="4D15B8E4" w14:textId="48408710" w:rsidR="00514939" w:rsidRDefault="00514939">
          <w:pPr>
            <w:pStyle w:val="Sumrio2"/>
            <w:tabs>
              <w:tab w:val="right" w:leader="dot" w:pos="9061"/>
            </w:tabs>
            <w:rPr>
              <w:rFonts w:asciiTheme="minorHAnsi" w:eastAsiaTheme="minorEastAsia" w:hAnsiTheme="minorHAnsi"/>
              <w:noProof/>
              <w:lang w:eastAsia="pt-BR"/>
            </w:rPr>
          </w:pPr>
          <w:hyperlink w:anchor="_Toc230204023" w:history="1">
            <w:r w:rsidRPr="004A0D71">
              <w:rPr>
                <w:rStyle w:val="Hyperlink"/>
                <w:rFonts w:eastAsia="Times New Roman"/>
                <w:noProof/>
                <w:lang w:eastAsia="pt-BR"/>
              </w:rPr>
              <w:t>4.4. Comparação com destinação convencional em aterro sanitário</w:t>
            </w:r>
            <w:r>
              <w:rPr>
                <w:noProof/>
                <w:webHidden/>
              </w:rPr>
              <w:tab/>
            </w:r>
            <w:r>
              <w:rPr>
                <w:noProof/>
                <w:webHidden/>
              </w:rPr>
              <w:fldChar w:fldCharType="begin"/>
            </w:r>
            <w:r>
              <w:rPr>
                <w:noProof/>
                <w:webHidden/>
              </w:rPr>
              <w:instrText xml:space="preserve"> PAGEREF _Toc230204023 \h </w:instrText>
            </w:r>
            <w:r>
              <w:rPr>
                <w:noProof/>
                <w:webHidden/>
              </w:rPr>
            </w:r>
            <w:r>
              <w:rPr>
                <w:noProof/>
                <w:webHidden/>
              </w:rPr>
              <w:fldChar w:fldCharType="separate"/>
            </w:r>
            <w:r w:rsidR="00B90978">
              <w:rPr>
                <w:noProof/>
                <w:webHidden/>
              </w:rPr>
              <w:t>25</w:t>
            </w:r>
            <w:r>
              <w:rPr>
                <w:noProof/>
                <w:webHidden/>
              </w:rPr>
              <w:fldChar w:fldCharType="end"/>
            </w:r>
          </w:hyperlink>
        </w:p>
        <w:p w14:paraId="5562D7F2" w14:textId="49A9A27D" w:rsidR="00514939" w:rsidRDefault="00514939">
          <w:pPr>
            <w:pStyle w:val="Sumrio2"/>
            <w:tabs>
              <w:tab w:val="right" w:leader="dot" w:pos="9061"/>
            </w:tabs>
            <w:rPr>
              <w:rFonts w:asciiTheme="minorHAnsi" w:eastAsiaTheme="minorEastAsia" w:hAnsiTheme="minorHAnsi"/>
              <w:noProof/>
              <w:lang w:eastAsia="pt-BR"/>
            </w:rPr>
          </w:pPr>
          <w:hyperlink w:anchor="_Toc230204024" w:history="1">
            <w:r w:rsidRPr="004A0D71">
              <w:rPr>
                <w:rStyle w:val="Hyperlink"/>
                <w:rFonts w:eastAsia="Times New Roman"/>
                <w:noProof/>
                <w:lang w:eastAsia="pt-BR"/>
              </w:rPr>
              <w:t>4.5. Value for Money e custo evitado</w:t>
            </w:r>
            <w:r>
              <w:rPr>
                <w:noProof/>
                <w:webHidden/>
              </w:rPr>
              <w:tab/>
            </w:r>
            <w:r>
              <w:rPr>
                <w:noProof/>
                <w:webHidden/>
              </w:rPr>
              <w:fldChar w:fldCharType="begin"/>
            </w:r>
            <w:r>
              <w:rPr>
                <w:noProof/>
                <w:webHidden/>
              </w:rPr>
              <w:instrText xml:space="preserve"> PAGEREF _Toc230204024 \h </w:instrText>
            </w:r>
            <w:r>
              <w:rPr>
                <w:noProof/>
                <w:webHidden/>
              </w:rPr>
            </w:r>
            <w:r>
              <w:rPr>
                <w:noProof/>
                <w:webHidden/>
              </w:rPr>
              <w:fldChar w:fldCharType="separate"/>
            </w:r>
            <w:r w:rsidR="00B90978">
              <w:rPr>
                <w:noProof/>
                <w:webHidden/>
              </w:rPr>
              <w:t>26</w:t>
            </w:r>
            <w:r>
              <w:rPr>
                <w:noProof/>
                <w:webHidden/>
              </w:rPr>
              <w:fldChar w:fldCharType="end"/>
            </w:r>
          </w:hyperlink>
        </w:p>
        <w:p w14:paraId="4C0345F1" w14:textId="15134BF6" w:rsidR="00514939" w:rsidRDefault="00514939">
          <w:pPr>
            <w:pStyle w:val="Sumrio2"/>
            <w:tabs>
              <w:tab w:val="right" w:leader="dot" w:pos="9061"/>
            </w:tabs>
            <w:rPr>
              <w:rFonts w:asciiTheme="minorHAnsi" w:eastAsiaTheme="minorEastAsia" w:hAnsiTheme="minorHAnsi"/>
              <w:noProof/>
              <w:lang w:eastAsia="pt-BR"/>
            </w:rPr>
          </w:pPr>
          <w:hyperlink w:anchor="_Toc230204025" w:history="1">
            <w:r w:rsidRPr="004A0D71">
              <w:rPr>
                <w:rStyle w:val="Hyperlink"/>
                <w:rFonts w:eastAsia="Times New Roman"/>
                <w:noProof/>
                <w:lang w:eastAsia="pt-BR"/>
              </w:rPr>
              <w:t>4.6. Cuidado com a aparência de otimismo excessivo</w:t>
            </w:r>
            <w:r>
              <w:rPr>
                <w:noProof/>
                <w:webHidden/>
              </w:rPr>
              <w:tab/>
            </w:r>
            <w:r>
              <w:rPr>
                <w:noProof/>
                <w:webHidden/>
              </w:rPr>
              <w:fldChar w:fldCharType="begin"/>
            </w:r>
            <w:r>
              <w:rPr>
                <w:noProof/>
                <w:webHidden/>
              </w:rPr>
              <w:instrText xml:space="preserve"> PAGEREF _Toc230204025 \h </w:instrText>
            </w:r>
            <w:r>
              <w:rPr>
                <w:noProof/>
                <w:webHidden/>
              </w:rPr>
            </w:r>
            <w:r>
              <w:rPr>
                <w:noProof/>
                <w:webHidden/>
              </w:rPr>
              <w:fldChar w:fldCharType="separate"/>
            </w:r>
            <w:r w:rsidR="00B90978">
              <w:rPr>
                <w:noProof/>
                <w:webHidden/>
              </w:rPr>
              <w:t>27</w:t>
            </w:r>
            <w:r>
              <w:rPr>
                <w:noProof/>
                <w:webHidden/>
              </w:rPr>
              <w:fldChar w:fldCharType="end"/>
            </w:r>
          </w:hyperlink>
        </w:p>
        <w:p w14:paraId="349EFF06" w14:textId="18D98EB6" w:rsidR="00514939" w:rsidRDefault="00514939">
          <w:pPr>
            <w:pStyle w:val="Sumrio2"/>
            <w:tabs>
              <w:tab w:val="right" w:leader="dot" w:pos="9061"/>
            </w:tabs>
            <w:rPr>
              <w:rFonts w:asciiTheme="minorHAnsi" w:eastAsiaTheme="minorEastAsia" w:hAnsiTheme="minorHAnsi"/>
              <w:noProof/>
              <w:lang w:eastAsia="pt-BR"/>
            </w:rPr>
          </w:pPr>
          <w:hyperlink w:anchor="_Toc230204026" w:history="1">
            <w:r w:rsidRPr="004A0D71">
              <w:rPr>
                <w:rStyle w:val="Hyperlink"/>
                <w:rFonts w:eastAsia="Times New Roman"/>
                <w:noProof/>
                <w:lang w:eastAsia="pt-BR"/>
              </w:rPr>
              <w:t>4.7. Papel das receitas acessórias na lógica econômica</w:t>
            </w:r>
            <w:r>
              <w:rPr>
                <w:noProof/>
                <w:webHidden/>
              </w:rPr>
              <w:tab/>
            </w:r>
            <w:r>
              <w:rPr>
                <w:noProof/>
                <w:webHidden/>
              </w:rPr>
              <w:fldChar w:fldCharType="begin"/>
            </w:r>
            <w:r>
              <w:rPr>
                <w:noProof/>
                <w:webHidden/>
              </w:rPr>
              <w:instrText xml:space="preserve"> PAGEREF _Toc230204026 \h </w:instrText>
            </w:r>
            <w:r>
              <w:rPr>
                <w:noProof/>
                <w:webHidden/>
              </w:rPr>
            </w:r>
            <w:r>
              <w:rPr>
                <w:noProof/>
                <w:webHidden/>
              </w:rPr>
              <w:fldChar w:fldCharType="separate"/>
            </w:r>
            <w:r w:rsidR="00B90978">
              <w:rPr>
                <w:noProof/>
                <w:webHidden/>
              </w:rPr>
              <w:t>29</w:t>
            </w:r>
            <w:r>
              <w:rPr>
                <w:noProof/>
                <w:webHidden/>
              </w:rPr>
              <w:fldChar w:fldCharType="end"/>
            </w:r>
          </w:hyperlink>
        </w:p>
        <w:p w14:paraId="52AA662A" w14:textId="7A5C8ADA" w:rsidR="00514939" w:rsidRDefault="00514939">
          <w:pPr>
            <w:pStyle w:val="Sumrio2"/>
            <w:tabs>
              <w:tab w:val="right" w:leader="dot" w:pos="9061"/>
            </w:tabs>
            <w:rPr>
              <w:rFonts w:asciiTheme="minorHAnsi" w:eastAsiaTheme="minorEastAsia" w:hAnsiTheme="minorHAnsi"/>
              <w:noProof/>
              <w:lang w:eastAsia="pt-BR"/>
            </w:rPr>
          </w:pPr>
          <w:hyperlink w:anchor="_Toc230204027" w:history="1">
            <w:r w:rsidRPr="004A0D71">
              <w:rPr>
                <w:rStyle w:val="Hyperlink"/>
                <w:rFonts w:eastAsia="Times New Roman"/>
                <w:noProof/>
                <w:lang w:eastAsia="pt-BR"/>
              </w:rPr>
              <w:t>4.8. Quantidade mínima contratada e estabilidade da receita</w:t>
            </w:r>
            <w:r>
              <w:rPr>
                <w:noProof/>
                <w:webHidden/>
              </w:rPr>
              <w:tab/>
            </w:r>
            <w:r>
              <w:rPr>
                <w:noProof/>
                <w:webHidden/>
              </w:rPr>
              <w:fldChar w:fldCharType="begin"/>
            </w:r>
            <w:r>
              <w:rPr>
                <w:noProof/>
                <w:webHidden/>
              </w:rPr>
              <w:instrText xml:space="preserve"> PAGEREF _Toc230204027 \h </w:instrText>
            </w:r>
            <w:r>
              <w:rPr>
                <w:noProof/>
                <w:webHidden/>
              </w:rPr>
            </w:r>
            <w:r>
              <w:rPr>
                <w:noProof/>
                <w:webHidden/>
              </w:rPr>
              <w:fldChar w:fldCharType="separate"/>
            </w:r>
            <w:r w:rsidR="00B90978">
              <w:rPr>
                <w:noProof/>
                <w:webHidden/>
              </w:rPr>
              <w:t>30</w:t>
            </w:r>
            <w:r>
              <w:rPr>
                <w:noProof/>
                <w:webHidden/>
              </w:rPr>
              <w:fldChar w:fldCharType="end"/>
            </w:r>
          </w:hyperlink>
        </w:p>
        <w:p w14:paraId="6E1E430E" w14:textId="1D630B02" w:rsidR="00514939" w:rsidRDefault="00514939">
          <w:pPr>
            <w:pStyle w:val="Sumrio2"/>
            <w:tabs>
              <w:tab w:val="right" w:leader="dot" w:pos="9061"/>
            </w:tabs>
            <w:rPr>
              <w:rFonts w:asciiTheme="minorHAnsi" w:eastAsiaTheme="minorEastAsia" w:hAnsiTheme="minorHAnsi"/>
              <w:noProof/>
              <w:lang w:eastAsia="pt-BR"/>
            </w:rPr>
          </w:pPr>
          <w:hyperlink w:anchor="_Toc230204028" w:history="1">
            <w:r w:rsidRPr="004A0D71">
              <w:rPr>
                <w:rStyle w:val="Hyperlink"/>
                <w:rFonts w:eastAsia="Times New Roman"/>
                <w:noProof/>
                <w:lang w:eastAsia="pt-BR"/>
              </w:rPr>
              <w:t>4.9. Energia como componente econômico da solução integrada</w:t>
            </w:r>
            <w:r>
              <w:rPr>
                <w:noProof/>
                <w:webHidden/>
              </w:rPr>
              <w:tab/>
            </w:r>
            <w:r>
              <w:rPr>
                <w:noProof/>
                <w:webHidden/>
              </w:rPr>
              <w:fldChar w:fldCharType="begin"/>
            </w:r>
            <w:r>
              <w:rPr>
                <w:noProof/>
                <w:webHidden/>
              </w:rPr>
              <w:instrText xml:space="preserve"> PAGEREF _Toc230204028 \h </w:instrText>
            </w:r>
            <w:r>
              <w:rPr>
                <w:noProof/>
                <w:webHidden/>
              </w:rPr>
            </w:r>
            <w:r>
              <w:rPr>
                <w:noProof/>
                <w:webHidden/>
              </w:rPr>
              <w:fldChar w:fldCharType="separate"/>
            </w:r>
            <w:r w:rsidR="00B90978">
              <w:rPr>
                <w:noProof/>
                <w:webHidden/>
              </w:rPr>
              <w:t>31</w:t>
            </w:r>
            <w:r>
              <w:rPr>
                <w:noProof/>
                <w:webHidden/>
              </w:rPr>
              <w:fldChar w:fldCharType="end"/>
            </w:r>
          </w:hyperlink>
        </w:p>
        <w:p w14:paraId="19FF5C36" w14:textId="48A9A645" w:rsidR="00514939" w:rsidRDefault="00514939">
          <w:pPr>
            <w:pStyle w:val="Sumrio2"/>
            <w:tabs>
              <w:tab w:val="right" w:leader="dot" w:pos="9061"/>
            </w:tabs>
            <w:rPr>
              <w:rFonts w:asciiTheme="minorHAnsi" w:eastAsiaTheme="minorEastAsia" w:hAnsiTheme="minorHAnsi"/>
              <w:noProof/>
              <w:lang w:eastAsia="pt-BR"/>
            </w:rPr>
          </w:pPr>
          <w:hyperlink w:anchor="_Toc230204029" w:history="1">
            <w:r w:rsidRPr="004A0D71">
              <w:rPr>
                <w:rStyle w:val="Hyperlink"/>
                <w:rFonts w:eastAsia="Times New Roman"/>
                <w:noProof/>
                <w:lang w:eastAsia="pt-BR"/>
              </w:rPr>
              <w:t>4.10. Síntese da lógica econômica</w:t>
            </w:r>
            <w:r>
              <w:rPr>
                <w:noProof/>
                <w:webHidden/>
              </w:rPr>
              <w:tab/>
            </w:r>
            <w:r>
              <w:rPr>
                <w:noProof/>
                <w:webHidden/>
              </w:rPr>
              <w:fldChar w:fldCharType="begin"/>
            </w:r>
            <w:r>
              <w:rPr>
                <w:noProof/>
                <w:webHidden/>
              </w:rPr>
              <w:instrText xml:space="preserve"> PAGEREF _Toc230204029 \h </w:instrText>
            </w:r>
            <w:r>
              <w:rPr>
                <w:noProof/>
                <w:webHidden/>
              </w:rPr>
            </w:r>
            <w:r>
              <w:rPr>
                <w:noProof/>
                <w:webHidden/>
              </w:rPr>
              <w:fldChar w:fldCharType="separate"/>
            </w:r>
            <w:r w:rsidR="00B90978">
              <w:rPr>
                <w:noProof/>
                <w:webHidden/>
              </w:rPr>
              <w:t>31</w:t>
            </w:r>
            <w:r>
              <w:rPr>
                <w:noProof/>
                <w:webHidden/>
              </w:rPr>
              <w:fldChar w:fldCharType="end"/>
            </w:r>
          </w:hyperlink>
        </w:p>
        <w:p w14:paraId="74813B49" w14:textId="0CCD8151" w:rsidR="00514939" w:rsidRDefault="00514939">
          <w:pPr>
            <w:pStyle w:val="Sumrio2"/>
            <w:tabs>
              <w:tab w:val="right" w:leader="dot" w:pos="9061"/>
            </w:tabs>
            <w:rPr>
              <w:rFonts w:asciiTheme="minorHAnsi" w:eastAsiaTheme="minorEastAsia" w:hAnsiTheme="minorHAnsi"/>
              <w:noProof/>
              <w:lang w:eastAsia="pt-BR"/>
            </w:rPr>
          </w:pPr>
          <w:hyperlink w:anchor="_Toc230204030" w:history="1">
            <w:r w:rsidRPr="004A0D71">
              <w:rPr>
                <w:rStyle w:val="Hyperlink"/>
                <w:rFonts w:eastAsia="Times New Roman"/>
                <w:noProof/>
                <w:lang w:eastAsia="pt-BR"/>
              </w:rPr>
              <w:t>4.11. Conclusão do tópico</w:t>
            </w:r>
            <w:r>
              <w:rPr>
                <w:noProof/>
                <w:webHidden/>
              </w:rPr>
              <w:tab/>
            </w:r>
            <w:r>
              <w:rPr>
                <w:noProof/>
                <w:webHidden/>
              </w:rPr>
              <w:fldChar w:fldCharType="begin"/>
            </w:r>
            <w:r>
              <w:rPr>
                <w:noProof/>
                <w:webHidden/>
              </w:rPr>
              <w:instrText xml:space="preserve"> PAGEREF _Toc230204030 \h </w:instrText>
            </w:r>
            <w:r>
              <w:rPr>
                <w:noProof/>
                <w:webHidden/>
              </w:rPr>
            </w:r>
            <w:r>
              <w:rPr>
                <w:noProof/>
                <w:webHidden/>
              </w:rPr>
              <w:fldChar w:fldCharType="separate"/>
            </w:r>
            <w:r w:rsidR="00B90978">
              <w:rPr>
                <w:noProof/>
                <w:webHidden/>
              </w:rPr>
              <w:t>32</w:t>
            </w:r>
            <w:r>
              <w:rPr>
                <w:noProof/>
                <w:webHidden/>
              </w:rPr>
              <w:fldChar w:fldCharType="end"/>
            </w:r>
          </w:hyperlink>
        </w:p>
        <w:p w14:paraId="1CCC5E27" w14:textId="26C17FE7" w:rsidR="00514939" w:rsidRDefault="00514939">
          <w:pPr>
            <w:pStyle w:val="Sumrio1"/>
            <w:tabs>
              <w:tab w:val="right" w:leader="dot" w:pos="9061"/>
            </w:tabs>
            <w:rPr>
              <w:rFonts w:asciiTheme="minorHAnsi" w:eastAsiaTheme="minorEastAsia" w:hAnsiTheme="minorHAnsi"/>
              <w:noProof/>
              <w:lang w:eastAsia="pt-BR"/>
            </w:rPr>
          </w:pPr>
          <w:hyperlink w:anchor="_Toc230204031" w:history="1">
            <w:r w:rsidRPr="004A0D71">
              <w:rPr>
                <w:rStyle w:val="Hyperlink"/>
                <w:rFonts w:eastAsia="Times New Roman"/>
                <w:noProof/>
                <w:lang w:eastAsia="pt-BR"/>
              </w:rPr>
              <w:t>5. Separação entre Receitas Principais e Receitas Acessórias</w:t>
            </w:r>
            <w:r>
              <w:rPr>
                <w:noProof/>
                <w:webHidden/>
              </w:rPr>
              <w:tab/>
            </w:r>
            <w:r>
              <w:rPr>
                <w:noProof/>
                <w:webHidden/>
              </w:rPr>
              <w:fldChar w:fldCharType="begin"/>
            </w:r>
            <w:r>
              <w:rPr>
                <w:noProof/>
                <w:webHidden/>
              </w:rPr>
              <w:instrText xml:space="preserve"> PAGEREF _Toc230204031 \h </w:instrText>
            </w:r>
            <w:r>
              <w:rPr>
                <w:noProof/>
                <w:webHidden/>
              </w:rPr>
            </w:r>
            <w:r>
              <w:rPr>
                <w:noProof/>
                <w:webHidden/>
              </w:rPr>
              <w:fldChar w:fldCharType="separate"/>
            </w:r>
            <w:r w:rsidR="00B90978">
              <w:rPr>
                <w:noProof/>
                <w:webHidden/>
              </w:rPr>
              <w:t>34</w:t>
            </w:r>
            <w:r>
              <w:rPr>
                <w:noProof/>
                <w:webHidden/>
              </w:rPr>
              <w:fldChar w:fldCharType="end"/>
            </w:r>
          </w:hyperlink>
        </w:p>
        <w:p w14:paraId="6744B0BE" w14:textId="0F29A884" w:rsidR="00514939" w:rsidRDefault="00514939">
          <w:pPr>
            <w:pStyle w:val="Sumrio2"/>
            <w:tabs>
              <w:tab w:val="right" w:leader="dot" w:pos="9061"/>
            </w:tabs>
            <w:rPr>
              <w:rFonts w:asciiTheme="minorHAnsi" w:eastAsiaTheme="minorEastAsia" w:hAnsiTheme="minorHAnsi"/>
              <w:noProof/>
              <w:lang w:eastAsia="pt-BR"/>
            </w:rPr>
          </w:pPr>
          <w:hyperlink w:anchor="_Toc230204032" w:history="1">
            <w:r w:rsidRPr="004A0D71">
              <w:rPr>
                <w:rStyle w:val="Hyperlink"/>
                <w:rFonts w:eastAsia="Times New Roman"/>
                <w:noProof/>
                <w:lang w:eastAsia="pt-BR"/>
              </w:rPr>
              <w:t>5.1. Conceito de receitas principais da PPP</w:t>
            </w:r>
            <w:r>
              <w:rPr>
                <w:noProof/>
                <w:webHidden/>
              </w:rPr>
              <w:tab/>
            </w:r>
            <w:r>
              <w:rPr>
                <w:noProof/>
                <w:webHidden/>
              </w:rPr>
              <w:fldChar w:fldCharType="begin"/>
            </w:r>
            <w:r>
              <w:rPr>
                <w:noProof/>
                <w:webHidden/>
              </w:rPr>
              <w:instrText xml:space="preserve"> PAGEREF _Toc230204032 \h </w:instrText>
            </w:r>
            <w:r>
              <w:rPr>
                <w:noProof/>
                <w:webHidden/>
              </w:rPr>
            </w:r>
            <w:r>
              <w:rPr>
                <w:noProof/>
                <w:webHidden/>
              </w:rPr>
              <w:fldChar w:fldCharType="separate"/>
            </w:r>
            <w:r w:rsidR="00B90978">
              <w:rPr>
                <w:noProof/>
                <w:webHidden/>
              </w:rPr>
              <w:t>34</w:t>
            </w:r>
            <w:r>
              <w:rPr>
                <w:noProof/>
                <w:webHidden/>
              </w:rPr>
              <w:fldChar w:fldCharType="end"/>
            </w:r>
          </w:hyperlink>
        </w:p>
        <w:p w14:paraId="513D5A2A" w14:textId="4A4D5499" w:rsidR="00514939" w:rsidRDefault="00514939">
          <w:pPr>
            <w:pStyle w:val="Sumrio2"/>
            <w:tabs>
              <w:tab w:val="right" w:leader="dot" w:pos="9061"/>
            </w:tabs>
            <w:rPr>
              <w:rFonts w:asciiTheme="minorHAnsi" w:eastAsiaTheme="minorEastAsia" w:hAnsiTheme="minorHAnsi"/>
              <w:noProof/>
              <w:lang w:eastAsia="pt-BR"/>
            </w:rPr>
          </w:pPr>
          <w:hyperlink w:anchor="_Toc230204033" w:history="1">
            <w:r w:rsidRPr="004A0D71">
              <w:rPr>
                <w:rStyle w:val="Hyperlink"/>
                <w:rFonts w:eastAsia="Times New Roman"/>
                <w:noProof/>
                <w:lang w:eastAsia="pt-BR"/>
              </w:rPr>
              <w:t>5.2. Receita principal de destinação/tratamento de RSU</w:t>
            </w:r>
            <w:r>
              <w:rPr>
                <w:noProof/>
                <w:webHidden/>
              </w:rPr>
              <w:tab/>
            </w:r>
            <w:r>
              <w:rPr>
                <w:noProof/>
                <w:webHidden/>
              </w:rPr>
              <w:fldChar w:fldCharType="begin"/>
            </w:r>
            <w:r>
              <w:rPr>
                <w:noProof/>
                <w:webHidden/>
              </w:rPr>
              <w:instrText xml:space="preserve"> PAGEREF _Toc230204033 \h </w:instrText>
            </w:r>
            <w:r>
              <w:rPr>
                <w:noProof/>
                <w:webHidden/>
              </w:rPr>
            </w:r>
            <w:r>
              <w:rPr>
                <w:noProof/>
                <w:webHidden/>
              </w:rPr>
              <w:fldChar w:fldCharType="separate"/>
            </w:r>
            <w:r w:rsidR="00B90978">
              <w:rPr>
                <w:noProof/>
                <w:webHidden/>
              </w:rPr>
              <w:t>35</w:t>
            </w:r>
            <w:r>
              <w:rPr>
                <w:noProof/>
                <w:webHidden/>
              </w:rPr>
              <w:fldChar w:fldCharType="end"/>
            </w:r>
          </w:hyperlink>
        </w:p>
        <w:p w14:paraId="39B8E1BD" w14:textId="5E7895E4" w:rsidR="00514939" w:rsidRDefault="00514939">
          <w:pPr>
            <w:pStyle w:val="Sumrio2"/>
            <w:tabs>
              <w:tab w:val="right" w:leader="dot" w:pos="9061"/>
            </w:tabs>
            <w:rPr>
              <w:rFonts w:asciiTheme="minorHAnsi" w:eastAsiaTheme="minorEastAsia" w:hAnsiTheme="minorHAnsi"/>
              <w:noProof/>
              <w:lang w:eastAsia="pt-BR"/>
            </w:rPr>
          </w:pPr>
          <w:hyperlink w:anchor="_Toc230204034" w:history="1">
            <w:r w:rsidRPr="004A0D71">
              <w:rPr>
                <w:rStyle w:val="Hyperlink"/>
                <w:rFonts w:eastAsia="Times New Roman"/>
                <w:noProof/>
                <w:lang w:eastAsia="pt-BR"/>
              </w:rPr>
              <w:t>5.3. Receita principal de disponibilização de capacidade energética</w:t>
            </w:r>
            <w:r>
              <w:rPr>
                <w:noProof/>
                <w:webHidden/>
              </w:rPr>
              <w:tab/>
            </w:r>
            <w:r>
              <w:rPr>
                <w:noProof/>
                <w:webHidden/>
              </w:rPr>
              <w:fldChar w:fldCharType="begin"/>
            </w:r>
            <w:r>
              <w:rPr>
                <w:noProof/>
                <w:webHidden/>
              </w:rPr>
              <w:instrText xml:space="preserve"> PAGEREF _Toc230204034 \h </w:instrText>
            </w:r>
            <w:r>
              <w:rPr>
                <w:noProof/>
                <w:webHidden/>
              </w:rPr>
            </w:r>
            <w:r>
              <w:rPr>
                <w:noProof/>
                <w:webHidden/>
              </w:rPr>
              <w:fldChar w:fldCharType="separate"/>
            </w:r>
            <w:r w:rsidR="00B90978">
              <w:rPr>
                <w:noProof/>
                <w:webHidden/>
              </w:rPr>
              <w:t>36</w:t>
            </w:r>
            <w:r>
              <w:rPr>
                <w:noProof/>
                <w:webHidden/>
              </w:rPr>
              <w:fldChar w:fldCharType="end"/>
            </w:r>
          </w:hyperlink>
        </w:p>
        <w:p w14:paraId="04B8D965" w14:textId="54F0D23D" w:rsidR="00514939" w:rsidRDefault="00514939">
          <w:pPr>
            <w:pStyle w:val="Sumrio2"/>
            <w:tabs>
              <w:tab w:val="right" w:leader="dot" w:pos="9061"/>
            </w:tabs>
            <w:rPr>
              <w:rFonts w:asciiTheme="minorHAnsi" w:eastAsiaTheme="minorEastAsia" w:hAnsiTheme="minorHAnsi"/>
              <w:noProof/>
              <w:lang w:eastAsia="pt-BR"/>
            </w:rPr>
          </w:pPr>
          <w:hyperlink w:anchor="_Toc230204035" w:history="1">
            <w:r w:rsidRPr="004A0D71">
              <w:rPr>
                <w:rStyle w:val="Hyperlink"/>
                <w:rFonts w:eastAsia="Times New Roman"/>
                <w:noProof/>
                <w:lang w:eastAsia="pt-BR"/>
              </w:rPr>
              <w:t>5.4. Receita principal total da PPP</w:t>
            </w:r>
            <w:r>
              <w:rPr>
                <w:noProof/>
                <w:webHidden/>
              </w:rPr>
              <w:tab/>
            </w:r>
            <w:r>
              <w:rPr>
                <w:noProof/>
                <w:webHidden/>
              </w:rPr>
              <w:fldChar w:fldCharType="begin"/>
            </w:r>
            <w:r>
              <w:rPr>
                <w:noProof/>
                <w:webHidden/>
              </w:rPr>
              <w:instrText xml:space="preserve"> PAGEREF _Toc230204035 \h </w:instrText>
            </w:r>
            <w:r>
              <w:rPr>
                <w:noProof/>
                <w:webHidden/>
              </w:rPr>
            </w:r>
            <w:r>
              <w:rPr>
                <w:noProof/>
                <w:webHidden/>
              </w:rPr>
              <w:fldChar w:fldCharType="separate"/>
            </w:r>
            <w:r w:rsidR="00B90978">
              <w:rPr>
                <w:noProof/>
                <w:webHidden/>
              </w:rPr>
              <w:t>37</w:t>
            </w:r>
            <w:r>
              <w:rPr>
                <w:noProof/>
                <w:webHidden/>
              </w:rPr>
              <w:fldChar w:fldCharType="end"/>
            </w:r>
          </w:hyperlink>
        </w:p>
        <w:p w14:paraId="4278A0FA" w14:textId="613BA9E4" w:rsidR="00514939" w:rsidRDefault="00514939">
          <w:pPr>
            <w:pStyle w:val="Sumrio2"/>
            <w:tabs>
              <w:tab w:val="right" w:leader="dot" w:pos="9061"/>
            </w:tabs>
            <w:rPr>
              <w:rFonts w:asciiTheme="minorHAnsi" w:eastAsiaTheme="minorEastAsia" w:hAnsiTheme="minorHAnsi"/>
              <w:noProof/>
              <w:lang w:eastAsia="pt-BR"/>
            </w:rPr>
          </w:pPr>
          <w:hyperlink w:anchor="_Toc230204036" w:history="1">
            <w:r w:rsidRPr="004A0D71">
              <w:rPr>
                <w:rStyle w:val="Hyperlink"/>
                <w:rFonts w:eastAsia="Times New Roman"/>
                <w:noProof/>
                <w:lang w:eastAsia="pt-BR"/>
              </w:rPr>
              <w:t>5.5. Tratamento jurídico-financeiro das receitas principais</w:t>
            </w:r>
            <w:r>
              <w:rPr>
                <w:noProof/>
                <w:webHidden/>
              </w:rPr>
              <w:tab/>
            </w:r>
            <w:r>
              <w:rPr>
                <w:noProof/>
                <w:webHidden/>
              </w:rPr>
              <w:fldChar w:fldCharType="begin"/>
            </w:r>
            <w:r>
              <w:rPr>
                <w:noProof/>
                <w:webHidden/>
              </w:rPr>
              <w:instrText xml:space="preserve"> PAGEREF _Toc230204036 \h </w:instrText>
            </w:r>
            <w:r>
              <w:rPr>
                <w:noProof/>
                <w:webHidden/>
              </w:rPr>
            </w:r>
            <w:r>
              <w:rPr>
                <w:noProof/>
                <w:webHidden/>
              </w:rPr>
              <w:fldChar w:fldCharType="separate"/>
            </w:r>
            <w:r w:rsidR="00B90978">
              <w:rPr>
                <w:noProof/>
                <w:webHidden/>
              </w:rPr>
              <w:t>37</w:t>
            </w:r>
            <w:r>
              <w:rPr>
                <w:noProof/>
                <w:webHidden/>
              </w:rPr>
              <w:fldChar w:fldCharType="end"/>
            </w:r>
          </w:hyperlink>
        </w:p>
        <w:p w14:paraId="28C473E2" w14:textId="7582DC56" w:rsidR="00514939" w:rsidRDefault="00514939">
          <w:pPr>
            <w:pStyle w:val="Sumrio2"/>
            <w:tabs>
              <w:tab w:val="right" w:leader="dot" w:pos="9061"/>
            </w:tabs>
            <w:rPr>
              <w:rFonts w:asciiTheme="minorHAnsi" w:eastAsiaTheme="minorEastAsia" w:hAnsiTheme="minorHAnsi"/>
              <w:noProof/>
              <w:lang w:eastAsia="pt-BR"/>
            </w:rPr>
          </w:pPr>
          <w:hyperlink w:anchor="_Toc230204037" w:history="1">
            <w:r w:rsidRPr="004A0D71">
              <w:rPr>
                <w:rStyle w:val="Hyperlink"/>
                <w:rFonts w:eastAsia="Times New Roman"/>
                <w:noProof/>
                <w:lang w:eastAsia="pt-BR"/>
              </w:rPr>
              <w:t>5.6. Conceito de receitas acessórias</w:t>
            </w:r>
            <w:r>
              <w:rPr>
                <w:noProof/>
                <w:webHidden/>
              </w:rPr>
              <w:tab/>
            </w:r>
            <w:r>
              <w:rPr>
                <w:noProof/>
                <w:webHidden/>
              </w:rPr>
              <w:fldChar w:fldCharType="begin"/>
            </w:r>
            <w:r>
              <w:rPr>
                <w:noProof/>
                <w:webHidden/>
              </w:rPr>
              <w:instrText xml:space="preserve"> PAGEREF _Toc230204037 \h </w:instrText>
            </w:r>
            <w:r>
              <w:rPr>
                <w:noProof/>
                <w:webHidden/>
              </w:rPr>
            </w:r>
            <w:r>
              <w:rPr>
                <w:noProof/>
                <w:webHidden/>
              </w:rPr>
              <w:fldChar w:fldCharType="separate"/>
            </w:r>
            <w:r w:rsidR="00B90978">
              <w:rPr>
                <w:noProof/>
                <w:webHidden/>
              </w:rPr>
              <w:t>38</w:t>
            </w:r>
            <w:r>
              <w:rPr>
                <w:noProof/>
                <w:webHidden/>
              </w:rPr>
              <w:fldChar w:fldCharType="end"/>
            </w:r>
          </w:hyperlink>
        </w:p>
        <w:p w14:paraId="139E6F82" w14:textId="4C207FAA" w:rsidR="00514939" w:rsidRDefault="00514939">
          <w:pPr>
            <w:pStyle w:val="Sumrio2"/>
            <w:tabs>
              <w:tab w:val="right" w:leader="dot" w:pos="9061"/>
            </w:tabs>
            <w:rPr>
              <w:rFonts w:asciiTheme="minorHAnsi" w:eastAsiaTheme="minorEastAsia" w:hAnsiTheme="minorHAnsi"/>
              <w:noProof/>
              <w:lang w:eastAsia="pt-BR"/>
            </w:rPr>
          </w:pPr>
          <w:hyperlink w:anchor="_Toc230204038" w:history="1">
            <w:r w:rsidRPr="004A0D71">
              <w:rPr>
                <w:rStyle w:val="Hyperlink"/>
                <w:rFonts w:eastAsia="Times New Roman"/>
                <w:noProof/>
                <w:lang w:eastAsia="pt-BR"/>
              </w:rPr>
              <w:t>5.7. Condicionantes das receitas acessórias</w:t>
            </w:r>
            <w:r>
              <w:rPr>
                <w:noProof/>
                <w:webHidden/>
              </w:rPr>
              <w:tab/>
            </w:r>
            <w:r>
              <w:rPr>
                <w:noProof/>
                <w:webHidden/>
              </w:rPr>
              <w:fldChar w:fldCharType="begin"/>
            </w:r>
            <w:r>
              <w:rPr>
                <w:noProof/>
                <w:webHidden/>
              </w:rPr>
              <w:instrText xml:space="preserve"> PAGEREF _Toc230204038 \h </w:instrText>
            </w:r>
            <w:r>
              <w:rPr>
                <w:noProof/>
                <w:webHidden/>
              </w:rPr>
            </w:r>
            <w:r>
              <w:rPr>
                <w:noProof/>
                <w:webHidden/>
              </w:rPr>
              <w:fldChar w:fldCharType="separate"/>
            </w:r>
            <w:r w:rsidR="00B90978">
              <w:rPr>
                <w:noProof/>
                <w:webHidden/>
              </w:rPr>
              <w:t>39</w:t>
            </w:r>
            <w:r>
              <w:rPr>
                <w:noProof/>
                <w:webHidden/>
              </w:rPr>
              <w:fldChar w:fldCharType="end"/>
            </w:r>
          </w:hyperlink>
        </w:p>
        <w:p w14:paraId="40288FDD" w14:textId="2E82E7EB" w:rsidR="00514939" w:rsidRDefault="00514939">
          <w:pPr>
            <w:pStyle w:val="Sumrio2"/>
            <w:tabs>
              <w:tab w:val="right" w:leader="dot" w:pos="9061"/>
            </w:tabs>
            <w:rPr>
              <w:rFonts w:asciiTheme="minorHAnsi" w:eastAsiaTheme="minorEastAsia" w:hAnsiTheme="minorHAnsi"/>
              <w:noProof/>
              <w:lang w:eastAsia="pt-BR"/>
            </w:rPr>
          </w:pPr>
          <w:hyperlink w:anchor="_Toc230204039" w:history="1">
            <w:r w:rsidRPr="004A0D71">
              <w:rPr>
                <w:rStyle w:val="Hyperlink"/>
                <w:rFonts w:eastAsia="Times New Roman"/>
                <w:noProof/>
                <w:lang w:eastAsia="pt-BR"/>
              </w:rPr>
              <w:t>5.8. Recicláveis como receita acessória potencial adicional</w:t>
            </w:r>
            <w:r>
              <w:rPr>
                <w:noProof/>
                <w:webHidden/>
              </w:rPr>
              <w:tab/>
            </w:r>
            <w:r>
              <w:rPr>
                <w:noProof/>
                <w:webHidden/>
              </w:rPr>
              <w:fldChar w:fldCharType="begin"/>
            </w:r>
            <w:r>
              <w:rPr>
                <w:noProof/>
                <w:webHidden/>
              </w:rPr>
              <w:instrText xml:space="preserve"> PAGEREF _Toc230204039 \h </w:instrText>
            </w:r>
            <w:r>
              <w:rPr>
                <w:noProof/>
                <w:webHidden/>
              </w:rPr>
            </w:r>
            <w:r>
              <w:rPr>
                <w:noProof/>
                <w:webHidden/>
              </w:rPr>
              <w:fldChar w:fldCharType="separate"/>
            </w:r>
            <w:r w:rsidR="00B90978">
              <w:rPr>
                <w:noProof/>
                <w:webHidden/>
              </w:rPr>
              <w:t>40</w:t>
            </w:r>
            <w:r>
              <w:rPr>
                <w:noProof/>
                <w:webHidden/>
              </w:rPr>
              <w:fldChar w:fldCharType="end"/>
            </w:r>
          </w:hyperlink>
        </w:p>
        <w:p w14:paraId="6F23EF9E" w14:textId="1C27C60C" w:rsidR="00514939" w:rsidRDefault="00514939">
          <w:pPr>
            <w:pStyle w:val="Sumrio2"/>
            <w:tabs>
              <w:tab w:val="right" w:leader="dot" w:pos="9061"/>
            </w:tabs>
            <w:rPr>
              <w:rFonts w:asciiTheme="minorHAnsi" w:eastAsiaTheme="minorEastAsia" w:hAnsiTheme="minorHAnsi"/>
              <w:noProof/>
              <w:lang w:eastAsia="pt-BR"/>
            </w:rPr>
          </w:pPr>
          <w:hyperlink w:anchor="_Toc230204040" w:history="1">
            <w:r w:rsidRPr="004A0D71">
              <w:rPr>
                <w:rStyle w:val="Hyperlink"/>
                <w:rFonts w:eastAsia="Times New Roman"/>
                <w:noProof/>
                <w:lang w:eastAsia="pt-BR"/>
              </w:rPr>
              <w:t>5.9. Receita acessória líquida e repartição de benefício ao Fundo Municipal</w:t>
            </w:r>
            <w:r>
              <w:rPr>
                <w:noProof/>
                <w:webHidden/>
              </w:rPr>
              <w:tab/>
            </w:r>
            <w:r>
              <w:rPr>
                <w:noProof/>
                <w:webHidden/>
              </w:rPr>
              <w:fldChar w:fldCharType="begin"/>
            </w:r>
            <w:r>
              <w:rPr>
                <w:noProof/>
                <w:webHidden/>
              </w:rPr>
              <w:instrText xml:space="preserve"> PAGEREF _Toc230204040 \h </w:instrText>
            </w:r>
            <w:r>
              <w:rPr>
                <w:noProof/>
                <w:webHidden/>
              </w:rPr>
            </w:r>
            <w:r>
              <w:rPr>
                <w:noProof/>
                <w:webHidden/>
              </w:rPr>
              <w:fldChar w:fldCharType="separate"/>
            </w:r>
            <w:r w:rsidR="00B90978">
              <w:rPr>
                <w:noProof/>
                <w:webHidden/>
              </w:rPr>
              <w:t>41</w:t>
            </w:r>
            <w:r>
              <w:rPr>
                <w:noProof/>
                <w:webHidden/>
              </w:rPr>
              <w:fldChar w:fldCharType="end"/>
            </w:r>
          </w:hyperlink>
        </w:p>
        <w:p w14:paraId="50AC7489" w14:textId="4B821C15" w:rsidR="00514939" w:rsidRDefault="00514939">
          <w:pPr>
            <w:pStyle w:val="Sumrio2"/>
            <w:tabs>
              <w:tab w:val="right" w:leader="dot" w:pos="9061"/>
            </w:tabs>
            <w:rPr>
              <w:rFonts w:asciiTheme="minorHAnsi" w:eastAsiaTheme="minorEastAsia" w:hAnsiTheme="minorHAnsi"/>
              <w:noProof/>
              <w:lang w:eastAsia="pt-BR"/>
            </w:rPr>
          </w:pPr>
          <w:hyperlink w:anchor="_Toc230204041" w:history="1">
            <w:r w:rsidRPr="004A0D71">
              <w:rPr>
                <w:rStyle w:val="Hyperlink"/>
                <w:rFonts w:eastAsia="Times New Roman"/>
                <w:noProof/>
                <w:lang w:eastAsia="pt-BR"/>
              </w:rPr>
              <w:t>5.10. Tratamento das receitas acessórias na matriz de riscos</w:t>
            </w:r>
            <w:r>
              <w:rPr>
                <w:noProof/>
                <w:webHidden/>
              </w:rPr>
              <w:tab/>
            </w:r>
            <w:r>
              <w:rPr>
                <w:noProof/>
                <w:webHidden/>
              </w:rPr>
              <w:fldChar w:fldCharType="begin"/>
            </w:r>
            <w:r>
              <w:rPr>
                <w:noProof/>
                <w:webHidden/>
              </w:rPr>
              <w:instrText xml:space="preserve"> PAGEREF _Toc230204041 \h </w:instrText>
            </w:r>
            <w:r>
              <w:rPr>
                <w:noProof/>
                <w:webHidden/>
              </w:rPr>
            </w:r>
            <w:r>
              <w:rPr>
                <w:noProof/>
                <w:webHidden/>
              </w:rPr>
              <w:fldChar w:fldCharType="separate"/>
            </w:r>
            <w:r w:rsidR="00B90978">
              <w:rPr>
                <w:noProof/>
                <w:webHidden/>
              </w:rPr>
              <w:t>42</w:t>
            </w:r>
            <w:r>
              <w:rPr>
                <w:noProof/>
                <w:webHidden/>
              </w:rPr>
              <w:fldChar w:fldCharType="end"/>
            </w:r>
          </w:hyperlink>
        </w:p>
        <w:p w14:paraId="02FF9A98" w14:textId="0C5FE37A" w:rsidR="00514939" w:rsidRDefault="00514939">
          <w:pPr>
            <w:pStyle w:val="Sumrio2"/>
            <w:tabs>
              <w:tab w:val="right" w:leader="dot" w:pos="9061"/>
            </w:tabs>
            <w:rPr>
              <w:rFonts w:asciiTheme="minorHAnsi" w:eastAsiaTheme="minorEastAsia" w:hAnsiTheme="minorHAnsi"/>
              <w:noProof/>
              <w:lang w:eastAsia="pt-BR"/>
            </w:rPr>
          </w:pPr>
          <w:hyperlink w:anchor="_Toc230204042" w:history="1">
            <w:r w:rsidRPr="004A0D71">
              <w:rPr>
                <w:rStyle w:val="Hyperlink"/>
                <w:rFonts w:eastAsia="Times New Roman"/>
                <w:noProof/>
                <w:lang w:eastAsia="pt-BR"/>
              </w:rPr>
              <w:t>5.11. Relação entre receitas acessórias e reequilíbrio econômico-financeiro</w:t>
            </w:r>
            <w:r>
              <w:rPr>
                <w:noProof/>
                <w:webHidden/>
              </w:rPr>
              <w:tab/>
            </w:r>
            <w:r>
              <w:rPr>
                <w:noProof/>
                <w:webHidden/>
              </w:rPr>
              <w:fldChar w:fldCharType="begin"/>
            </w:r>
            <w:r>
              <w:rPr>
                <w:noProof/>
                <w:webHidden/>
              </w:rPr>
              <w:instrText xml:space="preserve"> PAGEREF _Toc230204042 \h </w:instrText>
            </w:r>
            <w:r>
              <w:rPr>
                <w:noProof/>
                <w:webHidden/>
              </w:rPr>
            </w:r>
            <w:r>
              <w:rPr>
                <w:noProof/>
                <w:webHidden/>
              </w:rPr>
              <w:fldChar w:fldCharType="separate"/>
            </w:r>
            <w:r w:rsidR="00B90978">
              <w:rPr>
                <w:noProof/>
                <w:webHidden/>
              </w:rPr>
              <w:t>43</w:t>
            </w:r>
            <w:r>
              <w:rPr>
                <w:noProof/>
                <w:webHidden/>
              </w:rPr>
              <w:fldChar w:fldCharType="end"/>
            </w:r>
          </w:hyperlink>
        </w:p>
        <w:p w14:paraId="22DA5F22" w14:textId="6BBD22BB" w:rsidR="00514939" w:rsidRDefault="00514939">
          <w:pPr>
            <w:pStyle w:val="Sumrio2"/>
            <w:tabs>
              <w:tab w:val="right" w:leader="dot" w:pos="9061"/>
            </w:tabs>
            <w:rPr>
              <w:rFonts w:asciiTheme="minorHAnsi" w:eastAsiaTheme="minorEastAsia" w:hAnsiTheme="minorHAnsi"/>
              <w:noProof/>
              <w:lang w:eastAsia="pt-BR"/>
            </w:rPr>
          </w:pPr>
          <w:hyperlink w:anchor="_Toc230204043" w:history="1">
            <w:r w:rsidRPr="004A0D71">
              <w:rPr>
                <w:rStyle w:val="Hyperlink"/>
                <w:rFonts w:eastAsia="Times New Roman"/>
                <w:noProof/>
                <w:lang w:eastAsia="pt-BR"/>
              </w:rPr>
              <w:t>5.12. Papel das receitas acessórias na bancabilidade</w:t>
            </w:r>
            <w:r>
              <w:rPr>
                <w:noProof/>
                <w:webHidden/>
              </w:rPr>
              <w:tab/>
            </w:r>
            <w:r>
              <w:rPr>
                <w:noProof/>
                <w:webHidden/>
              </w:rPr>
              <w:fldChar w:fldCharType="begin"/>
            </w:r>
            <w:r>
              <w:rPr>
                <w:noProof/>
                <w:webHidden/>
              </w:rPr>
              <w:instrText xml:space="preserve"> PAGEREF _Toc230204043 \h </w:instrText>
            </w:r>
            <w:r>
              <w:rPr>
                <w:noProof/>
                <w:webHidden/>
              </w:rPr>
            </w:r>
            <w:r>
              <w:rPr>
                <w:noProof/>
                <w:webHidden/>
              </w:rPr>
              <w:fldChar w:fldCharType="separate"/>
            </w:r>
            <w:r w:rsidR="00B90978">
              <w:rPr>
                <w:noProof/>
                <w:webHidden/>
              </w:rPr>
              <w:t>43</w:t>
            </w:r>
            <w:r>
              <w:rPr>
                <w:noProof/>
                <w:webHidden/>
              </w:rPr>
              <w:fldChar w:fldCharType="end"/>
            </w:r>
          </w:hyperlink>
        </w:p>
        <w:p w14:paraId="2E8071BF" w14:textId="23F618D0" w:rsidR="00514939" w:rsidRDefault="00514939">
          <w:pPr>
            <w:pStyle w:val="Sumrio2"/>
            <w:tabs>
              <w:tab w:val="right" w:leader="dot" w:pos="9061"/>
            </w:tabs>
            <w:rPr>
              <w:rFonts w:asciiTheme="minorHAnsi" w:eastAsiaTheme="minorEastAsia" w:hAnsiTheme="minorHAnsi"/>
              <w:noProof/>
              <w:lang w:eastAsia="pt-BR"/>
            </w:rPr>
          </w:pPr>
          <w:hyperlink w:anchor="_Toc230204044" w:history="1">
            <w:r w:rsidRPr="004A0D71">
              <w:rPr>
                <w:rStyle w:val="Hyperlink"/>
                <w:rFonts w:eastAsia="Times New Roman"/>
                <w:noProof/>
                <w:lang w:eastAsia="pt-BR"/>
              </w:rPr>
              <w:t>5.13. Síntese da separação entre receitas</w:t>
            </w:r>
            <w:r>
              <w:rPr>
                <w:noProof/>
                <w:webHidden/>
              </w:rPr>
              <w:tab/>
            </w:r>
            <w:r>
              <w:rPr>
                <w:noProof/>
                <w:webHidden/>
              </w:rPr>
              <w:fldChar w:fldCharType="begin"/>
            </w:r>
            <w:r>
              <w:rPr>
                <w:noProof/>
                <w:webHidden/>
              </w:rPr>
              <w:instrText xml:space="preserve"> PAGEREF _Toc230204044 \h </w:instrText>
            </w:r>
            <w:r>
              <w:rPr>
                <w:noProof/>
                <w:webHidden/>
              </w:rPr>
            </w:r>
            <w:r>
              <w:rPr>
                <w:noProof/>
                <w:webHidden/>
              </w:rPr>
              <w:fldChar w:fldCharType="separate"/>
            </w:r>
            <w:r w:rsidR="00B90978">
              <w:rPr>
                <w:noProof/>
                <w:webHidden/>
              </w:rPr>
              <w:t>44</w:t>
            </w:r>
            <w:r>
              <w:rPr>
                <w:noProof/>
                <w:webHidden/>
              </w:rPr>
              <w:fldChar w:fldCharType="end"/>
            </w:r>
          </w:hyperlink>
        </w:p>
        <w:p w14:paraId="1098876E" w14:textId="54FA1EE9" w:rsidR="00514939" w:rsidRDefault="00514939">
          <w:pPr>
            <w:pStyle w:val="Sumrio2"/>
            <w:tabs>
              <w:tab w:val="right" w:leader="dot" w:pos="9061"/>
            </w:tabs>
            <w:rPr>
              <w:rFonts w:asciiTheme="minorHAnsi" w:eastAsiaTheme="minorEastAsia" w:hAnsiTheme="minorHAnsi"/>
              <w:noProof/>
              <w:lang w:eastAsia="pt-BR"/>
            </w:rPr>
          </w:pPr>
          <w:hyperlink w:anchor="_Toc230204045" w:history="1">
            <w:r w:rsidRPr="004A0D71">
              <w:rPr>
                <w:rStyle w:val="Hyperlink"/>
                <w:rFonts w:eastAsia="Times New Roman"/>
                <w:noProof/>
                <w:lang w:eastAsia="pt-BR"/>
              </w:rPr>
              <w:t>5.14. Conclusão do tópico</w:t>
            </w:r>
            <w:r>
              <w:rPr>
                <w:noProof/>
                <w:webHidden/>
              </w:rPr>
              <w:tab/>
            </w:r>
            <w:r>
              <w:rPr>
                <w:noProof/>
                <w:webHidden/>
              </w:rPr>
              <w:fldChar w:fldCharType="begin"/>
            </w:r>
            <w:r>
              <w:rPr>
                <w:noProof/>
                <w:webHidden/>
              </w:rPr>
              <w:instrText xml:space="preserve"> PAGEREF _Toc230204045 \h </w:instrText>
            </w:r>
            <w:r>
              <w:rPr>
                <w:noProof/>
                <w:webHidden/>
              </w:rPr>
            </w:r>
            <w:r>
              <w:rPr>
                <w:noProof/>
                <w:webHidden/>
              </w:rPr>
              <w:fldChar w:fldCharType="separate"/>
            </w:r>
            <w:r w:rsidR="00B90978">
              <w:rPr>
                <w:noProof/>
                <w:webHidden/>
              </w:rPr>
              <w:t>44</w:t>
            </w:r>
            <w:r>
              <w:rPr>
                <w:noProof/>
                <w:webHidden/>
              </w:rPr>
              <w:fldChar w:fldCharType="end"/>
            </w:r>
          </w:hyperlink>
        </w:p>
        <w:p w14:paraId="46902EAC" w14:textId="56B9F5F7" w:rsidR="00514939" w:rsidRDefault="00514939">
          <w:pPr>
            <w:pStyle w:val="Sumrio1"/>
            <w:tabs>
              <w:tab w:val="right" w:leader="dot" w:pos="9061"/>
            </w:tabs>
            <w:rPr>
              <w:rFonts w:asciiTheme="minorHAnsi" w:eastAsiaTheme="minorEastAsia" w:hAnsiTheme="minorHAnsi"/>
              <w:noProof/>
              <w:lang w:eastAsia="pt-BR"/>
            </w:rPr>
          </w:pPr>
          <w:hyperlink w:anchor="_Toc230204046" w:history="1">
            <w:r w:rsidRPr="004A0D71">
              <w:rPr>
                <w:rStyle w:val="Hyperlink"/>
                <w:rFonts w:eastAsia="Times New Roman"/>
                <w:noProof/>
                <w:lang w:eastAsia="pt-BR"/>
              </w:rPr>
              <w:t>6. Premissas Oficiais da Modelagem</w:t>
            </w:r>
            <w:r>
              <w:rPr>
                <w:noProof/>
                <w:webHidden/>
              </w:rPr>
              <w:tab/>
            </w:r>
            <w:r>
              <w:rPr>
                <w:noProof/>
                <w:webHidden/>
              </w:rPr>
              <w:fldChar w:fldCharType="begin"/>
            </w:r>
            <w:r>
              <w:rPr>
                <w:noProof/>
                <w:webHidden/>
              </w:rPr>
              <w:instrText xml:space="preserve"> PAGEREF _Toc230204046 \h </w:instrText>
            </w:r>
            <w:r>
              <w:rPr>
                <w:noProof/>
                <w:webHidden/>
              </w:rPr>
            </w:r>
            <w:r>
              <w:rPr>
                <w:noProof/>
                <w:webHidden/>
              </w:rPr>
              <w:fldChar w:fldCharType="separate"/>
            </w:r>
            <w:r w:rsidR="00B90978">
              <w:rPr>
                <w:noProof/>
                <w:webHidden/>
              </w:rPr>
              <w:t>46</w:t>
            </w:r>
            <w:r>
              <w:rPr>
                <w:noProof/>
                <w:webHidden/>
              </w:rPr>
              <w:fldChar w:fldCharType="end"/>
            </w:r>
          </w:hyperlink>
        </w:p>
        <w:p w14:paraId="245B60AA" w14:textId="124EDD6D" w:rsidR="00514939" w:rsidRDefault="00514939">
          <w:pPr>
            <w:pStyle w:val="Sumrio2"/>
            <w:tabs>
              <w:tab w:val="right" w:leader="dot" w:pos="9061"/>
            </w:tabs>
            <w:rPr>
              <w:rFonts w:asciiTheme="minorHAnsi" w:eastAsiaTheme="minorEastAsia" w:hAnsiTheme="minorHAnsi"/>
              <w:noProof/>
              <w:lang w:eastAsia="pt-BR"/>
            </w:rPr>
          </w:pPr>
          <w:hyperlink w:anchor="_Toc230204047" w:history="1">
            <w:r w:rsidRPr="004A0D71">
              <w:rPr>
                <w:rStyle w:val="Hyperlink"/>
                <w:rFonts w:eastAsia="Times New Roman"/>
                <w:noProof/>
                <w:lang w:eastAsia="pt-BR"/>
              </w:rPr>
              <w:t>6.1. Premissas contratuais e operacionais</w:t>
            </w:r>
            <w:r>
              <w:rPr>
                <w:noProof/>
                <w:webHidden/>
              </w:rPr>
              <w:tab/>
            </w:r>
            <w:r>
              <w:rPr>
                <w:noProof/>
                <w:webHidden/>
              </w:rPr>
              <w:fldChar w:fldCharType="begin"/>
            </w:r>
            <w:r>
              <w:rPr>
                <w:noProof/>
                <w:webHidden/>
              </w:rPr>
              <w:instrText xml:space="preserve"> PAGEREF _Toc230204047 \h </w:instrText>
            </w:r>
            <w:r>
              <w:rPr>
                <w:noProof/>
                <w:webHidden/>
              </w:rPr>
            </w:r>
            <w:r>
              <w:rPr>
                <w:noProof/>
                <w:webHidden/>
              </w:rPr>
              <w:fldChar w:fldCharType="separate"/>
            </w:r>
            <w:r w:rsidR="00B90978">
              <w:rPr>
                <w:noProof/>
                <w:webHidden/>
              </w:rPr>
              <w:t>46</w:t>
            </w:r>
            <w:r>
              <w:rPr>
                <w:noProof/>
                <w:webHidden/>
              </w:rPr>
              <w:fldChar w:fldCharType="end"/>
            </w:r>
          </w:hyperlink>
        </w:p>
        <w:p w14:paraId="60982DFA" w14:textId="41E0BF3C" w:rsidR="00514939" w:rsidRDefault="00514939">
          <w:pPr>
            <w:pStyle w:val="Sumrio2"/>
            <w:tabs>
              <w:tab w:val="right" w:leader="dot" w:pos="9061"/>
            </w:tabs>
            <w:rPr>
              <w:rFonts w:asciiTheme="minorHAnsi" w:eastAsiaTheme="minorEastAsia" w:hAnsiTheme="minorHAnsi"/>
              <w:noProof/>
              <w:lang w:eastAsia="pt-BR"/>
            </w:rPr>
          </w:pPr>
          <w:hyperlink w:anchor="_Toc230204048" w:history="1">
            <w:r w:rsidRPr="004A0D71">
              <w:rPr>
                <w:rStyle w:val="Hyperlink"/>
                <w:rFonts w:eastAsia="Times New Roman"/>
                <w:noProof/>
                <w:lang w:eastAsia="pt-BR"/>
              </w:rPr>
              <w:t>6.2. Premissas de RSU</w:t>
            </w:r>
            <w:r>
              <w:rPr>
                <w:noProof/>
                <w:webHidden/>
              </w:rPr>
              <w:tab/>
            </w:r>
            <w:r>
              <w:rPr>
                <w:noProof/>
                <w:webHidden/>
              </w:rPr>
              <w:fldChar w:fldCharType="begin"/>
            </w:r>
            <w:r>
              <w:rPr>
                <w:noProof/>
                <w:webHidden/>
              </w:rPr>
              <w:instrText xml:space="preserve"> PAGEREF _Toc230204048 \h </w:instrText>
            </w:r>
            <w:r>
              <w:rPr>
                <w:noProof/>
                <w:webHidden/>
              </w:rPr>
            </w:r>
            <w:r>
              <w:rPr>
                <w:noProof/>
                <w:webHidden/>
              </w:rPr>
              <w:fldChar w:fldCharType="separate"/>
            </w:r>
            <w:r w:rsidR="00B90978">
              <w:rPr>
                <w:noProof/>
                <w:webHidden/>
              </w:rPr>
              <w:t>47</w:t>
            </w:r>
            <w:r>
              <w:rPr>
                <w:noProof/>
                <w:webHidden/>
              </w:rPr>
              <w:fldChar w:fldCharType="end"/>
            </w:r>
          </w:hyperlink>
        </w:p>
        <w:p w14:paraId="4928AFF4" w14:textId="58FE3F4C" w:rsidR="00514939" w:rsidRDefault="00514939">
          <w:pPr>
            <w:pStyle w:val="Sumrio2"/>
            <w:tabs>
              <w:tab w:val="right" w:leader="dot" w:pos="9061"/>
            </w:tabs>
            <w:rPr>
              <w:rFonts w:asciiTheme="minorHAnsi" w:eastAsiaTheme="minorEastAsia" w:hAnsiTheme="minorHAnsi"/>
              <w:noProof/>
              <w:lang w:eastAsia="pt-BR"/>
            </w:rPr>
          </w:pPr>
          <w:hyperlink w:anchor="_Toc230204049" w:history="1">
            <w:r w:rsidRPr="004A0D71">
              <w:rPr>
                <w:rStyle w:val="Hyperlink"/>
                <w:rFonts w:eastAsia="Times New Roman"/>
                <w:noProof/>
                <w:lang w:eastAsia="pt-BR"/>
              </w:rPr>
              <w:t>6.3. Premissas energéticas</w:t>
            </w:r>
            <w:r>
              <w:rPr>
                <w:noProof/>
                <w:webHidden/>
              </w:rPr>
              <w:tab/>
            </w:r>
            <w:r>
              <w:rPr>
                <w:noProof/>
                <w:webHidden/>
              </w:rPr>
              <w:fldChar w:fldCharType="begin"/>
            </w:r>
            <w:r>
              <w:rPr>
                <w:noProof/>
                <w:webHidden/>
              </w:rPr>
              <w:instrText xml:space="preserve"> PAGEREF _Toc230204049 \h </w:instrText>
            </w:r>
            <w:r>
              <w:rPr>
                <w:noProof/>
                <w:webHidden/>
              </w:rPr>
            </w:r>
            <w:r>
              <w:rPr>
                <w:noProof/>
                <w:webHidden/>
              </w:rPr>
              <w:fldChar w:fldCharType="separate"/>
            </w:r>
            <w:r w:rsidR="00B90978">
              <w:rPr>
                <w:noProof/>
                <w:webHidden/>
              </w:rPr>
              <w:t>48</w:t>
            </w:r>
            <w:r>
              <w:rPr>
                <w:noProof/>
                <w:webHidden/>
              </w:rPr>
              <w:fldChar w:fldCharType="end"/>
            </w:r>
          </w:hyperlink>
        </w:p>
        <w:p w14:paraId="38F2FF34" w14:textId="234A545D" w:rsidR="00514939" w:rsidRDefault="00514939">
          <w:pPr>
            <w:pStyle w:val="Sumrio2"/>
            <w:tabs>
              <w:tab w:val="right" w:leader="dot" w:pos="9061"/>
            </w:tabs>
            <w:rPr>
              <w:rFonts w:asciiTheme="minorHAnsi" w:eastAsiaTheme="minorEastAsia" w:hAnsiTheme="minorHAnsi"/>
              <w:noProof/>
              <w:lang w:eastAsia="pt-BR"/>
            </w:rPr>
          </w:pPr>
          <w:hyperlink w:anchor="_Toc230204050" w:history="1">
            <w:r w:rsidRPr="004A0D71">
              <w:rPr>
                <w:rStyle w:val="Hyperlink"/>
                <w:rFonts w:eastAsia="Times New Roman"/>
                <w:noProof/>
                <w:lang w:eastAsia="pt-BR"/>
              </w:rPr>
              <w:t>6.4. Premissas de investimento</w:t>
            </w:r>
            <w:r>
              <w:rPr>
                <w:noProof/>
                <w:webHidden/>
              </w:rPr>
              <w:tab/>
            </w:r>
            <w:r>
              <w:rPr>
                <w:noProof/>
                <w:webHidden/>
              </w:rPr>
              <w:fldChar w:fldCharType="begin"/>
            </w:r>
            <w:r>
              <w:rPr>
                <w:noProof/>
                <w:webHidden/>
              </w:rPr>
              <w:instrText xml:space="preserve"> PAGEREF _Toc230204050 \h </w:instrText>
            </w:r>
            <w:r>
              <w:rPr>
                <w:noProof/>
                <w:webHidden/>
              </w:rPr>
            </w:r>
            <w:r>
              <w:rPr>
                <w:noProof/>
                <w:webHidden/>
              </w:rPr>
              <w:fldChar w:fldCharType="separate"/>
            </w:r>
            <w:r w:rsidR="00B90978">
              <w:rPr>
                <w:noProof/>
                <w:webHidden/>
              </w:rPr>
              <w:t>49</w:t>
            </w:r>
            <w:r>
              <w:rPr>
                <w:noProof/>
                <w:webHidden/>
              </w:rPr>
              <w:fldChar w:fldCharType="end"/>
            </w:r>
          </w:hyperlink>
        </w:p>
        <w:p w14:paraId="5D354661" w14:textId="2A307D2F" w:rsidR="00514939" w:rsidRDefault="00514939">
          <w:pPr>
            <w:pStyle w:val="Sumrio2"/>
            <w:tabs>
              <w:tab w:val="right" w:leader="dot" w:pos="9061"/>
            </w:tabs>
            <w:rPr>
              <w:rFonts w:asciiTheme="minorHAnsi" w:eastAsiaTheme="minorEastAsia" w:hAnsiTheme="minorHAnsi"/>
              <w:noProof/>
              <w:lang w:eastAsia="pt-BR"/>
            </w:rPr>
          </w:pPr>
          <w:hyperlink w:anchor="_Toc230204051" w:history="1">
            <w:r w:rsidRPr="004A0D71">
              <w:rPr>
                <w:rStyle w:val="Hyperlink"/>
                <w:rFonts w:eastAsia="Times New Roman"/>
                <w:noProof/>
                <w:lang w:eastAsia="pt-BR"/>
              </w:rPr>
              <w:t>6.5. Premissas de OPEX</w:t>
            </w:r>
            <w:r>
              <w:rPr>
                <w:noProof/>
                <w:webHidden/>
              </w:rPr>
              <w:tab/>
            </w:r>
            <w:r>
              <w:rPr>
                <w:noProof/>
                <w:webHidden/>
              </w:rPr>
              <w:fldChar w:fldCharType="begin"/>
            </w:r>
            <w:r>
              <w:rPr>
                <w:noProof/>
                <w:webHidden/>
              </w:rPr>
              <w:instrText xml:space="preserve"> PAGEREF _Toc230204051 \h </w:instrText>
            </w:r>
            <w:r>
              <w:rPr>
                <w:noProof/>
                <w:webHidden/>
              </w:rPr>
            </w:r>
            <w:r>
              <w:rPr>
                <w:noProof/>
                <w:webHidden/>
              </w:rPr>
              <w:fldChar w:fldCharType="separate"/>
            </w:r>
            <w:r w:rsidR="00B90978">
              <w:rPr>
                <w:noProof/>
                <w:webHidden/>
              </w:rPr>
              <w:t>50</w:t>
            </w:r>
            <w:r>
              <w:rPr>
                <w:noProof/>
                <w:webHidden/>
              </w:rPr>
              <w:fldChar w:fldCharType="end"/>
            </w:r>
          </w:hyperlink>
        </w:p>
        <w:p w14:paraId="5FD9E4EF" w14:textId="139FE710" w:rsidR="00514939" w:rsidRDefault="00514939">
          <w:pPr>
            <w:pStyle w:val="Sumrio2"/>
            <w:tabs>
              <w:tab w:val="right" w:leader="dot" w:pos="9061"/>
            </w:tabs>
            <w:rPr>
              <w:rFonts w:asciiTheme="minorHAnsi" w:eastAsiaTheme="minorEastAsia" w:hAnsiTheme="minorHAnsi"/>
              <w:noProof/>
              <w:lang w:eastAsia="pt-BR"/>
            </w:rPr>
          </w:pPr>
          <w:hyperlink w:anchor="_Toc230204052" w:history="1">
            <w:r w:rsidRPr="004A0D71">
              <w:rPr>
                <w:rStyle w:val="Hyperlink"/>
                <w:rFonts w:eastAsia="Times New Roman"/>
                <w:noProof/>
                <w:lang w:eastAsia="pt-BR"/>
              </w:rPr>
              <w:t>6.6. Premissas tributárias</w:t>
            </w:r>
            <w:r>
              <w:rPr>
                <w:noProof/>
                <w:webHidden/>
              </w:rPr>
              <w:tab/>
            </w:r>
            <w:r>
              <w:rPr>
                <w:noProof/>
                <w:webHidden/>
              </w:rPr>
              <w:fldChar w:fldCharType="begin"/>
            </w:r>
            <w:r>
              <w:rPr>
                <w:noProof/>
                <w:webHidden/>
              </w:rPr>
              <w:instrText xml:space="preserve"> PAGEREF _Toc230204052 \h </w:instrText>
            </w:r>
            <w:r>
              <w:rPr>
                <w:noProof/>
                <w:webHidden/>
              </w:rPr>
            </w:r>
            <w:r>
              <w:rPr>
                <w:noProof/>
                <w:webHidden/>
              </w:rPr>
              <w:fldChar w:fldCharType="separate"/>
            </w:r>
            <w:r w:rsidR="00B90978">
              <w:rPr>
                <w:noProof/>
                <w:webHidden/>
              </w:rPr>
              <w:t>50</w:t>
            </w:r>
            <w:r>
              <w:rPr>
                <w:noProof/>
                <w:webHidden/>
              </w:rPr>
              <w:fldChar w:fldCharType="end"/>
            </w:r>
          </w:hyperlink>
        </w:p>
        <w:p w14:paraId="45307BAB" w14:textId="7EEAFF53" w:rsidR="00514939" w:rsidRDefault="00514939">
          <w:pPr>
            <w:pStyle w:val="Sumrio2"/>
            <w:tabs>
              <w:tab w:val="right" w:leader="dot" w:pos="9061"/>
            </w:tabs>
            <w:rPr>
              <w:rFonts w:asciiTheme="minorHAnsi" w:eastAsiaTheme="minorEastAsia" w:hAnsiTheme="minorHAnsi"/>
              <w:noProof/>
              <w:lang w:eastAsia="pt-BR"/>
            </w:rPr>
          </w:pPr>
          <w:hyperlink w:anchor="_Toc230204053" w:history="1">
            <w:r w:rsidRPr="004A0D71">
              <w:rPr>
                <w:rStyle w:val="Hyperlink"/>
                <w:rFonts w:eastAsia="Times New Roman" w:cs="Arial"/>
                <w:b/>
                <w:bCs/>
                <w:noProof/>
                <w:kern w:val="0"/>
                <w:lang w:eastAsia="pt-BR"/>
                <w14:ligatures w14:val="none"/>
              </w:rPr>
              <w:t>6.7. Premissas de financiamento</w:t>
            </w:r>
            <w:r>
              <w:rPr>
                <w:noProof/>
                <w:webHidden/>
              </w:rPr>
              <w:tab/>
            </w:r>
            <w:r>
              <w:rPr>
                <w:noProof/>
                <w:webHidden/>
              </w:rPr>
              <w:fldChar w:fldCharType="begin"/>
            </w:r>
            <w:r>
              <w:rPr>
                <w:noProof/>
                <w:webHidden/>
              </w:rPr>
              <w:instrText xml:space="preserve"> PAGEREF _Toc230204053 \h </w:instrText>
            </w:r>
            <w:r>
              <w:rPr>
                <w:noProof/>
                <w:webHidden/>
              </w:rPr>
            </w:r>
            <w:r>
              <w:rPr>
                <w:noProof/>
                <w:webHidden/>
              </w:rPr>
              <w:fldChar w:fldCharType="separate"/>
            </w:r>
            <w:r w:rsidR="00B90978">
              <w:rPr>
                <w:noProof/>
                <w:webHidden/>
              </w:rPr>
              <w:t>51</w:t>
            </w:r>
            <w:r>
              <w:rPr>
                <w:noProof/>
                <w:webHidden/>
              </w:rPr>
              <w:fldChar w:fldCharType="end"/>
            </w:r>
          </w:hyperlink>
        </w:p>
        <w:p w14:paraId="7005169A" w14:textId="1E13EEF3" w:rsidR="00514939" w:rsidRDefault="00514939">
          <w:pPr>
            <w:pStyle w:val="Sumrio2"/>
            <w:tabs>
              <w:tab w:val="right" w:leader="dot" w:pos="9061"/>
            </w:tabs>
            <w:rPr>
              <w:rFonts w:asciiTheme="minorHAnsi" w:eastAsiaTheme="minorEastAsia" w:hAnsiTheme="minorHAnsi"/>
              <w:noProof/>
              <w:lang w:eastAsia="pt-BR"/>
            </w:rPr>
          </w:pPr>
          <w:hyperlink w:anchor="_Toc230204054" w:history="1">
            <w:r w:rsidRPr="004A0D71">
              <w:rPr>
                <w:rStyle w:val="Hyperlink"/>
                <w:rFonts w:eastAsia="Times New Roman"/>
                <w:noProof/>
                <w:lang w:eastAsia="pt-BR"/>
              </w:rPr>
              <w:t>6.8. Premissas de receitas acessórias</w:t>
            </w:r>
            <w:r>
              <w:rPr>
                <w:noProof/>
                <w:webHidden/>
              </w:rPr>
              <w:tab/>
            </w:r>
            <w:r>
              <w:rPr>
                <w:noProof/>
                <w:webHidden/>
              </w:rPr>
              <w:fldChar w:fldCharType="begin"/>
            </w:r>
            <w:r>
              <w:rPr>
                <w:noProof/>
                <w:webHidden/>
              </w:rPr>
              <w:instrText xml:space="preserve"> PAGEREF _Toc230204054 \h </w:instrText>
            </w:r>
            <w:r>
              <w:rPr>
                <w:noProof/>
                <w:webHidden/>
              </w:rPr>
            </w:r>
            <w:r>
              <w:rPr>
                <w:noProof/>
                <w:webHidden/>
              </w:rPr>
              <w:fldChar w:fldCharType="separate"/>
            </w:r>
            <w:r w:rsidR="00B90978">
              <w:rPr>
                <w:noProof/>
                <w:webHidden/>
              </w:rPr>
              <w:t>52</w:t>
            </w:r>
            <w:r>
              <w:rPr>
                <w:noProof/>
                <w:webHidden/>
              </w:rPr>
              <w:fldChar w:fldCharType="end"/>
            </w:r>
          </w:hyperlink>
        </w:p>
        <w:p w14:paraId="0E40F6BA" w14:textId="2D0FC043" w:rsidR="00514939" w:rsidRDefault="00514939">
          <w:pPr>
            <w:pStyle w:val="Sumrio2"/>
            <w:tabs>
              <w:tab w:val="right" w:leader="dot" w:pos="9061"/>
            </w:tabs>
            <w:rPr>
              <w:rFonts w:asciiTheme="minorHAnsi" w:eastAsiaTheme="minorEastAsia" w:hAnsiTheme="minorHAnsi"/>
              <w:noProof/>
              <w:lang w:eastAsia="pt-BR"/>
            </w:rPr>
          </w:pPr>
          <w:hyperlink w:anchor="_Toc230204055" w:history="1">
            <w:r w:rsidRPr="004A0D71">
              <w:rPr>
                <w:rStyle w:val="Hyperlink"/>
                <w:rFonts w:eastAsia="Times New Roman"/>
                <w:noProof/>
                <w:lang w:eastAsia="pt-BR"/>
              </w:rPr>
              <w:t>6.9. Premissas do Fundo Municipal de Meio Ambiente e Tecnologia Pública</w:t>
            </w:r>
            <w:r>
              <w:rPr>
                <w:noProof/>
                <w:webHidden/>
              </w:rPr>
              <w:tab/>
            </w:r>
            <w:r>
              <w:rPr>
                <w:noProof/>
                <w:webHidden/>
              </w:rPr>
              <w:fldChar w:fldCharType="begin"/>
            </w:r>
            <w:r>
              <w:rPr>
                <w:noProof/>
                <w:webHidden/>
              </w:rPr>
              <w:instrText xml:space="preserve"> PAGEREF _Toc230204055 \h </w:instrText>
            </w:r>
            <w:r>
              <w:rPr>
                <w:noProof/>
                <w:webHidden/>
              </w:rPr>
            </w:r>
            <w:r>
              <w:rPr>
                <w:noProof/>
                <w:webHidden/>
              </w:rPr>
              <w:fldChar w:fldCharType="separate"/>
            </w:r>
            <w:r w:rsidR="00B90978">
              <w:rPr>
                <w:noProof/>
                <w:webHidden/>
              </w:rPr>
              <w:t>53</w:t>
            </w:r>
            <w:r>
              <w:rPr>
                <w:noProof/>
                <w:webHidden/>
              </w:rPr>
              <w:fldChar w:fldCharType="end"/>
            </w:r>
          </w:hyperlink>
        </w:p>
        <w:p w14:paraId="6D45FCE2" w14:textId="15EDBD57" w:rsidR="00514939" w:rsidRDefault="00514939">
          <w:pPr>
            <w:pStyle w:val="Sumrio2"/>
            <w:tabs>
              <w:tab w:val="right" w:leader="dot" w:pos="9061"/>
            </w:tabs>
            <w:rPr>
              <w:rFonts w:asciiTheme="minorHAnsi" w:eastAsiaTheme="minorEastAsia" w:hAnsiTheme="minorHAnsi"/>
              <w:noProof/>
              <w:lang w:eastAsia="pt-BR"/>
            </w:rPr>
          </w:pPr>
          <w:hyperlink w:anchor="_Toc230204056" w:history="1">
            <w:r w:rsidRPr="004A0D71">
              <w:rPr>
                <w:rStyle w:val="Hyperlink"/>
                <w:rFonts w:eastAsia="Times New Roman"/>
                <w:noProof/>
                <w:lang w:eastAsia="pt-BR"/>
              </w:rPr>
              <w:t>6.10. Premissas de garantias</w:t>
            </w:r>
            <w:r>
              <w:rPr>
                <w:noProof/>
                <w:webHidden/>
              </w:rPr>
              <w:tab/>
            </w:r>
            <w:r>
              <w:rPr>
                <w:noProof/>
                <w:webHidden/>
              </w:rPr>
              <w:fldChar w:fldCharType="begin"/>
            </w:r>
            <w:r>
              <w:rPr>
                <w:noProof/>
                <w:webHidden/>
              </w:rPr>
              <w:instrText xml:space="preserve"> PAGEREF _Toc230204056 \h </w:instrText>
            </w:r>
            <w:r>
              <w:rPr>
                <w:noProof/>
                <w:webHidden/>
              </w:rPr>
            </w:r>
            <w:r>
              <w:rPr>
                <w:noProof/>
                <w:webHidden/>
              </w:rPr>
              <w:fldChar w:fldCharType="separate"/>
            </w:r>
            <w:r w:rsidR="00B90978">
              <w:rPr>
                <w:noProof/>
                <w:webHidden/>
              </w:rPr>
              <w:t>54</w:t>
            </w:r>
            <w:r>
              <w:rPr>
                <w:noProof/>
                <w:webHidden/>
              </w:rPr>
              <w:fldChar w:fldCharType="end"/>
            </w:r>
          </w:hyperlink>
        </w:p>
        <w:p w14:paraId="31035699" w14:textId="0675F09D" w:rsidR="00514939" w:rsidRDefault="00514939">
          <w:pPr>
            <w:pStyle w:val="Sumrio2"/>
            <w:tabs>
              <w:tab w:val="right" w:leader="dot" w:pos="9061"/>
            </w:tabs>
            <w:rPr>
              <w:rFonts w:asciiTheme="minorHAnsi" w:eastAsiaTheme="minorEastAsia" w:hAnsiTheme="minorHAnsi"/>
              <w:noProof/>
              <w:lang w:eastAsia="pt-BR"/>
            </w:rPr>
          </w:pPr>
          <w:hyperlink w:anchor="_Toc230204057" w:history="1">
            <w:r w:rsidRPr="004A0D71">
              <w:rPr>
                <w:rStyle w:val="Hyperlink"/>
                <w:rFonts w:eastAsia="Times New Roman"/>
                <w:noProof/>
                <w:lang w:eastAsia="pt-BR"/>
              </w:rPr>
              <w:t>6.11. Premissas que deverão ser tratadas como variáveis de sensibilidade</w:t>
            </w:r>
            <w:r>
              <w:rPr>
                <w:noProof/>
                <w:webHidden/>
              </w:rPr>
              <w:tab/>
            </w:r>
            <w:r>
              <w:rPr>
                <w:noProof/>
                <w:webHidden/>
              </w:rPr>
              <w:fldChar w:fldCharType="begin"/>
            </w:r>
            <w:r>
              <w:rPr>
                <w:noProof/>
                <w:webHidden/>
              </w:rPr>
              <w:instrText xml:space="preserve"> PAGEREF _Toc230204057 \h </w:instrText>
            </w:r>
            <w:r>
              <w:rPr>
                <w:noProof/>
                <w:webHidden/>
              </w:rPr>
            </w:r>
            <w:r>
              <w:rPr>
                <w:noProof/>
                <w:webHidden/>
              </w:rPr>
              <w:fldChar w:fldCharType="separate"/>
            </w:r>
            <w:r w:rsidR="00B90978">
              <w:rPr>
                <w:noProof/>
                <w:webHidden/>
              </w:rPr>
              <w:t>54</w:t>
            </w:r>
            <w:r>
              <w:rPr>
                <w:noProof/>
                <w:webHidden/>
              </w:rPr>
              <w:fldChar w:fldCharType="end"/>
            </w:r>
          </w:hyperlink>
        </w:p>
        <w:p w14:paraId="681E0605" w14:textId="0B89C275" w:rsidR="00514939" w:rsidRDefault="00514939">
          <w:pPr>
            <w:pStyle w:val="Sumrio2"/>
            <w:tabs>
              <w:tab w:val="right" w:leader="dot" w:pos="9061"/>
            </w:tabs>
            <w:rPr>
              <w:rFonts w:asciiTheme="minorHAnsi" w:eastAsiaTheme="minorEastAsia" w:hAnsiTheme="minorHAnsi"/>
              <w:noProof/>
              <w:lang w:eastAsia="pt-BR"/>
            </w:rPr>
          </w:pPr>
          <w:hyperlink w:anchor="_Toc230204058" w:history="1">
            <w:r w:rsidRPr="004A0D71">
              <w:rPr>
                <w:rStyle w:val="Hyperlink"/>
                <w:rFonts w:eastAsia="Times New Roman"/>
                <w:noProof/>
                <w:lang w:eastAsia="pt-BR"/>
              </w:rPr>
              <w:t>6.12. Conclusão do tópico</w:t>
            </w:r>
            <w:r>
              <w:rPr>
                <w:noProof/>
                <w:webHidden/>
              </w:rPr>
              <w:tab/>
            </w:r>
            <w:r>
              <w:rPr>
                <w:noProof/>
                <w:webHidden/>
              </w:rPr>
              <w:fldChar w:fldCharType="begin"/>
            </w:r>
            <w:r>
              <w:rPr>
                <w:noProof/>
                <w:webHidden/>
              </w:rPr>
              <w:instrText xml:space="preserve"> PAGEREF _Toc230204058 \h </w:instrText>
            </w:r>
            <w:r>
              <w:rPr>
                <w:noProof/>
                <w:webHidden/>
              </w:rPr>
            </w:r>
            <w:r>
              <w:rPr>
                <w:noProof/>
                <w:webHidden/>
              </w:rPr>
              <w:fldChar w:fldCharType="separate"/>
            </w:r>
            <w:r w:rsidR="00B90978">
              <w:rPr>
                <w:noProof/>
                <w:webHidden/>
              </w:rPr>
              <w:t>55</w:t>
            </w:r>
            <w:r>
              <w:rPr>
                <w:noProof/>
                <w:webHidden/>
              </w:rPr>
              <w:fldChar w:fldCharType="end"/>
            </w:r>
          </w:hyperlink>
        </w:p>
        <w:p w14:paraId="62D9D0DF" w14:textId="7302B379" w:rsidR="00514939" w:rsidRDefault="00514939">
          <w:pPr>
            <w:pStyle w:val="Sumrio1"/>
            <w:tabs>
              <w:tab w:val="right" w:leader="dot" w:pos="9061"/>
            </w:tabs>
            <w:rPr>
              <w:rFonts w:asciiTheme="minorHAnsi" w:eastAsiaTheme="minorEastAsia" w:hAnsiTheme="minorHAnsi"/>
              <w:noProof/>
              <w:lang w:eastAsia="pt-BR"/>
            </w:rPr>
          </w:pPr>
          <w:hyperlink w:anchor="_Toc230204059" w:history="1">
            <w:r w:rsidRPr="004A0D71">
              <w:rPr>
                <w:rStyle w:val="Hyperlink"/>
                <w:rFonts w:eastAsia="Times New Roman"/>
                <w:noProof/>
                <w:lang w:eastAsia="pt-BR"/>
              </w:rPr>
              <w:t>7. CAPEX — Investimento Inicial</w:t>
            </w:r>
            <w:r>
              <w:rPr>
                <w:noProof/>
                <w:webHidden/>
              </w:rPr>
              <w:tab/>
            </w:r>
            <w:r>
              <w:rPr>
                <w:noProof/>
                <w:webHidden/>
              </w:rPr>
              <w:fldChar w:fldCharType="begin"/>
            </w:r>
            <w:r>
              <w:rPr>
                <w:noProof/>
                <w:webHidden/>
              </w:rPr>
              <w:instrText xml:space="preserve"> PAGEREF _Toc230204059 \h </w:instrText>
            </w:r>
            <w:r>
              <w:rPr>
                <w:noProof/>
                <w:webHidden/>
              </w:rPr>
            </w:r>
            <w:r>
              <w:rPr>
                <w:noProof/>
                <w:webHidden/>
              </w:rPr>
              <w:fldChar w:fldCharType="separate"/>
            </w:r>
            <w:r w:rsidR="00B90978">
              <w:rPr>
                <w:noProof/>
                <w:webHidden/>
              </w:rPr>
              <w:t>56</w:t>
            </w:r>
            <w:r>
              <w:rPr>
                <w:noProof/>
                <w:webHidden/>
              </w:rPr>
              <w:fldChar w:fldCharType="end"/>
            </w:r>
          </w:hyperlink>
        </w:p>
        <w:p w14:paraId="592ED9CB" w14:textId="6CAE1BE6" w:rsidR="00514939" w:rsidRDefault="00514939">
          <w:pPr>
            <w:pStyle w:val="Sumrio2"/>
            <w:tabs>
              <w:tab w:val="right" w:leader="dot" w:pos="9061"/>
            </w:tabs>
            <w:rPr>
              <w:rFonts w:asciiTheme="minorHAnsi" w:eastAsiaTheme="minorEastAsia" w:hAnsiTheme="minorHAnsi"/>
              <w:noProof/>
              <w:lang w:eastAsia="pt-BR"/>
            </w:rPr>
          </w:pPr>
          <w:hyperlink w:anchor="_Toc230204060" w:history="1">
            <w:r w:rsidRPr="004A0D71">
              <w:rPr>
                <w:rStyle w:val="Hyperlink"/>
                <w:rFonts w:eastAsia="Times New Roman"/>
                <w:noProof/>
                <w:lang w:eastAsia="pt-BR"/>
              </w:rPr>
              <w:t>7.1. Finalidade do CAPEX na modelagem</w:t>
            </w:r>
            <w:r>
              <w:rPr>
                <w:noProof/>
                <w:webHidden/>
              </w:rPr>
              <w:tab/>
            </w:r>
            <w:r>
              <w:rPr>
                <w:noProof/>
                <w:webHidden/>
              </w:rPr>
              <w:fldChar w:fldCharType="begin"/>
            </w:r>
            <w:r>
              <w:rPr>
                <w:noProof/>
                <w:webHidden/>
              </w:rPr>
              <w:instrText xml:space="preserve"> PAGEREF _Toc230204060 \h </w:instrText>
            </w:r>
            <w:r>
              <w:rPr>
                <w:noProof/>
                <w:webHidden/>
              </w:rPr>
            </w:r>
            <w:r>
              <w:rPr>
                <w:noProof/>
                <w:webHidden/>
              </w:rPr>
              <w:fldChar w:fldCharType="separate"/>
            </w:r>
            <w:r w:rsidR="00B90978">
              <w:rPr>
                <w:noProof/>
                <w:webHidden/>
              </w:rPr>
              <w:t>56</w:t>
            </w:r>
            <w:r>
              <w:rPr>
                <w:noProof/>
                <w:webHidden/>
              </w:rPr>
              <w:fldChar w:fldCharType="end"/>
            </w:r>
          </w:hyperlink>
        </w:p>
        <w:p w14:paraId="75663854" w14:textId="072ADAE4" w:rsidR="00514939" w:rsidRDefault="00514939">
          <w:pPr>
            <w:pStyle w:val="Sumrio2"/>
            <w:tabs>
              <w:tab w:val="right" w:leader="dot" w:pos="9061"/>
            </w:tabs>
            <w:rPr>
              <w:rFonts w:asciiTheme="minorHAnsi" w:eastAsiaTheme="minorEastAsia" w:hAnsiTheme="minorHAnsi"/>
              <w:noProof/>
              <w:lang w:eastAsia="pt-BR"/>
            </w:rPr>
          </w:pPr>
          <w:hyperlink w:anchor="_Toc230204061" w:history="1">
            <w:r w:rsidRPr="004A0D71">
              <w:rPr>
                <w:rStyle w:val="Hyperlink"/>
                <w:rFonts w:eastAsia="Times New Roman"/>
                <w:noProof/>
                <w:lang w:eastAsia="pt-BR"/>
              </w:rPr>
              <w:t>7.2. CAPEX base da modelagem</w:t>
            </w:r>
            <w:r>
              <w:rPr>
                <w:noProof/>
                <w:webHidden/>
              </w:rPr>
              <w:tab/>
            </w:r>
            <w:r>
              <w:rPr>
                <w:noProof/>
                <w:webHidden/>
              </w:rPr>
              <w:fldChar w:fldCharType="begin"/>
            </w:r>
            <w:r>
              <w:rPr>
                <w:noProof/>
                <w:webHidden/>
              </w:rPr>
              <w:instrText xml:space="preserve"> PAGEREF _Toc230204061 \h </w:instrText>
            </w:r>
            <w:r>
              <w:rPr>
                <w:noProof/>
                <w:webHidden/>
              </w:rPr>
            </w:r>
            <w:r>
              <w:rPr>
                <w:noProof/>
                <w:webHidden/>
              </w:rPr>
              <w:fldChar w:fldCharType="separate"/>
            </w:r>
            <w:r w:rsidR="00B90978">
              <w:rPr>
                <w:noProof/>
                <w:webHidden/>
              </w:rPr>
              <w:t>57</w:t>
            </w:r>
            <w:r>
              <w:rPr>
                <w:noProof/>
                <w:webHidden/>
              </w:rPr>
              <w:fldChar w:fldCharType="end"/>
            </w:r>
          </w:hyperlink>
        </w:p>
        <w:p w14:paraId="6D8BEAD2" w14:textId="58AD5D63" w:rsidR="00514939" w:rsidRDefault="00514939">
          <w:pPr>
            <w:pStyle w:val="Sumrio2"/>
            <w:tabs>
              <w:tab w:val="right" w:leader="dot" w:pos="9061"/>
            </w:tabs>
            <w:rPr>
              <w:rFonts w:asciiTheme="minorHAnsi" w:eastAsiaTheme="minorEastAsia" w:hAnsiTheme="minorHAnsi"/>
              <w:noProof/>
              <w:lang w:eastAsia="pt-BR"/>
            </w:rPr>
          </w:pPr>
          <w:hyperlink w:anchor="_Toc230204062" w:history="1">
            <w:r w:rsidRPr="004A0D71">
              <w:rPr>
                <w:rStyle w:val="Hyperlink"/>
                <w:rFonts w:eastAsia="Times New Roman"/>
                <w:noProof/>
                <w:lang w:eastAsia="pt-BR"/>
              </w:rPr>
              <w:t>7.3. Leitura dos principais blocos do CAPEX</w:t>
            </w:r>
            <w:r>
              <w:rPr>
                <w:noProof/>
                <w:webHidden/>
              </w:rPr>
              <w:tab/>
            </w:r>
            <w:r>
              <w:rPr>
                <w:noProof/>
                <w:webHidden/>
              </w:rPr>
              <w:fldChar w:fldCharType="begin"/>
            </w:r>
            <w:r>
              <w:rPr>
                <w:noProof/>
                <w:webHidden/>
              </w:rPr>
              <w:instrText xml:space="preserve"> PAGEREF _Toc230204062 \h </w:instrText>
            </w:r>
            <w:r>
              <w:rPr>
                <w:noProof/>
                <w:webHidden/>
              </w:rPr>
            </w:r>
            <w:r>
              <w:rPr>
                <w:noProof/>
                <w:webHidden/>
              </w:rPr>
              <w:fldChar w:fldCharType="separate"/>
            </w:r>
            <w:r w:rsidR="00B90978">
              <w:rPr>
                <w:noProof/>
                <w:webHidden/>
              </w:rPr>
              <w:t>58</w:t>
            </w:r>
            <w:r>
              <w:rPr>
                <w:noProof/>
                <w:webHidden/>
              </w:rPr>
              <w:fldChar w:fldCharType="end"/>
            </w:r>
          </w:hyperlink>
        </w:p>
        <w:p w14:paraId="2BBC6151" w14:textId="1384EB48" w:rsidR="00514939" w:rsidRDefault="00514939">
          <w:pPr>
            <w:pStyle w:val="Sumrio3"/>
            <w:tabs>
              <w:tab w:val="right" w:leader="dot" w:pos="9061"/>
            </w:tabs>
            <w:rPr>
              <w:rFonts w:asciiTheme="minorHAnsi" w:eastAsiaTheme="minorEastAsia" w:hAnsiTheme="minorHAnsi"/>
              <w:noProof/>
              <w:lang w:eastAsia="pt-BR"/>
            </w:rPr>
          </w:pPr>
          <w:hyperlink w:anchor="_Toc230204063" w:history="1">
            <w:r w:rsidRPr="004A0D71">
              <w:rPr>
                <w:rStyle w:val="Hyperlink"/>
                <w:noProof/>
              </w:rPr>
              <w:t>7.3.1. Licenças e projetos</w:t>
            </w:r>
            <w:r>
              <w:rPr>
                <w:noProof/>
                <w:webHidden/>
              </w:rPr>
              <w:tab/>
            </w:r>
            <w:r>
              <w:rPr>
                <w:noProof/>
                <w:webHidden/>
              </w:rPr>
              <w:fldChar w:fldCharType="begin"/>
            </w:r>
            <w:r>
              <w:rPr>
                <w:noProof/>
                <w:webHidden/>
              </w:rPr>
              <w:instrText xml:space="preserve"> PAGEREF _Toc230204063 \h </w:instrText>
            </w:r>
            <w:r>
              <w:rPr>
                <w:noProof/>
                <w:webHidden/>
              </w:rPr>
            </w:r>
            <w:r>
              <w:rPr>
                <w:noProof/>
                <w:webHidden/>
              </w:rPr>
              <w:fldChar w:fldCharType="separate"/>
            </w:r>
            <w:r w:rsidR="00B90978">
              <w:rPr>
                <w:noProof/>
                <w:webHidden/>
              </w:rPr>
              <w:t>58</w:t>
            </w:r>
            <w:r>
              <w:rPr>
                <w:noProof/>
                <w:webHidden/>
              </w:rPr>
              <w:fldChar w:fldCharType="end"/>
            </w:r>
          </w:hyperlink>
        </w:p>
        <w:p w14:paraId="74EE30F9" w14:textId="3D2D5573" w:rsidR="00514939" w:rsidRDefault="00514939">
          <w:pPr>
            <w:pStyle w:val="Sumrio3"/>
            <w:tabs>
              <w:tab w:val="right" w:leader="dot" w:pos="9061"/>
            </w:tabs>
            <w:rPr>
              <w:rFonts w:asciiTheme="minorHAnsi" w:eastAsiaTheme="minorEastAsia" w:hAnsiTheme="minorHAnsi"/>
              <w:noProof/>
              <w:lang w:eastAsia="pt-BR"/>
            </w:rPr>
          </w:pPr>
          <w:hyperlink w:anchor="_Toc230204064" w:history="1">
            <w:r w:rsidRPr="004A0D71">
              <w:rPr>
                <w:rStyle w:val="Hyperlink"/>
                <w:rFonts w:eastAsia="Times New Roman"/>
                <w:noProof/>
                <w:lang w:eastAsia="pt-BR"/>
              </w:rPr>
              <w:t>7.3.2. Preparação da área, acesso e pátio</w:t>
            </w:r>
            <w:r>
              <w:rPr>
                <w:noProof/>
                <w:webHidden/>
              </w:rPr>
              <w:tab/>
            </w:r>
            <w:r>
              <w:rPr>
                <w:noProof/>
                <w:webHidden/>
              </w:rPr>
              <w:fldChar w:fldCharType="begin"/>
            </w:r>
            <w:r>
              <w:rPr>
                <w:noProof/>
                <w:webHidden/>
              </w:rPr>
              <w:instrText xml:space="preserve"> PAGEREF _Toc230204064 \h </w:instrText>
            </w:r>
            <w:r>
              <w:rPr>
                <w:noProof/>
                <w:webHidden/>
              </w:rPr>
            </w:r>
            <w:r>
              <w:rPr>
                <w:noProof/>
                <w:webHidden/>
              </w:rPr>
              <w:fldChar w:fldCharType="separate"/>
            </w:r>
            <w:r w:rsidR="00B90978">
              <w:rPr>
                <w:noProof/>
                <w:webHidden/>
              </w:rPr>
              <w:t>59</w:t>
            </w:r>
            <w:r>
              <w:rPr>
                <w:noProof/>
                <w:webHidden/>
              </w:rPr>
              <w:fldChar w:fldCharType="end"/>
            </w:r>
          </w:hyperlink>
        </w:p>
        <w:p w14:paraId="70D9A469" w14:textId="56E7E450" w:rsidR="00514939" w:rsidRDefault="00514939">
          <w:pPr>
            <w:pStyle w:val="Sumrio3"/>
            <w:tabs>
              <w:tab w:val="right" w:leader="dot" w:pos="9061"/>
            </w:tabs>
            <w:rPr>
              <w:rFonts w:asciiTheme="minorHAnsi" w:eastAsiaTheme="minorEastAsia" w:hAnsiTheme="minorHAnsi"/>
              <w:noProof/>
              <w:lang w:eastAsia="pt-BR"/>
            </w:rPr>
          </w:pPr>
          <w:hyperlink w:anchor="_Toc230204065" w:history="1">
            <w:r w:rsidRPr="004A0D71">
              <w:rPr>
                <w:rStyle w:val="Hyperlink"/>
                <w:rFonts w:eastAsia="Times New Roman"/>
                <w:noProof/>
                <w:lang w:eastAsia="pt-BR"/>
              </w:rPr>
              <w:t>7.3.3. Galpão, piso e estruturas civis</w:t>
            </w:r>
            <w:r>
              <w:rPr>
                <w:noProof/>
                <w:webHidden/>
              </w:rPr>
              <w:tab/>
            </w:r>
            <w:r>
              <w:rPr>
                <w:noProof/>
                <w:webHidden/>
              </w:rPr>
              <w:fldChar w:fldCharType="begin"/>
            </w:r>
            <w:r>
              <w:rPr>
                <w:noProof/>
                <w:webHidden/>
              </w:rPr>
              <w:instrText xml:space="preserve"> PAGEREF _Toc230204065 \h </w:instrText>
            </w:r>
            <w:r>
              <w:rPr>
                <w:noProof/>
                <w:webHidden/>
              </w:rPr>
            </w:r>
            <w:r>
              <w:rPr>
                <w:noProof/>
                <w:webHidden/>
              </w:rPr>
              <w:fldChar w:fldCharType="separate"/>
            </w:r>
            <w:r w:rsidR="00B90978">
              <w:rPr>
                <w:noProof/>
                <w:webHidden/>
              </w:rPr>
              <w:t>59</w:t>
            </w:r>
            <w:r>
              <w:rPr>
                <w:noProof/>
                <w:webHidden/>
              </w:rPr>
              <w:fldChar w:fldCharType="end"/>
            </w:r>
          </w:hyperlink>
        </w:p>
        <w:p w14:paraId="688535F8" w14:textId="2E64F155" w:rsidR="00514939" w:rsidRDefault="00514939">
          <w:pPr>
            <w:pStyle w:val="Sumrio3"/>
            <w:tabs>
              <w:tab w:val="right" w:leader="dot" w:pos="9061"/>
            </w:tabs>
            <w:rPr>
              <w:rFonts w:asciiTheme="minorHAnsi" w:eastAsiaTheme="minorEastAsia" w:hAnsiTheme="minorHAnsi"/>
              <w:noProof/>
              <w:lang w:eastAsia="pt-BR"/>
            </w:rPr>
          </w:pPr>
          <w:hyperlink w:anchor="_Toc230204066" w:history="1">
            <w:r w:rsidRPr="004A0D71">
              <w:rPr>
                <w:rStyle w:val="Hyperlink"/>
                <w:rFonts w:eastAsia="Times New Roman"/>
                <w:noProof/>
                <w:lang w:eastAsia="pt-BR"/>
              </w:rPr>
              <w:t>7.3.4. Balança, sistemas e estrutura operacional</w:t>
            </w:r>
            <w:r>
              <w:rPr>
                <w:noProof/>
                <w:webHidden/>
              </w:rPr>
              <w:tab/>
            </w:r>
            <w:r>
              <w:rPr>
                <w:noProof/>
                <w:webHidden/>
              </w:rPr>
              <w:fldChar w:fldCharType="begin"/>
            </w:r>
            <w:r>
              <w:rPr>
                <w:noProof/>
                <w:webHidden/>
              </w:rPr>
              <w:instrText xml:space="preserve"> PAGEREF _Toc230204066 \h </w:instrText>
            </w:r>
            <w:r>
              <w:rPr>
                <w:noProof/>
                <w:webHidden/>
              </w:rPr>
            </w:r>
            <w:r>
              <w:rPr>
                <w:noProof/>
                <w:webHidden/>
              </w:rPr>
              <w:fldChar w:fldCharType="separate"/>
            </w:r>
            <w:r w:rsidR="00B90978">
              <w:rPr>
                <w:noProof/>
                <w:webHidden/>
              </w:rPr>
              <w:t>60</w:t>
            </w:r>
            <w:r>
              <w:rPr>
                <w:noProof/>
                <w:webHidden/>
              </w:rPr>
              <w:fldChar w:fldCharType="end"/>
            </w:r>
          </w:hyperlink>
        </w:p>
        <w:p w14:paraId="5974659A" w14:textId="0098AA86" w:rsidR="00514939" w:rsidRDefault="00514939">
          <w:pPr>
            <w:pStyle w:val="Sumrio3"/>
            <w:tabs>
              <w:tab w:val="right" w:leader="dot" w:pos="9061"/>
            </w:tabs>
            <w:rPr>
              <w:rFonts w:asciiTheme="minorHAnsi" w:eastAsiaTheme="minorEastAsia" w:hAnsiTheme="minorHAnsi"/>
              <w:noProof/>
              <w:lang w:eastAsia="pt-BR"/>
            </w:rPr>
          </w:pPr>
          <w:hyperlink w:anchor="_Toc230204067" w:history="1">
            <w:r w:rsidRPr="004A0D71">
              <w:rPr>
                <w:rStyle w:val="Hyperlink"/>
                <w:rFonts w:eastAsia="Times New Roman"/>
                <w:noProof/>
                <w:lang w:eastAsia="pt-BR"/>
              </w:rPr>
              <w:t>7.3.5. Segurança, prevenção e proteção operacional</w:t>
            </w:r>
            <w:r>
              <w:rPr>
                <w:noProof/>
                <w:webHidden/>
              </w:rPr>
              <w:tab/>
            </w:r>
            <w:r>
              <w:rPr>
                <w:noProof/>
                <w:webHidden/>
              </w:rPr>
              <w:fldChar w:fldCharType="begin"/>
            </w:r>
            <w:r>
              <w:rPr>
                <w:noProof/>
                <w:webHidden/>
              </w:rPr>
              <w:instrText xml:space="preserve"> PAGEREF _Toc230204067 \h </w:instrText>
            </w:r>
            <w:r>
              <w:rPr>
                <w:noProof/>
                <w:webHidden/>
              </w:rPr>
            </w:r>
            <w:r>
              <w:rPr>
                <w:noProof/>
                <w:webHidden/>
              </w:rPr>
              <w:fldChar w:fldCharType="separate"/>
            </w:r>
            <w:r w:rsidR="00B90978">
              <w:rPr>
                <w:noProof/>
                <w:webHidden/>
              </w:rPr>
              <w:t>60</w:t>
            </w:r>
            <w:r>
              <w:rPr>
                <w:noProof/>
                <w:webHidden/>
              </w:rPr>
              <w:fldChar w:fldCharType="end"/>
            </w:r>
          </w:hyperlink>
        </w:p>
        <w:p w14:paraId="616A9E1C" w14:textId="53E6166A" w:rsidR="00514939" w:rsidRDefault="00514939">
          <w:pPr>
            <w:pStyle w:val="Sumrio3"/>
            <w:tabs>
              <w:tab w:val="right" w:leader="dot" w:pos="9061"/>
            </w:tabs>
            <w:rPr>
              <w:rFonts w:asciiTheme="minorHAnsi" w:eastAsiaTheme="minorEastAsia" w:hAnsiTheme="minorHAnsi"/>
              <w:noProof/>
              <w:lang w:eastAsia="pt-BR"/>
            </w:rPr>
          </w:pPr>
          <w:hyperlink w:anchor="_Toc230204068" w:history="1">
            <w:r w:rsidRPr="004A0D71">
              <w:rPr>
                <w:rStyle w:val="Hyperlink"/>
                <w:rFonts w:eastAsia="Times New Roman"/>
                <w:noProof/>
                <w:lang w:eastAsia="pt-BR"/>
              </w:rPr>
              <w:t>7.3.6. Sistema de carbonização</w:t>
            </w:r>
            <w:r>
              <w:rPr>
                <w:noProof/>
                <w:webHidden/>
              </w:rPr>
              <w:tab/>
            </w:r>
            <w:r>
              <w:rPr>
                <w:noProof/>
                <w:webHidden/>
              </w:rPr>
              <w:fldChar w:fldCharType="begin"/>
            </w:r>
            <w:r>
              <w:rPr>
                <w:noProof/>
                <w:webHidden/>
              </w:rPr>
              <w:instrText xml:space="preserve"> PAGEREF _Toc230204068 \h </w:instrText>
            </w:r>
            <w:r>
              <w:rPr>
                <w:noProof/>
                <w:webHidden/>
              </w:rPr>
            </w:r>
            <w:r>
              <w:rPr>
                <w:noProof/>
                <w:webHidden/>
              </w:rPr>
              <w:fldChar w:fldCharType="separate"/>
            </w:r>
            <w:r w:rsidR="00B90978">
              <w:rPr>
                <w:noProof/>
                <w:webHidden/>
              </w:rPr>
              <w:t>61</w:t>
            </w:r>
            <w:r>
              <w:rPr>
                <w:noProof/>
                <w:webHidden/>
              </w:rPr>
              <w:fldChar w:fldCharType="end"/>
            </w:r>
          </w:hyperlink>
        </w:p>
        <w:p w14:paraId="524077DB" w14:textId="627421B0" w:rsidR="00514939" w:rsidRDefault="00514939">
          <w:pPr>
            <w:pStyle w:val="Sumrio3"/>
            <w:tabs>
              <w:tab w:val="right" w:leader="dot" w:pos="9061"/>
            </w:tabs>
            <w:rPr>
              <w:rFonts w:asciiTheme="minorHAnsi" w:eastAsiaTheme="minorEastAsia" w:hAnsiTheme="minorHAnsi"/>
              <w:noProof/>
              <w:lang w:eastAsia="pt-BR"/>
            </w:rPr>
          </w:pPr>
          <w:hyperlink w:anchor="_Toc230204069" w:history="1">
            <w:r w:rsidRPr="004A0D71">
              <w:rPr>
                <w:rStyle w:val="Hyperlink"/>
                <w:rFonts w:eastAsia="Times New Roman"/>
                <w:noProof/>
                <w:lang w:eastAsia="pt-BR"/>
              </w:rPr>
              <w:t>7.3.7. Sistema de geração de energia</w:t>
            </w:r>
            <w:r>
              <w:rPr>
                <w:noProof/>
                <w:webHidden/>
              </w:rPr>
              <w:tab/>
            </w:r>
            <w:r>
              <w:rPr>
                <w:noProof/>
                <w:webHidden/>
              </w:rPr>
              <w:fldChar w:fldCharType="begin"/>
            </w:r>
            <w:r>
              <w:rPr>
                <w:noProof/>
                <w:webHidden/>
              </w:rPr>
              <w:instrText xml:space="preserve"> PAGEREF _Toc230204069 \h </w:instrText>
            </w:r>
            <w:r>
              <w:rPr>
                <w:noProof/>
                <w:webHidden/>
              </w:rPr>
            </w:r>
            <w:r>
              <w:rPr>
                <w:noProof/>
                <w:webHidden/>
              </w:rPr>
              <w:fldChar w:fldCharType="separate"/>
            </w:r>
            <w:r w:rsidR="00B90978">
              <w:rPr>
                <w:noProof/>
                <w:webHidden/>
              </w:rPr>
              <w:t>62</w:t>
            </w:r>
            <w:r>
              <w:rPr>
                <w:noProof/>
                <w:webHidden/>
              </w:rPr>
              <w:fldChar w:fldCharType="end"/>
            </w:r>
          </w:hyperlink>
        </w:p>
        <w:p w14:paraId="0E42E4AD" w14:textId="77FA4D75" w:rsidR="00514939" w:rsidRDefault="00514939">
          <w:pPr>
            <w:pStyle w:val="Sumrio2"/>
            <w:tabs>
              <w:tab w:val="right" w:leader="dot" w:pos="9061"/>
            </w:tabs>
            <w:rPr>
              <w:rFonts w:asciiTheme="minorHAnsi" w:eastAsiaTheme="minorEastAsia" w:hAnsiTheme="minorHAnsi"/>
              <w:noProof/>
              <w:lang w:eastAsia="pt-BR"/>
            </w:rPr>
          </w:pPr>
          <w:hyperlink w:anchor="_Toc230204070" w:history="1">
            <w:r w:rsidRPr="004A0D71">
              <w:rPr>
                <w:rStyle w:val="Hyperlink"/>
                <w:rFonts w:eastAsia="Times New Roman"/>
                <w:noProof/>
                <w:lang w:eastAsia="pt-BR"/>
              </w:rPr>
              <w:t>7.4. CAPEX com contingência técnica</w:t>
            </w:r>
            <w:r>
              <w:rPr>
                <w:noProof/>
                <w:webHidden/>
              </w:rPr>
              <w:tab/>
            </w:r>
            <w:r>
              <w:rPr>
                <w:noProof/>
                <w:webHidden/>
              </w:rPr>
              <w:fldChar w:fldCharType="begin"/>
            </w:r>
            <w:r>
              <w:rPr>
                <w:noProof/>
                <w:webHidden/>
              </w:rPr>
              <w:instrText xml:space="preserve"> PAGEREF _Toc230204070 \h </w:instrText>
            </w:r>
            <w:r>
              <w:rPr>
                <w:noProof/>
                <w:webHidden/>
              </w:rPr>
            </w:r>
            <w:r>
              <w:rPr>
                <w:noProof/>
                <w:webHidden/>
              </w:rPr>
              <w:fldChar w:fldCharType="separate"/>
            </w:r>
            <w:r w:rsidR="00B90978">
              <w:rPr>
                <w:noProof/>
                <w:webHidden/>
              </w:rPr>
              <w:t>63</w:t>
            </w:r>
            <w:r>
              <w:rPr>
                <w:noProof/>
                <w:webHidden/>
              </w:rPr>
              <w:fldChar w:fldCharType="end"/>
            </w:r>
          </w:hyperlink>
        </w:p>
        <w:p w14:paraId="374B8BB4" w14:textId="6B36F7E2" w:rsidR="00514939" w:rsidRDefault="00514939">
          <w:pPr>
            <w:pStyle w:val="Sumrio2"/>
            <w:tabs>
              <w:tab w:val="right" w:leader="dot" w:pos="9061"/>
            </w:tabs>
            <w:rPr>
              <w:rFonts w:asciiTheme="minorHAnsi" w:eastAsiaTheme="minorEastAsia" w:hAnsiTheme="minorHAnsi"/>
              <w:noProof/>
              <w:lang w:eastAsia="pt-BR"/>
            </w:rPr>
          </w:pPr>
          <w:hyperlink w:anchor="_Toc230204071" w:history="1">
            <w:r w:rsidRPr="004A0D71">
              <w:rPr>
                <w:rStyle w:val="Hyperlink"/>
                <w:rFonts w:eastAsia="Times New Roman"/>
                <w:noProof/>
                <w:lang w:eastAsia="pt-BR"/>
              </w:rPr>
              <w:t>7.5. Capital de giro inicial</w:t>
            </w:r>
            <w:r>
              <w:rPr>
                <w:noProof/>
                <w:webHidden/>
              </w:rPr>
              <w:tab/>
            </w:r>
            <w:r>
              <w:rPr>
                <w:noProof/>
                <w:webHidden/>
              </w:rPr>
              <w:fldChar w:fldCharType="begin"/>
            </w:r>
            <w:r>
              <w:rPr>
                <w:noProof/>
                <w:webHidden/>
              </w:rPr>
              <w:instrText xml:space="preserve"> PAGEREF _Toc230204071 \h </w:instrText>
            </w:r>
            <w:r>
              <w:rPr>
                <w:noProof/>
                <w:webHidden/>
              </w:rPr>
            </w:r>
            <w:r>
              <w:rPr>
                <w:noProof/>
                <w:webHidden/>
              </w:rPr>
              <w:fldChar w:fldCharType="separate"/>
            </w:r>
            <w:r w:rsidR="00B90978">
              <w:rPr>
                <w:noProof/>
                <w:webHidden/>
              </w:rPr>
              <w:t>63</w:t>
            </w:r>
            <w:r>
              <w:rPr>
                <w:noProof/>
                <w:webHidden/>
              </w:rPr>
              <w:fldChar w:fldCharType="end"/>
            </w:r>
          </w:hyperlink>
        </w:p>
        <w:p w14:paraId="683B3D79" w14:textId="78F8554A" w:rsidR="00514939" w:rsidRDefault="00514939">
          <w:pPr>
            <w:pStyle w:val="Sumrio2"/>
            <w:tabs>
              <w:tab w:val="right" w:leader="dot" w:pos="9061"/>
            </w:tabs>
            <w:rPr>
              <w:rFonts w:asciiTheme="minorHAnsi" w:eastAsiaTheme="minorEastAsia" w:hAnsiTheme="minorHAnsi"/>
              <w:noProof/>
              <w:lang w:eastAsia="pt-BR"/>
            </w:rPr>
          </w:pPr>
          <w:hyperlink w:anchor="_Toc230204072" w:history="1">
            <w:r w:rsidRPr="004A0D71">
              <w:rPr>
                <w:rStyle w:val="Hyperlink"/>
                <w:rFonts w:eastAsia="Times New Roman"/>
                <w:noProof/>
                <w:lang w:eastAsia="pt-BR"/>
              </w:rPr>
              <w:t>7.6. IDC — Juros Durante Implantação</w:t>
            </w:r>
            <w:r>
              <w:rPr>
                <w:noProof/>
                <w:webHidden/>
              </w:rPr>
              <w:tab/>
            </w:r>
            <w:r>
              <w:rPr>
                <w:noProof/>
                <w:webHidden/>
              </w:rPr>
              <w:fldChar w:fldCharType="begin"/>
            </w:r>
            <w:r>
              <w:rPr>
                <w:noProof/>
                <w:webHidden/>
              </w:rPr>
              <w:instrText xml:space="preserve"> PAGEREF _Toc230204072 \h </w:instrText>
            </w:r>
            <w:r>
              <w:rPr>
                <w:noProof/>
                <w:webHidden/>
              </w:rPr>
            </w:r>
            <w:r>
              <w:rPr>
                <w:noProof/>
                <w:webHidden/>
              </w:rPr>
              <w:fldChar w:fldCharType="separate"/>
            </w:r>
            <w:r w:rsidR="00B90978">
              <w:rPr>
                <w:noProof/>
                <w:webHidden/>
              </w:rPr>
              <w:t>64</w:t>
            </w:r>
            <w:r>
              <w:rPr>
                <w:noProof/>
                <w:webHidden/>
              </w:rPr>
              <w:fldChar w:fldCharType="end"/>
            </w:r>
          </w:hyperlink>
        </w:p>
        <w:p w14:paraId="43B236EE" w14:textId="3F66FECF" w:rsidR="00514939" w:rsidRDefault="00514939">
          <w:pPr>
            <w:pStyle w:val="Sumrio2"/>
            <w:tabs>
              <w:tab w:val="right" w:leader="dot" w:pos="9061"/>
            </w:tabs>
            <w:rPr>
              <w:rFonts w:asciiTheme="minorHAnsi" w:eastAsiaTheme="minorEastAsia" w:hAnsiTheme="minorHAnsi"/>
              <w:noProof/>
              <w:lang w:eastAsia="pt-BR"/>
            </w:rPr>
          </w:pPr>
          <w:hyperlink w:anchor="_Toc230204073" w:history="1">
            <w:r w:rsidRPr="004A0D71">
              <w:rPr>
                <w:rStyle w:val="Hyperlink"/>
                <w:rFonts w:eastAsia="Times New Roman"/>
                <w:noProof/>
                <w:lang w:eastAsia="pt-BR"/>
              </w:rPr>
              <w:t>7.7. Investimento financeiro total estimado</w:t>
            </w:r>
            <w:r>
              <w:rPr>
                <w:noProof/>
                <w:webHidden/>
              </w:rPr>
              <w:tab/>
            </w:r>
            <w:r>
              <w:rPr>
                <w:noProof/>
                <w:webHidden/>
              </w:rPr>
              <w:fldChar w:fldCharType="begin"/>
            </w:r>
            <w:r>
              <w:rPr>
                <w:noProof/>
                <w:webHidden/>
              </w:rPr>
              <w:instrText xml:space="preserve"> PAGEREF _Toc230204073 \h </w:instrText>
            </w:r>
            <w:r>
              <w:rPr>
                <w:noProof/>
                <w:webHidden/>
              </w:rPr>
            </w:r>
            <w:r>
              <w:rPr>
                <w:noProof/>
                <w:webHidden/>
              </w:rPr>
              <w:fldChar w:fldCharType="separate"/>
            </w:r>
            <w:r w:rsidR="00B90978">
              <w:rPr>
                <w:noProof/>
                <w:webHidden/>
              </w:rPr>
              <w:t>65</w:t>
            </w:r>
            <w:r>
              <w:rPr>
                <w:noProof/>
                <w:webHidden/>
              </w:rPr>
              <w:fldChar w:fldCharType="end"/>
            </w:r>
          </w:hyperlink>
        </w:p>
        <w:p w14:paraId="26F2187C" w14:textId="52CEC789" w:rsidR="00514939" w:rsidRDefault="00514939">
          <w:pPr>
            <w:pStyle w:val="Sumrio2"/>
            <w:tabs>
              <w:tab w:val="right" w:leader="dot" w:pos="9061"/>
            </w:tabs>
            <w:rPr>
              <w:rFonts w:asciiTheme="minorHAnsi" w:eastAsiaTheme="minorEastAsia" w:hAnsiTheme="minorHAnsi"/>
              <w:noProof/>
              <w:lang w:eastAsia="pt-BR"/>
            </w:rPr>
          </w:pPr>
          <w:hyperlink w:anchor="_Toc230204074" w:history="1">
            <w:r w:rsidRPr="004A0D71">
              <w:rPr>
                <w:rStyle w:val="Hyperlink"/>
                <w:rFonts w:eastAsia="Times New Roman"/>
                <w:noProof/>
                <w:lang w:eastAsia="pt-BR"/>
              </w:rPr>
              <w:t>7.8. Responsabilidade dos licitantes sobre o CAPEX</w:t>
            </w:r>
            <w:r>
              <w:rPr>
                <w:noProof/>
                <w:webHidden/>
              </w:rPr>
              <w:tab/>
            </w:r>
            <w:r>
              <w:rPr>
                <w:noProof/>
                <w:webHidden/>
              </w:rPr>
              <w:fldChar w:fldCharType="begin"/>
            </w:r>
            <w:r>
              <w:rPr>
                <w:noProof/>
                <w:webHidden/>
              </w:rPr>
              <w:instrText xml:space="preserve"> PAGEREF _Toc230204074 \h </w:instrText>
            </w:r>
            <w:r>
              <w:rPr>
                <w:noProof/>
                <w:webHidden/>
              </w:rPr>
            </w:r>
            <w:r>
              <w:rPr>
                <w:noProof/>
                <w:webHidden/>
              </w:rPr>
              <w:fldChar w:fldCharType="separate"/>
            </w:r>
            <w:r w:rsidR="00B90978">
              <w:rPr>
                <w:noProof/>
                <w:webHidden/>
              </w:rPr>
              <w:t>65</w:t>
            </w:r>
            <w:r>
              <w:rPr>
                <w:noProof/>
                <w:webHidden/>
              </w:rPr>
              <w:fldChar w:fldCharType="end"/>
            </w:r>
          </w:hyperlink>
        </w:p>
        <w:p w14:paraId="30A22696" w14:textId="0F857EA4" w:rsidR="00514939" w:rsidRDefault="00514939">
          <w:pPr>
            <w:pStyle w:val="Sumrio2"/>
            <w:tabs>
              <w:tab w:val="right" w:leader="dot" w:pos="9061"/>
            </w:tabs>
            <w:rPr>
              <w:rFonts w:asciiTheme="minorHAnsi" w:eastAsiaTheme="minorEastAsia" w:hAnsiTheme="minorHAnsi"/>
              <w:noProof/>
              <w:lang w:eastAsia="pt-BR"/>
            </w:rPr>
          </w:pPr>
          <w:hyperlink w:anchor="_Toc230204075" w:history="1">
            <w:r w:rsidRPr="004A0D71">
              <w:rPr>
                <w:rStyle w:val="Hyperlink"/>
                <w:rFonts w:eastAsia="Times New Roman"/>
                <w:noProof/>
                <w:lang w:eastAsia="pt-BR"/>
              </w:rPr>
              <w:t>7.9. Riscos associados ao CAPEX</w:t>
            </w:r>
            <w:r>
              <w:rPr>
                <w:noProof/>
                <w:webHidden/>
              </w:rPr>
              <w:tab/>
            </w:r>
            <w:r>
              <w:rPr>
                <w:noProof/>
                <w:webHidden/>
              </w:rPr>
              <w:fldChar w:fldCharType="begin"/>
            </w:r>
            <w:r>
              <w:rPr>
                <w:noProof/>
                <w:webHidden/>
              </w:rPr>
              <w:instrText xml:space="preserve"> PAGEREF _Toc230204075 \h </w:instrText>
            </w:r>
            <w:r>
              <w:rPr>
                <w:noProof/>
                <w:webHidden/>
              </w:rPr>
            </w:r>
            <w:r>
              <w:rPr>
                <w:noProof/>
                <w:webHidden/>
              </w:rPr>
              <w:fldChar w:fldCharType="separate"/>
            </w:r>
            <w:r w:rsidR="00B90978">
              <w:rPr>
                <w:noProof/>
                <w:webHidden/>
              </w:rPr>
              <w:t>66</w:t>
            </w:r>
            <w:r>
              <w:rPr>
                <w:noProof/>
                <w:webHidden/>
              </w:rPr>
              <w:fldChar w:fldCharType="end"/>
            </w:r>
          </w:hyperlink>
        </w:p>
        <w:p w14:paraId="57AF24A7" w14:textId="42FC0119" w:rsidR="00514939" w:rsidRDefault="00514939">
          <w:pPr>
            <w:pStyle w:val="Sumrio2"/>
            <w:tabs>
              <w:tab w:val="right" w:leader="dot" w:pos="9061"/>
            </w:tabs>
            <w:rPr>
              <w:rFonts w:asciiTheme="minorHAnsi" w:eastAsiaTheme="minorEastAsia" w:hAnsiTheme="minorHAnsi"/>
              <w:noProof/>
              <w:lang w:eastAsia="pt-BR"/>
            </w:rPr>
          </w:pPr>
          <w:hyperlink w:anchor="_Toc230204076" w:history="1">
            <w:r w:rsidRPr="004A0D71">
              <w:rPr>
                <w:rStyle w:val="Hyperlink"/>
                <w:rFonts w:eastAsia="Times New Roman"/>
                <w:noProof/>
                <w:lang w:eastAsia="pt-BR"/>
              </w:rPr>
              <w:t>7.10. Conclusão do tópico</w:t>
            </w:r>
            <w:r>
              <w:rPr>
                <w:noProof/>
                <w:webHidden/>
              </w:rPr>
              <w:tab/>
            </w:r>
            <w:r>
              <w:rPr>
                <w:noProof/>
                <w:webHidden/>
              </w:rPr>
              <w:fldChar w:fldCharType="begin"/>
            </w:r>
            <w:r>
              <w:rPr>
                <w:noProof/>
                <w:webHidden/>
              </w:rPr>
              <w:instrText xml:space="preserve"> PAGEREF _Toc230204076 \h </w:instrText>
            </w:r>
            <w:r>
              <w:rPr>
                <w:noProof/>
                <w:webHidden/>
              </w:rPr>
            </w:r>
            <w:r>
              <w:rPr>
                <w:noProof/>
                <w:webHidden/>
              </w:rPr>
              <w:fldChar w:fldCharType="separate"/>
            </w:r>
            <w:r w:rsidR="00B90978">
              <w:rPr>
                <w:noProof/>
                <w:webHidden/>
              </w:rPr>
              <w:t>67</w:t>
            </w:r>
            <w:r>
              <w:rPr>
                <w:noProof/>
                <w:webHidden/>
              </w:rPr>
              <w:fldChar w:fldCharType="end"/>
            </w:r>
          </w:hyperlink>
        </w:p>
        <w:p w14:paraId="751E048A" w14:textId="4B866337" w:rsidR="00514939" w:rsidRDefault="00514939">
          <w:pPr>
            <w:pStyle w:val="Sumrio1"/>
            <w:tabs>
              <w:tab w:val="right" w:leader="dot" w:pos="9061"/>
            </w:tabs>
            <w:rPr>
              <w:rFonts w:asciiTheme="minorHAnsi" w:eastAsiaTheme="minorEastAsia" w:hAnsiTheme="minorHAnsi"/>
              <w:noProof/>
              <w:lang w:eastAsia="pt-BR"/>
            </w:rPr>
          </w:pPr>
          <w:hyperlink w:anchor="_Toc230204077" w:history="1">
            <w:r w:rsidRPr="004A0D71">
              <w:rPr>
                <w:rStyle w:val="Hyperlink"/>
                <w:rFonts w:eastAsia="Times New Roman"/>
                <w:noProof/>
                <w:lang w:eastAsia="pt-BR"/>
              </w:rPr>
              <w:t>8. OPEX — Custos Operacionais</w:t>
            </w:r>
            <w:r>
              <w:rPr>
                <w:noProof/>
                <w:webHidden/>
              </w:rPr>
              <w:tab/>
            </w:r>
            <w:r>
              <w:rPr>
                <w:noProof/>
                <w:webHidden/>
              </w:rPr>
              <w:fldChar w:fldCharType="begin"/>
            </w:r>
            <w:r>
              <w:rPr>
                <w:noProof/>
                <w:webHidden/>
              </w:rPr>
              <w:instrText xml:space="preserve"> PAGEREF _Toc230204077 \h </w:instrText>
            </w:r>
            <w:r>
              <w:rPr>
                <w:noProof/>
                <w:webHidden/>
              </w:rPr>
            </w:r>
            <w:r>
              <w:rPr>
                <w:noProof/>
                <w:webHidden/>
              </w:rPr>
              <w:fldChar w:fldCharType="separate"/>
            </w:r>
            <w:r w:rsidR="00B90978">
              <w:rPr>
                <w:noProof/>
                <w:webHidden/>
              </w:rPr>
              <w:t>69</w:t>
            </w:r>
            <w:r>
              <w:rPr>
                <w:noProof/>
                <w:webHidden/>
              </w:rPr>
              <w:fldChar w:fldCharType="end"/>
            </w:r>
          </w:hyperlink>
        </w:p>
        <w:p w14:paraId="1BA1153A" w14:textId="74085DE4" w:rsidR="00514939" w:rsidRDefault="00514939">
          <w:pPr>
            <w:pStyle w:val="Sumrio2"/>
            <w:tabs>
              <w:tab w:val="right" w:leader="dot" w:pos="9061"/>
            </w:tabs>
            <w:rPr>
              <w:rFonts w:asciiTheme="minorHAnsi" w:eastAsiaTheme="minorEastAsia" w:hAnsiTheme="minorHAnsi"/>
              <w:noProof/>
              <w:lang w:eastAsia="pt-BR"/>
            </w:rPr>
          </w:pPr>
          <w:hyperlink w:anchor="_Toc230204078" w:history="1">
            <w:r w:rsidRPr="004A0D71">
              <w:rPr>
                <w:rStyle w:val="Hyperlink"/>
                <w:rFonts w:eastAsia="Times New Roman"/>
                <w:noProof/>
                <w:lang w:eastAsia="pt-BR"/>
              </w:rPr>
              <w:t>8.1. Função do OPEX na modelagem</w:t>
            </w:r>
            <w:r>
              <w:rPr>
                <w:noProof/>
                <w:webHidden/>
              </w:rPr>
              <w:tab/>
            </w:r>
            <w:r>
              <w:rPr>
                <w:noProof/>
                <w:webHidden/>
              </w:rPr>
              <w:fldChar w:fldCharType="begin"/>
            </w:r>
            <w:r>
              <w:rPr>
                <w:noProof/>
                <w:webHidden/>
              </w:rPr>
              <w:instrText xml:space="preserve"> PAGEREF _Toc230204078 \h </w:instrText>
            </w:r>
            <w:r>
              <w:rPr>
                <w:noProof/>
                <w:webHidden/>
              </w:rPr>
            </w:r>
            <w:r>
              <w:rPr>
                <w:noProof/>
                <w:webHidden/>
              </w:rPr>
              <w:fldChar w:fldCharType="separate"/>
            </w:r>
            <w:r w:rsidR="00B90978">
              <w:rPr>
                <w:noProof/>
                <w:webHidden/>
              </w:rPr>
              <w:t>69</w:t>
            </w:r>
            <w:r>
              <w:rPr>
                <w:noProof/>
                <w:webHidden/>
              </w:rPr>
              <w:fldChar w:fldCharType="end"/>
            </w:r>
          </w:hyperlink>
        </w:p>
        <w:p w14:paraId="0DB8058D" w14:textId="219F58C4" w:rsidR="00514939" w:rsidRDefault="00514939">
          <w:pPr>
            <w:pStyle w:val="Sumrio2"/>
            <w:tabs>
              <w:tab w:val="right" w:leader="dot" w:pos="9061"/>
            </w:tabs>
            <w:rPr>
              <w:rFonts w:asciiTheme="minorHAnsi" w:eastAsiaTheme="minorEastAsia" w:hAnsiTheme="minorHAnsi"/>
              <w:noProof/>
              <w:lang w:eastAsia="pt-BR"/>
            </w:rPr>
          </w:pPr>
          <w:hyperlink w:anchor="_Toc230204079" w:history="1">
            <w:r w:rsidRPr="004A0D71">
              <w:rPr>
                <w:rStyle w:val="Hyperlink"/>
                <w:rFonts w:eastAsia="Times New Roman"/>
                <w:noProof/>
                <w:lang w:eastAsia="pt-BR"/>
              </w:rPr>
              <w:t>8.2. Composição sintética do OPEX</w:t>
            </w:r>
            <w:r>
              <w:rPr>
                <w:noProof/>
                <w:webHidden/>
              </w:rPr>
              <w:tab/>
            </w:r>
            <w:r>
              <w:rPr>
                <w:noProof/>
                <w:webHidden/>
              </w:rPr>
              <w:fldChar w:fldCharType="begin"/>
            </w:r>
            <w:r>
              <w:rPr>
                <w:noProof/>
                <w:webHidden/>
              </w:rPr>
              <w:instrText xml:space="preserve"> PAGEREF _Toc230204079 \h </w:instrText>
            </w:r>
            <w:r>
              <w:rPr>
                <w:noProof/>
                <w:webHidden/>
              </w:rPr>
            </w:r>
            <w:r>
              <w:rPr>
                <w:noProof/>
                <w:webHidden/>
              </w:rPr>
              <w:fldChar w:fldCharType="separate"/>
            </w:r>
            <w:r w:rsidR="00B90978">
              <w:rPr>
                <w:noProof/>
                <w:webHidden/>
              </w:rPr>
              <w:t>70</w:t>
            </w:r>
            <w:r>
              <w:rPr>
                <w:noProof/>
                <w:webHidden/>
              </w:rPr>
              <w:fldChar w:fldCharType="end"/>
            </w:r>
          </w:hyperlink>
        </w:p>
        <w:p w14:paraId="67B99D87" w14:textId="6AF02BDA" w:rsidR="00514939" w:rsidRDefault="00514939">
          <w:pPr>
            <w:pStyle w:val="Sumrio2"/>
            <w:tabs>
              <w:tab w:val="right" w:leader="dot" w:pos="9061"/>
            </w:tabs>
            <w:rPr>
              <w:rFonts w:asciiTheme="minorHAnsi" w:eastAsiaTheme="minorEastAsia" w:hAnsiTheme="minorHAnsi"/>
              <w:noProof/>
              <w:lang w:eastAsia="pt-BR"/>
            </w:rPr>
          </w:pPr>
          <w:hyperlink w:anchor="_Toc230204080" w:history="1">
            <w:r w:rsidRPr="004A0D71">
              <w:rPr>
                <w:rStyle w:val="Hyperlink"/>
                <w:rFonts w:eastAsia="Times New Roman"/>
                <w:noProof/>
                <w:lang w:eastAsia="pt-BR"/>
              </w:rPr>
              <w:t>8.3. Mão de obra ativa considerada</w:t>
            </w:r>
            <w:r>
              <w:rPr>
                <w:noProof/>
                <w:webHidden/>
              </w:rPr>
              <w:tab/>
            </w:r>
            <w:r>
              <w:rPr>
                <w:noProof/>
                <w:webHidden/>
              </w:rPr>
              <w:fldChar w:fldCharType="begin"/>
            </w:r>
            <w:r>
              <w:rPr>
                <w:noProof/>
                <w:webHidden/>
              </w:rPr>
              <w:instrText xml:space="preserve"> PAGEREF _Toc230204080 \h </w:instrText>
            </w:r>
            <w:r>
              <w:rPr>
                <w:noProof/>
                <w:webHidden/>
              </w:rPr>
            </w:r>
            <w:r>
              <w:rPr>
                <w:noProof/>
                <w:webHidden/>
              </w:rPr>
              <w:fldChar w:fldCharType="separate"/>
            </w:r>
            <w:r w:rsidR="00B90978">
              <w:rPr>
                <w:noProof/>
                <w:webHidden/>
              </w:rPr>
              <w:t>70</w:t>
            </w:r>
            <w:r>
              <w:rPr>
                <w:noProof/>
                <w:webHidden/>
              </w:rPr>
              <w:fldChar w:fldCharType="end"/>
            </w:r>
          </w:hyperlink>
        </w:p>
        <w:p w14:paraId="56DD43CB" w14:textId="1C8B86A2" w:rsidR="00514939" w:rsidRDefault="00514939">
          <w:pPr>
            <w:pStyle w:val="Sumrio2"/>
            <w:tabs>
              <w:tab w:val="right" w:leader="dot" w:pos="9061"/>
            </w:tabs>
            <w:rPr>
              <w:rFonts w:asciiTheme="minorHAnsi" w:eastAsiaTheme="minorEastAsia" w:hAnsiTheme="minorHAnsi"/>
              <w:noProof/>
              <w:lang w:eastAsia="pt-BR"/>
            </w:rPr>
          </w:pPr>
          <w:hyperlink w:anchor="_Toc230204081" w:history="1">
            <w:r w:rsidRPr="004A0D71">
              <w:rPr>
                <w:rStyle w:val="Hyperlink"/>
                <w:rFonts w:eastAsia="Times New Roman"/>
                <w:noProof/>
                <w:lang w:eastAsia="pt-BR"/>
              </w:rPr>
              <w:t>8.4. Leitura da estrutura de pessoal</w:t>
            </w:r>
            <w:r>
              <w:rPr>
                <w:noProof/>
                <w:webHidden/>
              </w:rPr>
              <w:tab/>
            </w:r>
            <w:r>
              <w:rPr>
                <w:noProof/>
                <w:webHidden/>
              </w:rPr>
              <w:fldChar w:fldCharType="begin"/>
            </w:r>
            <w:r>
              <w:rPr>
                <w:noProof/>
                <w:webHidden/>
              </w:rPr>
              <w:instrText xml:space="preserve"> PAGEREF _Toc230204081 \h </w:instrText>
            </w:r>
            <w:r>
              <w:rPr>
                <w:noProof/>
                <w:webHidden/>
              </w:rPr>
            </w:r>
            <w:r>
              <w:rPr>
                <w:noProof/>
                <w:webHidden/>
              </w:rPr>
              <w:fldChar w:fldCharType="separate"/>
            </w:r>
            <w:r w:rsidR="00B90978">
              <w:rPr>
                <w:noProof/>
                <w:webHidden/>
              </w:rPr>
              <w:t>72</w:t>
            </w:r>
            <w:r>
              <w:rPr>
                <w:noProof/>
                <w:webHidden/>
              </w:rPr>
              <w:fldChar w:fldCharType="end"/>
            </w:r>
          </w:hyperlink>
        </w:p>
        <w:p w14:paraId="017EB757" w14:textId="5C09FA12" w:rsidR="00514939" w:rsidRDefault="00514939">
          <w:pPr>
            <w:pStyle w:val="Sumrio2"/>
            <w:tabs>
              <w:tab w:val="right" w:leader="dot" w:pos="9061"/>
            </w:tabs>
            <w:rPr>
              <w:rFonts w:asciiTheme="minorHAnsi" w:eastAsiaTheme="minorEastAsia" w:hAnsiTheme="minorHAnsi"/>
              <w:noProof/>
              <w:lang w:eastAsia="pt-BR"/>
            </w:rPr>
          </w:pPr>
          <w:hyperlink w:anchor="_Toc230204082" w:history="1">
            <w:r w:rsidRPr="004A0D71">
              <w:rPr>
                <w:rStyle w:val="Hyperlink"/>
                <w:rFonts w:eastAsia="Times New Roman"/>
                <w:noProof/>
                <w:lang w:eastAsia="pt-BR"/>
              </w:rPr>
              <w:t>8.5. Subtotal anual da mão de obra</w:t>
            </w:r>
            <w:r>
              <w:rPr>
                <w:noProof/>
                <w:webHidden/>
              </w:rPr>
              <w:tab/>
            </w:r>
            <w:r>
              <w:rPr>
                <w:noProof/>
                <w:webHidden/>
              </w:rPr>
              <w:fldChar w:fldCharType="begin"/>
            </w:r>
            <w:r>
              <w:rPr>
                <w:noProof/>
                <w:webHidden/>
              </w:rPr>
              <w:instrText xml:space="preserve"> PAGEREF _Toc230204082 \h </w:instrText>
            </w:r>
            <w:r>
              <w:rPr>
                <w:noProof/>
                <w:webHidden/>
              </w:rPr>
            </w:r>
            <w:r>
              <w:rPr>
                <w:noProof/>
                <w:webHidden/>
              </w:rPr>
              <w:fldChar w:fldCharType="separate"/>
            </w:r>
            <w:r w:rsidR="00B90978">
              <w:rPr>
                <w:noProof/>
                <w:webHidden/>
              </w:rPr>
              <w:t>72</w:t>
            </w:r>
            <w:r>
              <w:rPr>
                <w:noProof/>
                <w:webHidden/>
              </w:rPr>
              <w:fldChar w:fldCharType="end"/>
            </w:r>
          </w:hyperlink>
        </w:p>
        <w:p w14:paraId="754C29FE" w14:textId="697FB7E9" w:rsidR="00514939" w:rsidRDefault="00514939">
          <w:pPr>
            <w:pStyle w:val="Sumrio2"/>
            <w:tabs>
              <w:tab w:val="right" w:leader="dot" w:pos="9061"/>
            </w:tabs>
            <w:rPr>
              <w:rFonts w:asciiTheme="minorHAnsi" w:eastAsiaTheme="minorEastAsia" w:hAnsiTheme="minorHAnsi"/>
              <w:noProof/>
              <w:lang w:eastAsia="pt-BR"/>
            </w:rPr>
          </w:pPr>
          <w:hyperlink w:anchor="_Toc230204083" w:history="1">
            <w:r w:rsidRPr="004A0D71">
              <w:rPr>
                <w:rStyle w:val="Hyperlink"/>
                <w:rFonts w:eastAsia="Times New Roman"/>
                <w:noProof/>
                <w:lang w:eastAsia="pt-BR"/>
              </w:rPr>
              <w:t>8.6. Cargos referenciais não ativados</w:t>
            </w:r>
            <w:r>
              <w:rPr>
                <w:noProof/>
                <w:webHidden/>
              </w:rPr>
              <w:tab/>
            </w:r>
            <w:r>
              <w:rPr>
                <w:noProof/>
                <w:webHidden/>
              </w:rPr>
              <w:fldChar w:fldCharType="begin"/>
            </w:r>
            <w:r>
              <w:rPr>
                <w:noProof/>
                <w:webHidden/>
              </w:rPr>
              <w:instrText xml:space="preserve"> PAGEREF _Toc230204083 \h </w:instrText>
            </w:r>
            <w:r>
              <w:rPr>
                <w:noProof/>
                <w:webHidden/>
              </w:rPr>
            </w:r>
            <w:r>
              <w:rPr>
                <w:noProof/>
                <w:webHidden/>
              </w:rPr>
              <w:fldChar w:fldCharType="separate"/>
            </w:r>
            <w:r w:rsidR="00B90978">
              <w:rPr>
                <w:noProof/>
                <w:webHidden/>
              </w:rPr>
              <w:t>73</w:t>
            </w:r>
            <w:r>
              <w:rPr>
                <w:noProof/>
                <w:webHidden/>
              </w:rPr>
              <w:fldChar w:fldCharType="end"/>
            </w:r>
          </w:hyperlink>
        </w:p>
        <w:p w14:paraId="05F3E79E" w14:textId="40542BC6" w:rsidR="00514939" w:rsidRDefault="00514939">
          <w:pPr>
            <w:pStyle w:val="Sumrio2"/>
            <w:tabs>
              <w:tab w:val="right" w:leader="dot" w:pos="9061"/>
            </w:tabs>
            <w:rPr>
              <w:rFonts w:asciiTheme="minorHAnsi" w:eastAsiaTheme="minorEastAsia" w:hAnsiTheme="minorHAnsi"/>
              <w:noProof/>
              <w:lang w:eastAsia="pt-BR"/>
            </w:rPr>
          </w:pPr>
          <w:hyperlink w:anchor="_Toc230204084" w:history="1">
            <w:r w:rsidRPr="004A0D71">
              <w:rPr>
                <w:rStyle w:val="Hyperlink"/>
                <w:rFonts w:eastAsia="Times New Roman"/>
                <w:noProof/>
                <w:lang w:eastAsia="pt-BR"/>
              </w:rPr>
              <w:t>8.7. Demais custos operacionais</w:t>
            </w:r>
            <w:r>
              <w:rPr>
                <w:noProof/>
                <w:webHidden/>
              </w:rPr>
              <w:tab/>
            </w:r>
            <w:r>
              <w:rPr>
                <w:noProof/>
                <w:webHidden/>
              </w:rPr>
              <w:fldChar w:fldCharType="begin"/>
            </w:r>
            <w:r>
              <w:rPr>
                <w:noProof/>
                <w:webHidden/>
              </w:rPr>
              <w:instrText xml:space="preserve"> PAGEREF _Toc230204084 \h </w:instrText>
            </w:r>
            <w:r>
              <w:rPr>
                <w:noProof/>
                <w:webHidden/>
              </w:rPr>
            </w:r>
            <w:r>
              <w:rPr>
                <w:noProof/>
                <w:webHidden/>
              </w:rPr>
              <w:fldChar w:fldCharType="separate"/>
            </w:r>
            <w:r w:rsidR="00B90978">
              <w:rPr>
                <w:noProof/>
                <w:webHidden/>
              </w:rPr>
              <w:t>74</w:t>
            </w:r>
            <w:r>
              <w:rPr>
                <w:noProof/>
                <w:webHidden/>
              </w:rPr>
              <w:fldChar w:fldCharType="end"/>
            </w:r>
          </w:hyperlink>
        </w:p>
        <w:p w14:paraId="79095E74" w14:textId="01806A27" w:rsidR="00514939" w:rsidRDefault="00514939">
          <w:pPr>
            <w:pStyle w:val="Sumrio2"/>
            <w:tabs>
              <w:tab w:val="right" w:leader="dot" w:pos="9061"/>
            </w:tabs>
            <w:rPr>
              <w:rFonts w:asciiTheme="minorHAnsi" w:eastAsiaTheme="minorEastAsia" w:hAnsiTheme="minorHAnsi"/>
              <w:noProof/>
              <w:lang w:eastAsia="pt-BR"/>
            </w:rPr>
          </w:pPr>
          <w:hyperlink w:anchor="_Toc230204085" w:history="1">
            <w:r w:rsidRPr="004A0D71">
              <w:rPr>
                <w:rStyle w:val="Hyperlink"/>
                <w:rFonts w:eastAsia="Times New Roman"/>
                <w:noProof/>
                <w:lang w:eastAsia="pt-BR"/>
              </w:rPr>
              <w:t>8.8. Leitura dos principais grupos de custos não salariais</w:t>
            </w:r>
            <w:r>
              <w:rPr>
                <w:noProof/>
                <w:webHidden/>
              </w:rPr>
              <w:tab/>
            </w:r>
            <w:r>
              <w:rPr>
                <w:noProof/>
                <w:webHidden/>
              </w:rPr>
              <w:fldChar w:fldCharType="begin"/>
            </w:r>
            <w:r>
              <w:rPr>
                <w:noProof/>
                <w:webHidden/>
              </w:rPr>
              <w:instrText xml:space="preserve"> PAGEREF _Toc230204085 \h </w:instrText>
            </w:r>
            <w:r>
              <w:rPr>
                <w:noProof/>
                <w:webHidden/>
              </w:rPr>
            </w:r>
            <w:r>
              <w:rPr>
                <w:noProof/>
                <w:webHidden/>
              </w:rPr>
              <w:fldChar w:fldCharType="separate"/>
            </w:r>
            <w:r w:rsidR="00B90978">
              <w:rPr>
                <w:noProof/>
                <w:webHidden/>
              </w:rPr>
              <w:t>75</w:t>
            </w:r>
            <w:r>
              <w:rPr>
                <w:noProof/>
                <w:webHidden/>
              </w:rPr>
              <w:fldChar w:fldCharType="end"/>
            </w:r>
          </w:hyperlink>
        </w:p>
        <w:p w14:paraId="777981F9" w14:textId="41AADADC" w:rsidR="00514939" w:rsidRDefault="00514939">
          <w:pPr>
            <w:pStyle w:val="Sumrio2"/>
            <w:tabs>
              <w:tab w:val="right" w:leader="dot" w:pos="9061"/>
            </w:tabs>
            <w:rPr>
              <w:rFonts w:asciiTheme="minorHAnsi" w:eastAsiaTheme="minorEastAsia" w:hAnsiTheme="minorHAnsi"/>
              <w:noProof/>
              <w:lang w:eastAsia="pt-BR"/>
            </w:rPr>
          </w:pPr>
          <w:hyperlink w:anchor="_Toc230204086" w:history="1">
            <w:r w:rsidRPr="004A0D71">
              <w:rPr>
                <w:rStyle w:val="Hyperlink"/>
                <w:rFonts w:eastAsia="Times New Roman"/>
                <w:noProof/>
                <w:lang w:eastAsia="pt-BR"/>
              </w:rPr>
              <w:t>8.9. OPEX total revisado</w:t>
            </w:r>
            <w:r>
              <w:rPr>
                <w:noProof/>
                <w:webHidden/>
              </w:rPr>
              <w:tab/>
            </w:r>
            <w:r>
              <w:rPr>
                <w:noProof/>
                <w:webHidden/>
              </w:rPr>
              <w:fldChar w:fldCharType="begin"/>
            </w:r>
            <w:r>
              <w:rPr>
                <w:noProof/>
                <w:webHidden/>
              </w:rPr>
              <w:instrText xml:space="preserve"> PAGEREF _Toc230204086 \h </w:instrText>
            </w:r>
            <w:r>
              <w:rPr>
                <w:noProof/>
                <w:webHidden/>
              </w:rPr>
            </w:r>
            <w:r>
              <w:rPr>
                <w:noProof/>
                <w:webHidden/>
              </w:rPr>
              <w:fldChar w:fldCharType="separate"/>
            </w:r>
            <w:r w:rsidR="00B90978">
              <w:rPr>
                <w:noProof/>
                <w:webHidden/>
              </w:rPr>
              <w:t>76</w:t>
            </w:r>
            <w:r>
              <w:rPr>
                <w:noProof/>
                <w:webHidden/>
              </w:rPr>
              <w:fldChar w:fldCharType="end"/>
            </w:r>
          </w:hyperlink>
        </w:p>
        <w:p w14:paraId="0B7C14C9" w14:textId="1E90512A" w:rsidR="00514939" w:rsidRDefault="00514939">
          <w:pPr>
            <w:pStyle w:val="Sumrio2"/>
            <w:tabs>
              <w:tab w:val="right" w:leader="dot" w:pos="9061"/>
            </w:tabs>
            <w:rPr>
              <w:rFonts w:asciiTheme="minorHAnsi" w:eastAsiaTheme="minorEastAsia" w:hAnsiTheme="minorHAnsi"/>
              <w:noProof/>
              <w:lang w:eastAsia="pt-BR"/>
            </w:rPr>
          </w:pPr>
          <w:hyperlink w:anchor="_Toc230204087" w:history="1">
            <w:r w:rsidRPr="004A0D71">
              <w:rPr>
                <w:rStyle w:val="Hyperlink"/>
                <w:rFonts w:eastAsia="Times New Roman"/>
                <w:noProof/>
                <w:lang w:eastAsia="pt-BR"/>
              </w:rPr>
              <w:t>8.10. Relação entre OPEX e EBITDA</w:t>
            </w:r>
            <w:r>
              <w:rPr>
                <w:noProof/>
                <w:webHidden/>
              </w:rPr>
              <w:tab/>
            </w:r>
            <w:r>
              <w:rPr>
                <w:noProof/>
                <w:webHidden/>
              </w:rPr>
              <w:fldChar w:fldCharType="begin"/>
            </w:r>
            <w:r>
              <w:rPr>
                <w:noProof/>
                <w:webHidden/>
              </w:rPr>
              <w:instrText xml:space="preserve"> PAGEREF _Toc230204087 \h </w:instrText>
            </w:r>
            <w:r>
              <w:rPr>
                <w:noProof/>
                <w:webHidden/>
              </w:rPr>
            </w:r>
            <w:r>
              <w:rPr>
                <w:noProof/>
                <w:webHidden/>
              </w:rPr>
              <w:fldChar w:fldCharType="separate"/>
            </w:r>
            <w:r w:rsidR="00B90978">
              <w:rPr>
                <w:noProof/>
                <w:webHidden/>
              </w:rPr>
              <w:t>76</w:t>
            </w:r>
            <w:r>
              <w:rPr>
                <w:noProof/>
                <w:webHidden/>
              </w:rPr>
              <w:fldChar w:fldCharType="end"/>
            </w:r>
          </w:hyperlink>
        </w:p>
        <w:p w14:paraId="32362914" w14:textId="3CCBBDE0" w:rsidR="00514939" w:rsidRDefault="00514939">
          <w:pPr>
            <w:pStyle w:val="Sumrio2"/>
            <w:tabs>
              <w:tab w:val="right" w:leader="dot" w:pos="9061"/>
            </w:tabs>
            <w:rPr>
              <w:rFonts w:asciiTheme="minorHAnsi" w:eastAsiaTheme="minorEastAsia" w:hAnsiTheme="minorHAnsi"/>
              <w:noProof/>
              <w:lang w:eastAsia="pt-BR"/>
            </w:rPr>
          </w:pPr>
          <w:hyperlink w:anchor="_Toc230204088" w:history="1">
            <w:r w:rsidRPr="004A0D71">
              <w:rPr>
                <w:rStyle w:val="Hyperlink"/>
                <w:rFonts w:eastAsia="Times New Roman"/>
                <w:noProof/>
                <w:lang w:eastAsia="pt-BR"/>
              </w:rPr>
              <w:t>8.11. Sensibilidade do OPEX</w:t>
            </w:r>
            <w:r>
              <w:rPr>
                <w:noProof/>
                <w:webHidden/>
              </w:rPr>
              <w:tab/>
            </w:r>
            <w:r>
              <w:rPr>
                <w:noProof/>
                <w:webHidden/>
              </w:rPr>
              <w:fldChar w:fldCharType="begin"/>
            </w:r>
            <w:r>
              <w:rPr>
                <w:noProof/>
                <w:webHidden/>
              </w:rPr>
              <w:instrText xml:space="preserve"> PAGEREF _Toc230204088 \h </w:instrText>
            </w:r>
            <w:r>
              <w:rPr>
                <w:noProof/>
                <w:webHidden/>
              </w:rPr>
            </w:r>
            <w:r>
              <w:rPr>
                <w:noProof/>
                <w:webHidden/>
              </w:rPr>
              <w:fldChar w:fldCharType="separate"/>
            </w:r>
            <w:r w:rsidR="00B90978">
              <w:rPr>
                <w:noProof/>
                <w:webHidden/>
              </w:rPr>
              <w:t>77</w:t>
            </w:r>
            <w:r>
              <w:rPr>
                <w:noProof/>
                <w:webHidden/>
              </w:rPr>
              <w:fldChar w:fldCharType="end"/>
            </w:r>
          </w:hyperlink>
        </w:p>
        <w:p w14:paraId="62D2B7BC" w14:textId="06D604DB" w:rsidR="00514939" w:rsidRDefault="00514939">
          <w:pPr>
            <w:pStyle w:val="Sumrio2"/>
            <w:tabs>
              <w:tab w:val="right" w:leader="dot" w:pos="9061"/>
            </w:tabs>
            <w:rPr>
              <w:rFonts w:asciiTheme="minorHAnsi" w:eastAsiaTheme="minorEastAsia" w:hAnsiTheme="minorHAnsi"/>
              <w:noProof/>
              <w:lang w:eastAsia="pt-BR"/>
            </w:rPr>
          </w:pPr>
          <w:hyperlink w:anchor="_Toc230204089" w:history="1">
            <w:r w:rsidRPr="004A0D71">
              <w:rPr>
                <w:rStyle w:val="Hyperlink"/>
                <w:rFonts w:eastAsia="Times New Roman"/>
                <w:noProof/>
                <w:lang w:eastAsia="pt-BR"/>
              </w:rPr>
              <w:t>8.12. Responsabilidade dos licitantes sobre o OPEX</w:t>
            </w:r>
            <w:r>
              <w:rPr>
                <w:noProof/>
                <w:webHidden/>
              </w:rPr>
              <w:tab/>
            </w:r>
            <w:r>
              <w:rPr>
                <w:noProof/>
                <w:webHidden/>
              </w:rPr>
              <w:fldChar w:fldCharType="begin"/>
            </w:r>
            <w:r>
              <w:rPr>
                <w:noProof/>
                <w:webHidden/>
              </w:rPr>
              <w:instrText xml:space="preserve"> PAGEREF _Toc230204089 \h </w:instrText>
            </w:r>
            <w:r>
              <w:rPr>
                <w:noProof/>
                <w:webHidden/>
              </w:rPr>
            </w:r>
            <w:r>
              <w:rPr>
                <w:noProof/>
                <w:webHidden/>
              </w:rPr>
              <w:fldChar w:fldCharType="separate"/>
            </w:r>
            <w:r w:rsidR="00B90978">
              <w:rPr>
                <w:noProof/>
                <w:webHidden/>
              </w:rPr>
              <w:t>78</w:t>
            </w:r>
            <w:r>
              <w:rPr>
                <w:noProof/>
                <w:webHidden/>
              </w:rPr>
              <w:fldChar w:fldCharType="end"/>
            </w:r>
          </w:hyperlink>
        </w:p>
        <w:p w14:paraId="48DF8E79" w14:textId="18EACD94" w:rsidR="00514939" w:rsidRDefault="00514939">
          <w:pPr>
            <w:pStyle w:val="Sumrio2"/>
            <w:tabs>
              <w:tab w:val="right" w:leader="dot" w:pos="9061"/>
            </w:tabs>
            <w:rPr>
              <w:rFonts w:asciiTheme="minorHAnsi" w:eastAsiaTheme="minorEastAsia" w:hAnsiTheme="minorHAnsi"/>
              <w:noProof/>
              <w:lang w:eastAsia="pt-BR"/>
            </w:rPr>
          </w:pPr>
          <w:hyperlink w:anchor="_Toc230204090" w:history="1">
            <w:r w:rsidRPr="004A0D71">
              <w:rPr>
                <w:rStyle w:val="Hyperlink"/>
                <w:rFonts w:eastAsia="Times New Roman"/>
                <w:noProof/>
                <w:lang w:eastAsia="pt-BR"/>
              </w:rPr>
              <w:t>8.13. Riscos associados ao OPEX</w:t>
            </w:r>
            <w:r>
              <w:rPr>
                <w:noProof/>
                <w:webHidden/>
              </w:rPr>
              <w:tab/>
            </w:r>
            <w:r>
              <w:rPr>
                <w:noProof/>
                <w:webHidden/>
              </w:rPr>
              <w:fldChar w:fldCharType="begin"/>
            </w:r>
            <w:r>
              <w:rPr>
                <w:noProof/>
                <w:webHidden/>
              </w:rPr>
              <w:instrText xml:space="preserve"> PAGEREF _Toc230204090 \h </w:instrText>
            </w:r>
            <w:r>
              <w:rPr>
                <w:noProof/>
                <w:webHidden/>
              </w:rPr>
            </w:r>
            <w:r>
              <w:rPr>
                <w:noProof/>
                <w:webHidden/>
              </w:rPr>
              <w:fldChar w:fldCharType="separate"/>
            </w:r>
            <w:r w:rsidR="00B90978">
              <w:rPr>
                <w:noProof/>
                <w:webHidden/>
              </w:rPr>
              <w:t>79</w:t>
            </w:r>
            <w:r>
              <w:rPr>
                <w:noProof/>
                <w:webHidden/>
              </w:rPr>
              <w:fldChar w:fldCharType="end"/>
            </w:r>
          </w:hyperlink>
        </w:p>
        <w:p w14:paraId="4369965E" w14:textId="05149D93" w:rsidR="00514939" w:rsidRDefault="00514939">
          <w:pPr>
            <w:pStyle w:val="Sumrio2"/>
            <w:tabs>
              <w:tab w:val="right" w:leader="dot" w:pos="9061"/>
            </w:tabs>
            <w:rPr>
              <w:rFonts w:asciiTheme="minorHAnsi" w:eastAsiaTheme="minorEastAsia" w:hAnsiTheme="minorHAnsi"/>
              <w:noProof/>
              <w:lang w:eastAsia="pt-BR"/>
            </w:rPr>
          </w:pPr>
          <w:hyperlink w:anchor="_Toc230204091" w:history="1">
            <w:r w:rsidRPr="004A0D71">
              <w:rPr>
                <w:rStyle w:val="Hyperlink"/>
                <w:rFonts w:eastAsia="Times New Roman"/>
                <w:noProof/>
                <w:lang w:eastAsia="pt-BR"/>
              </w:rPr>
              <w:t>8.14. Conclusão do tópico</w:t>
            </w:r>
            <w:r>
              <w:rPr>
                <w:noProof/>
                <w:webHidden/>
              </w:rPr>
              <w:tab/>
            </w:r>
            <w:r>
              <w:rPr>
                <w:noProof/>
                <w:webHidden/>
              </w:rPr>
              <w:fldChar w:fldCharType="begin"/>
            </w:r>
            <w:r>
              <w:rPr>
                <w:noProof/>
                <w:webHidden/>
              </w:rPr>
              <w:instrText xml:space="preserve"> PAGEREF _Toc230204091 \h </w:instrText>
            </w:r>
            <w:r>
              <w:rPr>
                <w:noProof/>
                <w:webHidden/>
              </w:rPr>
            </w:r>
            <w:r>
              <w:rPr>
                <w:noProof/>
                <w:webHidden/>
              </w:rPr>
              <w:fldChar w:fldCharType="separate"/>
            </w:r>
            <w:r w:rsidR="00B90978">
              <w:rPr>
                <w:noProof/>
                <w:webHidden/>
              </w:rPr>
              <w:t>79</w:t>
            </w:r>
            <w:r>
              <w:rPr>
                <w:noProof/>
                <w:webHidden/>
              </w:rPr>
              <w:fldChar w:fldCharType="end"/>
            </w:r>
          </w:hyperlink>
        </w:p>
        <w:p w14:paraId="44BA68E4" w14:textId="7430520B" w:rsidR="00514939" w:rsidRDefault="00514939">
          <w:pPr>
            <w:pStyle w:val="Sumrio1"/>
            <w:tabs>
              <w:tab w:val="right" w:leader="dot" w:pos="9061"/>
            </w:tabs>
            <w:rPr>
              <w:rFonts w:asciiTheme="minorHAnsi" w:eastAsiaTheme="minorEastAsia" w:hAnsiTheme="minorHAnsi"/>
              <w:noProof/>
              <w:lang w:eastAsia="pt-BR"/>
            </w:rPr>
          </w:pPr>
          <w:hyperlink w:anchor="_Toc230204092" w:history="1">
            <w:r w:rsidRPr="004A0D71">
              <w:rPr>
                <w:rStyle w:val="Hyperlink"/>
                <w:rFonts w:eastAsia="Times New Roman"/>
                <w:noProof/>
                <w:lang w:eastAsia="pt-BR"/>
              </w:rPr>
              <w:t>9. Receitas Principais da PPP</w:t>
            </w:r>
            <w:r>
              <w:rPr>
                <w:noProof/>
                <w:webHidden/>
              </w:rPr>
              <w:tab/>
            </w:r>
            <w:r>
              <w:rPr>
                <w:noProof/>
                <w:webHidden/>
              </w:rPr>
              <w:fldChar w:fldCharType="begin"/>
            </w:r>
            <w:r>
              <w:rPr>
                <w:noProof/>
                <w:webHidden/>
              </w:rPr>
              <w:instrText xml:space="preserve"> PAGEREF _Toc230204092 \h </w:instrText>
            </w:r>
            <w:r>
              <w:rPr>
                <w:noProof/>
                <w:webHidden/>
              </w:rPr>
            </w:r>
            <w:r>
              <w:rPr>
                <w:noProof/>
                <w:webHidden/>
              </w:rPr>
              <w:fldChar w:fldCharType="separate"/>
            </w:r>
            <w:r w:rsidR="00B90978">
              <w:rPr>
                <w:noProof/>
                <w:webHidden/>
              </w:rPr>
              <w:t>81</w:t>
            </w:r>
            <w:r>
              <w:rPr>
                <w:noProof/>
                <w:webHidden/>
              </w:rPr>
              <w:fldChar w:fldCharType="end"/>
            </w:r>
          </w:hyperlink>
        </w:p>
        <w:p w14:paraId="3E56DD60" w14:textId="2D8C9370" w:rsidR="00514939" w:rsidRDefault="00514939">
          <w:pPr>
            <w:pStyle w:val="Sumrio2"/>
            <w:tabs>
              <w:tab w:val="right" w:leader="dot" w:pos="9061"/>
            </w:tabs>
            <w:rPr>
              <w:rFonts w:asciiTheme="minorHAnsi" w:eastAsiaTheme="minorEastAsia" w:hAnsiTheme="minorHAnsi"/>
              <w:noProof/>
              <w:lang w:eastAsia="pt-BR"/>
            </w:rPr>
          </w:pPr>
          <w:hyperlink w:anchor="_Toc230204093" w:history="1">
            <w:r w:rsidRPr="004A0D71">
              <w:rPr>
                <w:rStyle w:val="Hyperlink"/>
                <w:rFonts w:eastAsia="Times New Roman"/>
                <w:noProof/>
                <w:lang w:eastAsia="pt-BR"/>
              </w:rPr>
              <w:t>9.1. Função das receitas principais na modelagem</w:t>
            </w:r>
            <w:r>
              <w:rPr>
                <w:noProof/>
                <w:webHidden/>
              </w:rPr>
              <w:tab/>
            </w:r>
            <w:r>
              <w:rPr>
                <w:noProof/>
                <w:webHidden/>
              </w:rPr>
              <w:fldChar w:fldCharType="begin"/>
            </w:r>
            <w:r>
              <w:rPr>
                <w:noProof/>
                <w:webHidden/>
              </w:rPr>
              <w:instrText xml:space="preserve"> PAGEREF _Toc230204093 \h </w:instrText>
            </w:r>
            <w:r>
              <w:rPr>
                <w:noProof/>
                <w:webHidden/>
              </w:rPr>
            </w:r>
            <w:r>
              <w:rPr>
                <w:noProof/>
                <w:webHidden/>
              </w:rPr>
              <w:fldChar w:fldCharType="separate"/>
            </w:r>
            <w:r w:rsidR="00B90978">
              <w:rPr>
                <w:noProof/>
                <w:webHidden/>
              </w:rPr>
              <w:t>81</w:t>
            </w:r>
            <w:r>
              <w:rPr>
                <w:noProof/>
                <w:webHidden/>
              </w:rPr>
              <w:fldChar w:fldCharType="end"/>
            </w:r>
          </w:hyperlink>
        </w:p>
        <w:p w14:paraId="257790F5" w14:textId="0F42867C" w:rsidR="00514939" w:rsidRDefault="00514939">
          <w:pPr>
            <w:pStyle w:val="Sumrio2"/>
            <w:tabs>
              <w:tab w:val="right" w:leader="dot" w:pos="9061"/>
            </w:tabs>
            <w:rPr>
              <w:rFonts w:asciiTheme="minorHAnsi" w:eastAsiaTheme="minorEastAsia" w:hAnsiTheme="minorHAnsi"/>
              <w:noProof/>
              <w:lang w:eastAsia="pt-BR"/>
            </w:rPr>
          </w:pPr>
          <w:hyperlink w:anchor="_Toc230204094" w:history="1">
            <w:r w:rsidRPr="004A0D71">
              <w:rPr>
                <w:rStyle w:val="Hyperlink"/>
                <w:rFonts w:eastAsia="Times New Roman"/>
                <w:noProof/>
                <w:lang w:eastAsia="pt-BR"/>
              </w:rPr>
              <w:t>9.2. Receita de destinação/tratamento de RSU</w:t>
            </w:r>
            <w:r>
              <w:rPr>
                <w:noProof/>
                <w:webHidden/>
              </w:rPr>
              <w:tab/>
            </w:r>
            <w:r>
              <w:rPr>
                <w:noProof/>
                <w:webHidden/>
              </w:rPr>
              <w:fldChar w:fldCharType="begin"/>
            </w:r>
            <w:r>
              <w:rPr>
                <w:noProof/>
                <w:webHidden/>
              </w:rPr>
              <w:instrText xml:space="preserve"> PAGEREF _Toc230204094 \h </w:instrText>
            </w:r>
            <w:r>
              <w:rPr>
                <w:noProof/>
                <w:webHidden/>
              </w:rPr>
            </w:r>
            <w:r>
              <w:rPr>
                <w:noProof/>
                <w:webHidden/>
              </w:rPr>
              <w:fldChar w:fldCharType="separate"/>
            </w:r>
            <w:r w:rsidR="00B90978">
              <w:rPr>
                <w:noProof/>
                <w:webHidden/>
              </w:rPr>
              <w:t>82</w:t>
            </w:r>
            <w:r>
              <w:rPr>
                <w:noProof/>
                <w:webHidden/>
              </w:rPr>
              <w:fldChar w:fldCharType="end"/>
            </w:r>
          </w:hyperlink>
        </w:p>
        <w:p w14:paraId="7700BBC0" w14:textId="2B491082" w:rsidR="00514939" w:rsidRDefault="00514939">
          <w:pPr>
            <w:pStyle w:val="Sumrio2"/>
            <w:tabs>
              <w:tab w:val="right" w:leader="dot" w:pos="9061"/>
            </w:tabs>
            <w:rPr>
              <w:rFonts w:asciiTheme="minorHAnsi" w:eastAsiaTheme="minorEastAsia" w:hAnsiTheme="minorHAnsi"/>
              <w:noProof/>
              <w:lang w:eastAsia="pt-BR"/>
            </w:rPr>
          </w:pPr>
          <w:hyperlink w:anchor="_Toc230204095" w:history="1">
            <w:r w:rsidRPr="004A0D71">
              <w:rPr>
                <w:rStyle w:val="Hyperlink"/>
                <w:rFonts w:eastAsia="Times New Roman"/>
                <w:noProof/>
                <w:lang w:eastAsia="pt-BR"/>
              </w:rPr>
              <w:t>9.3. Quantidade mínima contratada e risco de demanda</w:t>
            </w:r>
            <w:r>
              <w:rPr>
                <w:noProof/>
                <w:webHidden/>
              </w:rPr>
              <w:tab/>
            </w:r>
            <w:r>
              <w:rPr>
                <w:noProof/>
                <w:webHidden/>
              </w:rPr>
              <w:fldChar w:fldCharType="begin"/>
            </w:r>
            <w:r>
              <w:rPr>
                <w:noProof/>
                <w:webHidden/>
              </w:rPr>
              <w:instrText xml:space="preserve"> PAGEREF _Toc230204095 \h </w:instrText>
            </w:r>
            <w:r>
              <w:rPr>
                <w:noProof/>
                <w:webHidden/>
              </w:rPr>
            </w:r>
            <w:r>
              <w:rPr>
                <w:noProof/>
                <w:webHidden/>
              </w:rPr>
              <w:fldChar w:fldCharType="separate"/>
            </w:r>
            <w:r w:rsidR="00B90978">
              <w:rPr>
                <w:noProof/>
                <w:webHidden/>
              </w:rPr>
              <w:t>83</w:t>
            </w:r>
            <w:r>
              <w:rPr>
                <w:noProof/>
                <w:webHidden/>
              </w:rPr>
              <w:fldChar w:fldCharType="end"/>
            </w:r>
          </w:hyperlink>
        </w:p>
        <w:p w14:paraId="722FB027" w14:textId="20184929" w:rsidR="00514939" w:rsidRDefault="00514939">
          <w:pPr>
            <w:pStyle w:val="Sumrio2"/>
            <w:tabs>
              <w:tab w:val="right" w:leader="dot" w:pos="9061"/>
            </w:tabs>
            <w:rPr>
              <w:rFonts w:asciiTheme="minorHAnsi" w:eastAsiaTheme="minorEastAsia" w:hAnsiTheme="minorHAnsi"/>
              <w:noProof/>
              <w:lang w:eastAsia="pt-BR"/>
            </w:rPr>
          </w:pPr>
          <w:hyperlink w:anchor="_Toc230204096" w:history="1">
            <w:r w:rsidRPr="004A0D71">
              <w:rPr>
                <w:rStyle w:val="Hyperlink"/>
                <w:rFonts w:eastAsia="Times New Roman"/>
                <w:noProof/>
                <w:lang w:eastAsia="pt-BR"/>
              </w:rPr>
              <w:t>9.4. Tarifa de destinação: cenário-base e referência regional superior</w:t>
            </w:r>
            <w:r>
              <w:rPr>
                <w:noProof/>
                <w:webHidden/>
              </w:rPr>
              <w:tab/>
            </w:r>
            <w:r>
              <w:rPr>
                <w:noProof/>
                <w:webHidden/>
              </w:rPr>
              <w:fldChar w:fldCharType="begin"/>
            </w:r>
            <w:r>
              <w:rPr>
                <w:noProof/>
                <w:webHidden/>
              </w:rPr>
              <w:instrText xml:space="preserve"> PAGEREF _Toc230204096 \h </w:instrText>
            </w:r>
            <w:r>
              <w:rPr>
                <w:noProof/>
                <w:webHidden/>
              </w:rPr>
            </w:r>
            <w:r>
              <w:rPr>
                <w:noProof/>
                <w:webHidden/>
              </w:rPr>
              <w:fldChar w:fldCharType="separate"/>
            </w:r>
            <w:r w:rsidR="00B90978">
              <w:rPr>
                <w:noProof/>
                <w:webHidden/>
              </w:rPr>
              <w:t>84</w:t>
            </w:r>
            <w:r>
              <w:rPr>
                <w:noProof/>
                <w:webHidden/>
              </w:rPr>
              <w:fldChar w:fldCharType="end"/>
            </w:r>
          </w:hyperlink>
        </w:p>
        <w:p w14:paraId="2A85CEAA" w14:textId="567B05DA" w:rsidR="00514939" w:rsidRDefault="00514939">
          <w:pPr>
            <w:pStyle w:val="Sumrio2"/>
            <w:tabs>
              <w:tab w:val="right" w:leader="dot" w:pos="9061"/>
            </w:tabs>
            <w:rPr>
              <w:rFonts w:asciiTheme="minorHAnsi" w:eastAsiaTheme="minorEastAsia" w:hAnsiTheme="minorHAnsi"/>
              <w:noProof/>
              <w:lang w:eastAsia="pt-BR"/>
            </w:rPr>
          </w:pPr>
          <w:hyperlink w:anchor="_Toc230204097" w:history="1">
            <w:r w:rsidRPr="004A0D71">
              <w:rPr>
                <w:rStyle w:val="Hyperlink"/>
                <w:rFonts w:eastAsia="Times New Roman"/>
                <w:noProof/>
                <w:lang w:eastAsia="pt-BR"/>
              </w:rPr>
              <w:t>9.5. Receita de disponibilização de capacidade energética renovável</w:t>
            </w:r>
            <w:r>
              <w:rPr>
                <w:noProof/>
                <w:webHidden/>
              </w:rPr>
              <w:tab/>
            </w:r>
            <w:r>
              <w:rPr>
                <w:noProof/>
                <w:webHidden/>
              </w:rPr>
              <w:fldChar w:fldCharType="begin"/>
            </w:r>
            <w:r>
              <w:rPr>
                <w:noProof/>
                <w:webHidden/>
              </w:rPr>
              <w:instrText xml:space="preserve"> PAGEREF _Toc230204097 \h </w:instrText>
            </w:r>
            <w:r>
              <w:rPr>
                <w:noProof/>
                <w:webHidden/>
              </w:rPr>
            </w:r>
            <w:r>
              <w:rPr>
                <w:noProof/>
                <w:webHidden/>
              </w:rPr>
              <w:fldChar w:fldCharType="separate"/>
            </w:r>
            <w:r w:rsidR="00B90978">
              <w:rPr>
                <w:noProof/>
                <w:webHidden/>
              </w:rPr>
              <w:t>84</w:t>
            </w:r>
            <w:r>
              <w:rPr>
                <w:noProof/>
                <w:webHidden/>
              </w:rPr>
              <w:fldChar w:fldCharType="end"/>
            </w:r>
          </w:hyperlink>
        </w:p>
        <w:p w14:paraId="6A562B65" w14:textId="340741A1" w:rsidR="00514939" w:rsidRDefault="00514939">
          <w:pPr>
            <w:pStyle w:val="Sumrio2"/>
            <w:tabs>
              <w:tab w:val="right" w:leader="dot" w:pos="9061"/>
            </w:tabs>
            <w:rPr>
              <w:rFonts w:asciiTheme="minorHAnsi" w:eastAsiaTheme="minorEastAsia" w:hAnsiTheme="minorHAnsi"/>
              <w:noProof/>
              <w:lang w:eastAsia="pt-BR"/>
            </w:rPr>
          </w:pPr>
          <w:hyperlink w:anchor="_Toc230204098" w:history="1">
            <w:r w:rsidRPr="004A0D71">
              <w:rPr>
                <w:rStyle w:val="Hyperlink"/>
                <w:rFonts w:eastAsia="Times New Roman"/>
                <w:noProof/>
                <w:lang w:eastAsia="pt-BR"/>
              </w:rPr>
              <w:t>9.6. Consumo energético considerado</w:t>
            </w:r>
            <w:r>
              <w:rPr>
                <w:noProof/>
                <w:webHidden/>
              </w:rPr>
              <w:tab/>
            </w:r>
            <w:r>
              <w:rPr>
                <w:noProof/>
                <w:webHidden/>
              </w:rPr>
              <w:fldChar w:fldCharType="begin"/>
            </w:r>
            <w:r>
              <w:rPr>
                <w:noProof/>
                <w:webHidden/>
              </w:rPr>
              <w:instrText xml:space="preserve"> PAGEREF _Toc230204098 \h </w:instrText>
            </w:r>
            <w:r>
              <w:rPr>
                <w:noProof/>
                <w:webHidden/>
              </w:rPr>
            </w:r>
            <w:r>
              <w:rPr>
                <w:noProof/>
                <w:webHidden/>
              </w:rPr>
              <w:fldChar w:fldCharType="separate"/>
            </w:r>
            <w:r w:rsidR="00B90978">
              <w:rPr>
                <w:noProof/>
                <w:webHidden/>
              </w:rPr>
              <w:t>85</w:t>
            </w:r>
            <w:r>
              <w:rPr>
                <w:noProof/>
                <w:webHidden/>
              </w:rPr>
              <w:fldChar w:fldCharType="end"/>
            </w:r>
          </w:hyperlink>
        </w:p>
        <w:p w14:paraId="06CBA127" w14:textId="247C2F6B" w:rsidR="00514939" w:rsidRDefault="00514939">
          <w:pPr>
            <w:pStyle w:val="Sumrio2"/>
            <w:tabs>
              <w:tab w:val="right" w:leader="dot" w:pos="9061"/>
            </w:tabs>
            <w:rPr>
              <w:rFonts w:asciiTheme="minorHAnsi" w:eastAsiaTheme="minorEastAsia" w:hAnsiTheme="minorHAnsi"/>
              <w:noProof/>
              <w:lang w:eastAsia="pt-BR"/>
            </w:rPr>
          </w:pPr>
          <w:hyperlink w:anchor="_Toc230204099" w:history="1">
            <w:r w:rsidRPr="004A0D71">
              <w:rPr>
                <w:rStyle w:val="Hyperlink"/>
                <w:rFonts w:eastAsia="Times New Roman"/>
                <w:noProof/>
                <w:lang w:eastAsia="pt-BR"/>
              </w:rPr>
              <w:t>9.7. Receita principal total no cenário-base</w:t>
            </w:r>
            <w:r>
              <w:rPr>
                <w:noProof/>
                <w:webHidden/>
              </w:rPr>
              <w:tab/>
            </w:r>
            <w:r>
              <w:rPr>
                <w:noProof/>
                <w:webHidden/>
              </w:rPr>
              <w:fldChar w:fldCharType="begin"/>
            </w:r>
            <w:r>
              <w:rPr>
                <w:noProof/>
                <w:webHidden/>
              </w:rPr>
              <w:instrText xml:space="preserve"> PAGEREF _Toc230204099 \h </w:instrText>
            </w:r>
            <w:r>
              <w:rPr>
                <w:noProof/>
                <w:webHidden/>
              </w:rPr>
            </w:r>
            <w:r>
              <w:rPr>
                <w:noProof/>
                <w:webHidden/>
              </w:rPr>
              <w:fldChar w:fldCharType="separate"/>
            </w:r>
            <w:r w:rsidR="00B90978">
              <w:rPr>
                <w:noProof/>
                <w:webHidden/>
              </w:rPr>
              <w:t>86</w:t>
            </w:r>
            <w:r>
              <w:rPr>
                <w:noProof/>
                <w:webHidden/>
              </w:rPr>
              <w:fldChar w:fldCharType="end"/>
            </w:r>
          </w:hyperlink>
        </w:p>
        <w:p w14:paraId="4CF21861" w14:textId="21D3AAE6" w:rsidR="00514939" w:rsidRDefault="00514939">
          <w:pPr>
            <w:pStyle w:val="Sumrio2"/>
            <w:tabs>
              <w:tab w:val="right" w:leader="dot" w:pos="9061"/>
            </w:tabs>
            <w:rPr>
              <w:rFonts w:asciiTheme="minorHAnsi" w:eastAsiaTheme="minorEastAsia" w:hAnsiTheme="minorHAnsi"/>
              <w:noProof/>
              <w:lang w:eastAsia="pt-BR"/>
            </w:rPr>
          </w:pPr>
          <w:hyperlink w:anchor="_Toc230204100" w:history="1">
            <w:r w:rsidRPr="004A0D71">
              <w:rPr>
                <w:rStyle w:val="Hyperlink"/>
                <w:rFonts w:eastAsia="Times New Roman"/>
                <w:noProof/>
                <w:lang w:eastAsia="pt-BR"/>
              </w:rPr>
              <w:t>9.8. Receita principal total no cenário superior regional</w:t>
            </w:r>
            <w:r>
              <w:rPr>
                <w:noProof/>
                <w:webHidden/>
              </w:rPr>
              <w:tab/>
            </w:r>
            <w:r>
              <w:rPr>
                <w:noProof/>
                <w:webHidden/>
              </w:rPr>
              <w:fldChar w:fldCharType="begin"/>
            </w:r>
            <w:r>
              <w:rPr>
                <w:noProof/>
                <w:webHidden/>
              </w:rPr>
              <w:instrText xml:space="preserve"> PAGEREF _Toc230204100 \h </w:instrText>
            </w:r>
            <w:r>
              <w:rPr>
                <w:noProof/>
                <w:webHidden/>
              </w:rPr>
            </w:r>
            <w:r>
              <w:rPr>
                <w:noProof/>
                <w:webHidden/>
              </w:rPr>
              <w:fldChar w:fldCharType="separate"/>
            </w:r>
            <w:r w:rsidR="00B90978">
              <w:rPr>
                <w:noProof/>
                <w:webHidden/>
              </w:rPr>
              <w:t>86</w:t>
            </w:r>
            <w:r>
              <w:rPr>
                <w:noProof/>
                <w:webHidden/>
              </w:rPr>
              <w:fldChar w:fldCharType="end"/>
            </w:r>
          </w:hyperlink>
        </w:p>
        <w:p w14:paraId="7E9E1874" w14:textId="256D5BC5" w:rsidR="00514939" w:rsidRDefault="00514939">
          <w:pPr>
            <w:pStyle w:val="Sumrio2"/>
            <w:tabs>
              <w:tab w:val="right" w:leader="dot" w:pos="9061"/>
            </w:tabs>
            <w:rPr>
              <w:rFonts w:asciiTheme="minorHAnsi" w:eastAsiaTheme="minorEastAsia" w:hAnsiTheme="minorHAnsi"/>
              <w:noProof/>
              <w:lang w:eastAsia="pt-BR"/>
            </w:rPr>
          </w:pPr>
          <w:hyperlink w:anchor="_Toc230204101" w:history="1">
            <w:r w:rsidRPr="004A0D71">
              <w:rPr>
                <w:rStyle w:val="Hyperlink"/>
                <w:rFonts w:eastAsia="Times New Roman"/>
                <w:noProof/>
                <w:lang w:eastAsia="pt-BR"/>
              </w:rPr>
              <w:t>9.9. Receita líquida operacional das receitas principais</w:t>
            </w:r>
            <w:r>
              <w:rPr>
                <w:noProof/>
                <w:webHidden/>
              </w:rPr>
              <w:tab/>
            </w:r>
            <w:r>
              <w:rPr>
                <w:noProof/>
                <w:webHidden/>
              </w:rPr>
              <w:fldChar w:fldCharType="begin"/>
            </w:r>
            <w:r>
              <w:rPr>
                <w:noProof/>
                <w:webHidden/>
              </w:rPr>
              <w:instrText xml:space="preserve"> PAGEREF _Toc230204101 \h </w:instrText>
            </w:r>
            <w:r>
              <w:rPr>
                <w:noProof/>
                <w:webHidden/>
              </w:rPr>
            </w:r>
            <w:r>
              <w:rPr>
                <w:noProof/>
                <w:webHidden/>
              </w:rPr>
              <w:fldChar w:fldCharType="separate"/>
            </w:r>
            <w:r w:rsidR="00B90978">
              <w:rPr>
                <w:noProof/>
                <w:webHidden/>
              </w:rPr>
              <w:t>87</w:t>
            </w:r>
            <w:r>
              <w:rPr>
                <w:noProof/>
                <w:webHidden/>
              </w:rPr>
              <w:fldChar w:fldCharType="end"/>
            </w:r>
          </w:hyperlink>
        </w:p>
        <w:p w14:paraId="121D0478" w14:textId="44AF7F98" w:rsidR="00514939" w:rsidRDefault="00514939">
          <w:pPr>
            <w:pStyle w:val="Sumrio2"/>
            <w:tabs>
              <w:tab w:val="right" w:leader="dot" w:pos="9061"/>
            </w:tabs>
            <w:rPr>
              <w:rFonts w:asciiTheme="minorHAnsi" w:eastAsiaTheme="minorEastAsia" w:hAnsiTheme="minorHAnsi"/>
              <w:noProof/>
              <w:lang w:eastAsia="pt-BR"/>
            </w:rPr>
          </w:pPr>
          <w:hyperlink w:anchor="_Toc230204102" w:history="1">
            <w:r w:rsidRPr="004A0D71">
              <w:rPr>
                <w:rStyle w:val="Hyperlink"/>
                <w:rFonts w:eastAsia="Times New Roman"/>
                <w:noProof/>
                <w:lang w:eastAsia="pt-BR"/>
              </w:rPr>
              <w:t>9.10. Relação entre receitas principais e EBITDA</w:t>
            </w:r>
            <w:r>
              <w:rPr>
                <w:noProof/>
                <w:webHidden/>
              </w:rPr>
              <w:tab/>
            </w:r>
            <w:r>
              <w:rPr>
                <w:noProof/>
                <w:webHidden/>
              </w:rPr>
              <w:fldChar w:fldCharType="begin"/>
            </w:r>
            <w:r>
              <w:rPr>
                <w:noProof/>
                <w:webHidden/>
              </w:rPr>
              <w:instrText xml:space="preserve"> PAGEREF _Toc230204102 \h </w:instrText>
            </w:r>
            <w:r>
              <w:rPr>
                <w:noProof/>
                <w:webHidden/>
              </w:rPr>
            </w:r>
            <w:r>
              <w:rPr>
                <w:noProof/>
                <w:webHidden/>
              </w:rPr>
              <w:fldChar w:fldCharType="separate"/>
            </w:r>
            <w:r w:rsidR="00B90978">
              <w:rPr>
                <w:noProof/>
                <w:webHidden/>
              </w:rPr>
              <w:t>88</w:t>
            </w:r>
            <w:r>
              <w:rPr>
                <w:noProof/>
                <w:webHidden/>
              </w:rPr>
              <w:fldChar w:fldCharType="end"/>
            </w:r>
          </w:hyperlink>
        </w:p>
        <w:p w14:paraId="7E41197A" w14:textId="0279ADD9" w:rsidR="00514939" w:rsidRDefault="00514939">
          <w:pPr>
            <w:pStyle w:val="Sumrio2"/>
            <w:tabs>
              <w:tab w:val="right" w:leader="dot" w:pos="9061"/>
            </w:tabs>
            <w:rPr>
              <w:rFonts w:asciiTheme="minorHAnsi" w:eastAsiaTheme="minorEastAsia" w:hAnsiTheme="minorHAnsi"/>
              <w:noProof/>
              <w:lang w:eastAsia="pt-BR"/>
            </w:rPr>
          </w:pPr>
          <w:hyperlink w:anchor="_Toc230204103" w:history="1">
            <w:r w:rsidRPr="004A0D71">
              <w:rPr>
                <w:rStyle w:val="Hyperlink"/>
                <w:rFonts w:eastAsia="Times New Roman"/>
                <w:noProof/>
                <w:lang w:eastAsia="pt-BR"/>
              </w:rPr>
              <w:t>9.11. Receita principal e cobertura da dívida</w:t>
            </w:r>
            <w:r>
              <w:rPr>
                <w:noProof/>
                <w:webHidden/>
              </w:rPr>
              <w:tab/>
            </w:r>
            <w:r>
              <w:rPr>
                <w:noProof/>
                <w:webHidden/>
              </w:rPr>
              <w:fldChar w:fldCharType="begin"/>
            </w:r>
            <w:r>
              <w:rPr>
                <w:noProof/>
                <w:webHidden/>
              </w:rPr>
              <w:instrText xml:space="preserve"> PAGEREF _Toc230204103 \h </w:instrText>
            </w:r>
            <w:r>
              <w:rPr>
                <w:noProof/>
                <w:webHidden/>
              </w:rPr>
            </w:r>
            <w:r>
              <w:rPr>
                <w:noProof/>
                <w:webHidden/>
              </w:rPr>
              <w:fldChar w:fldCharType="separate"/>
            </w:r>
            <w:r w:rsidR="00B90978">
              <w:rPr>
                <w:noProof/>
                <w:webHidden/>
              </w:rPr>
              <w:t>88</w:t>
            </w:r>
            <w:r>
              <w:rPr>
                <w:noProof/>
                <w:webHidden/>
              </w:rPr>
              <w:fldChar w:fldCharType="end"/>
            </w:r>
          </w:hyperlink>
        </w:p>
        <w:p w14:paraId="227B4BC4" w14:textId="08182C66" w:rsidR="00514939" w:rsidRDefault="00514939">
          <w:pPr>
            <w:pStyle w:val="Sumrio2"/>
            <w:tabs>
              <w:tab w:val="right" w:leader="dot" w:pos="9061"/>
            </w:tabs>
            <w:rPr>
              <w:rFonts w:asciiTheme="minorHAnsi" w:eastAsiaTheme="minorEastAsia" w:hAnsiTheme="minorHAnsi"/>
              <w:noProof/>
              <w:lang w:eastAsia="pt-BR"/>
            </w:rPr>
          </w:pPr>
          <w:hyperlink w:anchor="_Toc230204104" w:history="1">
            <w:r w:rsidRPr="004A0D71">
              <w:rPr>
                <w:rStyle w:val="Hyperlink"/>
                <w:rFonts w:eastAsia="Times New Roman"/>
                <w:noProof/>
                <w:lang w:eastAsia="pt-BR"/>
              </w:rPr>
              <w:t>9.12. Receita principal e garantia de pagamento</w:t>
            </w:r>
            <w:r>
              <w:rPr>
                <w:noProof/>
                <w:webHidden/>
              </w:rPr>
              <w:tab/>
            </w:r>
            <w:r>
              <w:rPr>
                <w:noProof/>
                <w:webHidden/>
              </w:rPr>
              <w:fldChar w:fldCharType="begin"/>
            </w:r>
            <w:r>
              <w:rPr>
                <w:noProof/>
                <w:webHidden/>
              </w:rPr>
              <w:instrText xml:space="preserve"> PAGEREF _Toc230204104 \h </w:instrText>
            </w:r>
            <w:r>
              <w:rPr>
                <w:noProof/>
                <w:webHidden/>
              </w:rPr>
            </w:r>
            <w:r>
              <w:rPr>
                <w:noProof/>
                <w:webHidden/>
              </w:rPr>
              <w:fldChar w:fldCharType="separate"/>
            </w:r>
            <w:r w:rsidR="00B90978">
              <w:rPr>
                <w:noProof/>
                <w:webHidden/>
              </w:rPr>
              <w:t>89</w:t>
            </w:r>
            <w:r>
              <w:rPr>
                <w:noProof/>
                <w:webHidden/>
              </w:rPr>
              <w:fldChar w:fldCharType="end"/>
            </w:r>
          </w:hyperlink>
        </w:p>
        <w:p w14:paraId="6F166E26" w14:textId="217DFE5A" w:rsidR="00514939" w:rsidRDefault="00514939">
          <w:pPr>
            <w:pStyle w:val="Sumrio2"/>
            <w:tabs>
              <w:tab w:val="right" w:leader="dot" w:pos="9061"/>
            </w:tabs>
            <w:rPr>
              <w:rFonts w:asciiTheme="minorHAnsi" w:eastAsiaTheme="minorEastAsia" w:hAnsiTheme="minorHAnsi"/>
              <w:noProof/>
              <w:lang w:eastAsia="pt-BR"/>
            </w:rPr>
          </w:pPr>
          <w:hyperlink w:anchor="_Toc230204105" w:history="1">
            <w:r w:rsidRPr="004A0D71">
              <w:rPr>
                <w:rStyle w:val="Hyperlink"/>
                <w:rFonts w:eastAsia="Times New Roman"/>
                <w:noProof/>
                <w:lang w:eastAsia="pt-BR"/>
              </w:rPr>
              <w:t>9.13. Tratamento contratual das receitas principais</w:t>
            </w:r>
            <w:r>
              <w:rPr>
                <w:noProof/>
                <w:webHidden/>
              </w:rPr>
              <w:tab/>
            </w:r>
            <w:r>
              <w:rPr>
                <w:noProof/>
                <w:webHidden/>
              </w:rPr>
              <w:fldChar w:fldCharType="begin"/>
            </w:r>
            <w:r>
              <w:rPr>
                <w:noProof/>
                <w:webHidden/>
              </w:rPr>
              <w:instrText xml:space="preserve"> PAGEREF _Toc230204105 \h </w:instrText>
            </w:r>
            <w:r>
              <w:rPr>
                <w:noProof/>
                <w:webHidden/>
              </w:rPr>
            </w:r>
            <w:r>
              <w:rPr>
                <w:noProof/>
                <w:webHidden/>
              </w:rPr>
              <w:fldChar w:fldCharType="separate"/>
            </w:r>
            <w:r w:rsidR="00B90978">
              <w:rPr>
                <w:noProof/>
                <w:webHidden/>
              </w:rPr>
              <w:t>90</w:t>
            </w:r>
            <w:r>
              <w:rPr>
                <w:noProof/>
                <w:webHidden/>
              </w:rPr>
              <w:fldChar w:fldCharType="end"/>
            </w:r>
          </w:hyperlink>
        </w:p>
        <w:p w14:paraId="4A8CA0BD" w14:textId="2920A80C" w:rsidR="00514939" w:rsidRDefault="00514939">
          <w:pPr>
            <w:pStyle w:val="Sumrio2"/>
            <w:tabs>
              <w:tab w:val="right" w:leader="dot" w:pos="9061"/>
            </w:tabs>
            <w:rPr>
              <w:rFonts w:asciiTheme="minorHAnsi" w:eastAsiaTheme="minorEastAsia" w:hAnsiTheme="minorHAnsi"/>
              <w:noProof/>
              <w:lang w:eastAsia="pt-BR"/>
            </w:rPr>
          </w:pPr>
          <w:hyperlink w:anchor="_Toc230204106" w:history="1">
            <w:r w:rsidRPr="004A0D71">
              <w:rPr>
                <w:rStyle w:val="Hyperlink"/>
                <w:rFonts w:eastAsia="Times New Roman"/>
                <w:noProof/>
                <w:lang w:eastAsia="pt-BR"/>
              </w:rPr>
              <w:t>9.14. Relação entre receitas principais e receitas acessórias</w:t>
            </w:r>
            <w:r>
              <w:rPr>
                <w:noProof/>
                <w:webHidden/>
              </w:rPr>
              <w:tab/>
            </w:r>
            <w:r>
              <w:rPr>
                <w:noProof/>
                <w:webHidden/>
              </w:rPr>
              <w:fldChar w:fldCharType="begin"/>
            </w:r>
            <w:r>
              <w:rPr>
                <w:noProof/>
                <w:webHidden/>
              </w:rPr>
              <w:instrText xml:space="preserve"> PAGEREF _Toc230204106 \h </w:instrText>
            </w:r>
            <w:r>
              <w:rPr>
                <w:noProof/>
                <w:webHidden/>
              </w:rPr>
            </w:r>
            <w:r>
              <w:rPr>
                <w:noProof/>
                <w:webHidden/>
              </w:rPr>
              <w:fldChar w:fldCharType="separate"/>
            </w:r>
            <w:r w:rsidR="00B90978">
              <w:rPr>
                <w:noProof/>
                <w:webHidden/>
              </w:rPr>
              <w:t>90</w:t>
            </w:r>
            <w:r>
              <w:rPr>
                <w:noProof/>
                <w:webHidden/>
              </w:rPr>
              <w:fldChar w:fldCharType="end"/>
            </w:r>
          </w:hyperlink>
        </w:p>
        <w:p w14:paraId="0FFF5319" w14:textId="56C2D9B9" w:rsidR="00514939" w:rsidRDefault="00514939">
          <w:pPr>
            <w:pStyle w:val="Sumrio2"/>
            <w:tabs>
              <w:tab w:val="right" w:leader="dot" w:pos="9061"/>
            </w:tabs>
            <w:rPr>
              <w:rFonts w:asciiTheme="minorHAnsi" w:eastAsiaTheme="minorEastAsia" w:hAnsiTheme="minorHAnsi"/>
              <w:noProof/>
              <w:lang w:eastAsia="pt-BR"/>
            </w:rPr>
          </w:pPr>
          <w:hyperlink w:anchor="_Toc230204107" w:history="1">
            <w:r w:rsidRPr="004A0D71">
              <w:rPr>
                <w:rStyle w:val="Hyperlink"/>
                <w:rFonts w:eastAsia="Times New Roman"/>
                <w:noProof/>
                <w:lang w:eastAsia="pt-BR"/>
              </w:rPr>
              <w:t>9.15. Conclusão do tópico</w:t>
            </w:r>
            <w:r>
              <w:rPr>
                <w:noProof/>
                <w:webHidden/>
              </w:rPr>
              <w:tab/>
            </w:r>
            <w:r>
              <w:rPr>
                <w:noProof/>
                <w:webHidden/>
              </w:rPr>
              <w:fldChar w:fldCharType="begin"/>
            </w:r>
            <w:r>
              <w:rPr>
                <w:noProof/>
                <w:webHidden/>
              </w:rPr>
              <w:instrText xml:space="preserve"> PAGEREF _Toc230204107 \h </w:instrText>
            </w:r>
            <w:r>
              <w:rPr>
                <w:noProof/>
                <w:webHidden/>
              </w:rPr>
            </w:r>
            <w:r>
              <w:rPr>
                <w:noProof/>
                <w:webHidden/>
              </w:rPr>
              <w:fldChar w:fldCharType="separate"/>
            </w:r>
            <w:r w:rsidR="00B90978">
              <w:rPr>
                <w:noProof/>
                <w:webHidden/>
              </w:rPr>
              <w:t>91</w:t>
            </w:r>
            <w:r>
              <w:rPr>
                <w:noProof/>
                <w:webHidden/>
              </w:rPr>
              <w:fldChar w:fldCharType="end"/>
            </w:r>
          </w:hyperlink>
        </w:p>
        <w:p w14:paraId="512390CA" w14:textId="5DAA3339" w:rsidR="00514939" w:rsidRDefault="00514939">
          <w:pPr>
            <w:pStyle w:val="Sumrio1"/>
            <w:tabs>
              <w:tab w:val="right" w:leader="dot" w:pos="9061"/>
            </w:tabs>
            <w:rPr>
              <w:rFonts w:asciiTheme="minorHAnsi" w:eastAsiaTheme="minorEastAsia" w:hAnsiTheme="minorHAnsi"/>
              <w:noProof/>
              <w:lang w:eastAsia="pt-BR"/>
            </w:rPr>
          </w:pPr>
          <w:hyperlink w:anchor="_Toc230204108" w:history="1">
            <w:r w:rsidRPr="004A0D71">
              <w:rPr>
                <w:rStyle w:val="Hyperlink"/>
                <w:rFonts w:eastAsia="Times New Roman"/>
                <w:noProof/>
                <w:lang w:eastAsia="pt-BR"/>
              </w:rPr>
              <w:t>10. Energia Elétrica Municipal e Vantajosidade Econômica</w:t>
            </w:r>
            <w:r>
              <w:rPr>
                <w:noProof/>
                <w:webHidden/>
              </w:rPr>
              <w:tab/>
            </w:r>
            <w:r>
              <w:rPr>
                <w:noProof/>
                <w:webHidden/>
              </w:rPr>
              <w:fldChar w:fldCharType="begin"/>
            </w:r>
            <w:r>
              <w:rPr>
                <w:noProof/>
                <w:webHidden/>
              </w:rPr>
              <w:instrText xml:space="preserve"> PAGEREF _Toc230204108 \h </w:instrText>
            </w:r>
            <w:r>
              <w:rPr>
                <w:noProof/>
                <w:webHidden/>
              </w:rPr>
            </w:r>
            <w:r>
              <w:rPr>
                <w:noProof/>
                <w:webHidden/>
              </w:rPr>
              <w:fldChar w:fldCharType="separate"/>
            </w:r>
            <w:r w:rsidR="00B90978">
              <w:rPr>
                <w:noProof/>
                <w:webHidden/>
              </w:rPr>
              <w:t>93</w:t>
            </w:r>
            <w:r>
              <w:rPr>
                <w:noProof/>
                <w:webHidden/>
              </w:rPr>
              <w:fldChar w:fldCharType="end"/>
            </w:r>
          </w:hyperlink>
        </w:p>
        <w:p w14:paraId="5C7683C0" w14:textId="5DB7AF27" w:rsidR="00514939" w:rsidRDefault="00514939">
          <w:pPr>
            <w:pStyle w:val="Sumrio2"/>
            <w:tabs>
              <w:tab w:val="right" w:leader="dot" w:pos="9061"/>
            </w:tabs>
            <w:rPr>
              <w:rFonts w:asciiTheme="minorHAnsi" w:eastAsiaTheme="minorEastAsia" w:hAnsiTheme="minorHAnsi"/>
              <w:noProof/>
              <w:lang w:eastAsia="pt-BR"/>
            </w:rPr>
          </w:pPr>
          <w:hyperlink w:anchor="_Toc230204109" w:history="1">
            <w:r w:rsidRPr="004A0D71">
              <w:rPr>
                <w:rStyle w:val="Hyperlink"/>
                <w:rFonts w:eastAsia="Times New Roman"/>
                <w:noProof/>
                <w:lang w:eastAsia="pt-BR"/>
              </w:rPr>
              <w:t>10.1. Finalidade da análise energética</w:t>
            </w:r>
            <w:r>
              <w:rPr>
                <w:noProof/>
                <w:webHidden/>
              </w:rPr>
              <w:tab/>
            </w:r>
            <w:r>
              <w:rPr>
                <w:noProof/>
                <w:webHidden/>
              </w:rPr>
              <w:fldChar w:fldCharType="begin"/>
            </w:r>
            <w:r>
              <w:rPr>
                <w:noProof/>
                <w:webHidden/>
              </w:rPr>
              <w:instrText xml:space="preserve"> PAGEREF _Toc230204109 \h </w:instrText>
            </w:r>
            <w:r>
              <w:rPr>
                <w:noProof/>
                <w:webHidden/>
              </w:rPr>
            </w:r>
            <w:r>
              <w:rPr>
                <w:noProof/>
                <w:webHidden/>
              </w:rPr>
              <w:fldChar w:fldCharType="separate"/>
            </w:r>
            <w:r w:rsidR="00B90978">
              <w:rPr>
                <w:noProof/>
                <w:webHidden/>
              </w:rPr>
              <w:t>93</w:t>
            </w:r>
            <w:r>
              <w:rPr>
                <w:noProof/>
                <w:webHidden/>
              </w:rPr>
              <w:fldChar w:fldCharType="end"/>
            </w:r>
          </w:hyperlink>
        </w:p>
        <w:p w14:paraId="49A94BF1" w14:textId="79A96FA7" w:rsidR="00514939" w:rsidRDefault="00514939">
          <w:pPr>
            <w:pStyle w:val="Sumrio2"/>
            <w:tabs>
              <w:tab w:val="right" w:leader="dot" w:pos="9061"/>
            </w:tabs>
            <w:rPr>
              <w:rFonts w:asciiTheme="minorHAnsi" w:eastAsiaTheme="minorEastAsia" w:hAnsiTheme="minorHAnsi"/>
              <w:noProof/>
              <w:lang w:eastAsia="pt-BR"/>
            </w:rPr>
          </w:pPr>
          <w:hyperlink w:anchor="_Toc230204110" w:history="1">
            <w:r w:rsidRPr="004A0D71">
              <w:rPr>
                <w:rStyle w:val="Hyperlink"/>
                <w:noProof/>
              </w:rPr>
              <w:t>10.2. Base documental considerada</w:t>
            </w:r>
            <w:r>
              <w:rPr>
                <w:noProof/>
                <w:webHidden/>
              </w:rPr>
              <w:tab/>
            </w:r>
            <w:r>
              <w:rPr>
                <w:noProof/>
                <w:webHidden/>
              </w:rPr>
              <w:fldChar w:fldCharType="begin"/>
            </w:r>
            <w:r>
              <w:rPr>
                <w:noProof/>
                <w:webHidden/>
              </w:rPr>
              <w:instrText xml:space="preserve"> PAGEREF _Toc230204110 \h </w:instrText>
            </w:r>
            <w:r>
              <w:rPr>
                <w:noProof/>
                <w:webHidden/>
              </w:rPr>
            </w:r>
            <w:r>
              <w:rPr>
                <w:noProof/>
                <w:webHidden/>
              </w:rPr>
              <w:fldChar w:fldCharType="separate"/>
            </w:r>
            <w:r w:rsidR="00B90978">
              <w:rPr>
                <w:noProof/>
                <w:webHidden/>
              </w:rPr>
              <w:t>94</w:t>
            </w:r>
            <w:r>
              <w:rPr>
                <w:noProof/>
                <w:webHidden/>
              </w:rPr>
              <w:fldChar w:fldCharType="end"/>
            </w:r>
          </w:hyperlink>
        </w:p>
        <w:p w14:paraId="7ED34BAA" w14:textId="0C088450" w:rsidR="00514939" w:rsidRDefault="00514939">
          <w:pPr>
            <w:pStyle w:val="Sumrio2"/>
            <w:tabs>
              <w:tab w:val="right" w:leader="dot" w:pos="9061"/>
            </w:tabs>
            <w:rPr>
              <w:rFonts w:asciiTheme="minorHAnsi" w:eastAsiaTheme="minorEastAsia" w:hAnsiTheme="minorHAnsi"/>
              <w:noProof/>
              <w:lang w:eastAsia="pt-BR"/>
            </w:rPr>
          </w:pPr>
          <w:hyperlink w:anchor="_Toc230204111" w:history="1">
            <w:r w:rsidRPr="004A0D71">
              <w:rPr>
                <w:rStyle w:val="Hyperlink"/>
                <w:rFonts w:eastAsia="Times New Roman"/>
                <w:noProof/>
                <w:lang w:eastAsia="pt-BR"/>
              </w:rPr>
              <w:t>10.3. Consumo energético considerado</w:t>
            </w:r>
            <w:r>
              <w:rPr>
                <w:noProof/>
                <w:webHidden/>
              </w:rPr>
              <w:tab/>
            </w:r>
            <w:r>
              <w:rPr>
                <w:noProof/>
                <w:webHidden/>
              </w:rPr>
              <w:fldChar w:fldCharType="begin"/>
            </w:r>
            <w:r>
              <w:rPr>
                <w:noProof/>
                <w:webHidden/>
              </w:rPr>
              <w:instrText xml:space="preserve"> PAGEREF _Toc230204111 \h </w:instrText>
            </w:r>
            <w:r>
              <w:rPr>
                <w:noProof/>
                <w:webHidden/>
              </w:rPr>
            </w:r>
            <w:r>
              <w:rPr>
                <w:noProof/>
                <w:webHidden/>
              </w:rPr>
              <w:fldChar w:fldCharType="separate"/>
            </w:r>
            <w:r w:rsidR="00B90978">
              <w:rPr>
                <w:noProof/>
                <w:webHidden/>
              </w:rPr>
              <w:t>95</w:t>
            </w:r>
            <w:r>
              <w:rPr>
                <w:noProof/>
                <w:webHidden/>
              </w:rPr>
              <w:fldChar w:fldCharType="end"/>
            </w:r>
          </w:hyperlink>
        </w:p>
        <w:p w14:paraId="0B0AC746" w14:textId="555D13CE" w:rsidR="00514939" w:rsidRDefault="00514939">
          <w:pPr>
            <w:pStyle w:val="Sumrio2"/>
            <w:tabs>
              <w:tab w:val="right" w:leader="dot" w:pos="9061"/>
            </w:tabs>
            <w:rPr>
              <w:rFonts w:asciiTheme="minorHAnsi" w:eastAsiaTheme="minorEastAsia" w:hAnsiTheme="minorHAnsi"/>
              <w:noProof/>
              <w:lang w:eastAsia="pt-BR"/>
            </w:rPr>
          </w:pPr>
          <w:hyperlink w:anchor="_Toc230204112" w:history="1">
            <w:r w:rsidRPr="004A0D71">
              <w:rPr>
                <w:rStyle w:val="Hyperlink"/>
                <w:rFonts w:eastAsia="Times New Roman"/>
                <w:noProof/>
                <w:lang w:eastAsia="pt-BR"/>
              </w:rPr>
              <w:t>10.4. Custo médio atual da energia</w:t>
            </w:r>
            <w:r>
              <w:rPr>
                <w:noProof/>
                <w:webHidden/>
              </w:rPr>
              <w:tab/>
            </w:r>
            <w:r>
              <w:rPr>
                <w:noProof/>
                <w:webHidden/>
              </w:rPr>
              <w:fldChar w:fldCharType="begin"/>
            </w:r>
            <w:r>
              <w:rPr>
                <w:noProof/>
                <w:webHidden/>
              </w:rPr>
              <w:instrText xml:space="preserve"> PAGEREF _Toc230204112 \h </w:instrText>
            </w:r>
            <w:r>
              <w:rPr>
                <w:noProof/>
                <w:webHidden/>
              </w:rPr>
            </w:r>
            <w:r>
              <w:rPr>
                <w:noProof/>
                <w:webHidden/>
              </w:rPr>
              <w:fldChar w:fldCharType="separate"/>
            </w:r>
            <w:r w:rsidR="00B90978">
              <w:rPr>
                <w:noProof/>
                <w:webHidden/>
              </w:rPr>
              <w:t>95</w:t>
            </w:r>
            <w:r>
              <w:rPr>
                <w:noProof/>
                <w:webHidden/>
              </w:rPr>
              <w:fldChar w:fldCharType="end"/>
            </w:r>
          </w:hyperlink>
        </w:p>
        <w:p w14:paraId="378B8E7D" w14:textId="6162424B" w:rsidR="00514939" w:rsidRDefault="00514939">
          <w:pPr>
            <w:pStyle w:val="Sumrio2"/>
            <w:tabs>
              <w:tab w:val="right" w:leader="dot" w:pos="9061"/>
            </w:tabs>
            <w:rPr>
              <w:rFonts w:asciiTheme="minorHAnsi" w:eastAsiaTheme="minorEastAsia" w:hAnsiTheme="minorHAnsi"/>
              <w:noProof/>
              <w:lang w:eastAsia="pt-BR"/>
            </w:rPr>
          </w:pPr>
          <w:hyperlink w:anchor="_Toc230204113" w:history="1">
            <w:r w:rsidRPr="004A0D71">
              <w:rPr>
                <w:rStyle w:val="Hyperlink"/>
                <w:rFonts w:eastAsia="Times New Roman"/>
                <w:noProof/>
                <w:lang w:eastAsia="pt-BR"/>
              </w:rPr>
              <w:t>10.5. Remuneração da SPE pela disponibilização energética</w:t>
            </w:r>
            <w:r>
              <w:rPr>
                <w:noProof/>
                <w:webHidden/>
              </w:rPr>
              <w:tab/>
            </w:r>
            <w:r>
              <w:rPr>
                <w:noProof/>
                <w:webHidden/>
              </w:rPr>
              <w:fldChar w:fldCharType="begin"/>
            </w:r>
            <w:r>
              <w:rPr>
                <w:noProof/>
                <w:webHidden/>
              </w:rPr>
              <w:instrText xml:space="preserve"> PAGEREF _Toc230204113 \h </w:instrText>
            </w:r>
            <w:r>
              <w:rPr>
                <w:noProof/>
                <w:webHidden/>
              </w:rPr>
            </w:r>
            <w:r>
              <w:rPr>
                <w:noProof/>
                <w:webHidden/>
              </w:rPr>
              <w:fldChar w:fldCharType="separate"/>
            </w:r>
            <w:r w:rsidR="00B90978">
              <w:rPr>
                <w:noProof/>
                <w:webHidden/>
              </w:rPr>
              <w:t>96</w:t>
            </w:r>
            <w:r>
              <w:rPr>
                <w:noProof/>
                <w:webHidden/>
              </w:rPr>
              <w:fldChar w:fldCharType="end"/>
            </w:r>
          </w:hyperlink>
        </w:p>
        <w:p w14:paraId="7FE624E0" w14:textId="48BDA0C3" w:rsidR="00514939" w:rsidRDefault="00514939">
          <w:pPr>
            <w:pStyle w:val="Sumrio2"/>
            <w:tabs>
              <w:tab w:val="right" w:leader="dot" w:pos="9061"/>
            </w:tabs>
            <w:rPr>
              <w:rFonts w:asciiTheme="minorHAnsi" w:eastAsiaTheme="minorEastAsia" w:hAnsiTheme="minorHAnsi"/>
              <w:noProof/>
              <w:lang w:eastAsia="pt-BR"/>
            </w:rPr>
          </w:pPr>
          <w:hyperlink w:anchor="_Toc230204114" w:history="1">
            <w:r w:rsidRPr="004A0D71">
              <w:rPr>
                <w:rStyle w:val="Hyperlink"/>
                <w:rFonts w:eastAsia="Times New Roman"/>
                <w:noProof/>
                <w:lang w:eastAsia="pt-BR"/>
              </w:rPr>
              <w:t>10.6. Economia energética estimada</w:t>
            </w:r>
            <w:r>
              <w:rPr>
                <w:noProof/>
                <w:webHidden/>
              </w:rPr>
              <w:tab/>
            </w:r>
            <w:r>
              <w:rPr>
                <w:noProof/>
                <w:webHidden/>
              </w:rPr>
              <w:fldChar w:fldCharType="begin"/>
            </w:r>
            <w:r>
              <w:rPr>
                <w:noProof/>
                <w:webHidden/>
              </w:rPr>
              <w:instrText xml:space="preserve"> PAGEREF _Toc230204114 \h </w:instrText>
            </w:r>
            <w:r>
              <w:rPr>
                <w:noProof/>
                <w:webHidden/>
              </w:rPr>
            </w:r>
            <w:r>
              <w:rPr>
                <w:noProof/>
                <w:webHidden/>
              </w:rPr>
              <w:fldChar w:fldCharType="separate"/>
            </w:r>
            <w:r w:rsidR="00B90978">
              <w:rPr>
                <w:noProof/>
                <w:webHidden/>
              </w:rPr>
              <w:t>96</w:t>
            </w:r>
            <w:r>
              <w:rPr>
                <w:noProof/>
                <w:webHidden/>
              </w:rPr>
              <w:fldChar w:fldCharType="end"/>
            </w:r>
          </w:hyperlink>
        </w:p>
        <w:p w14:paraId="3B21B2EA" w14:textId="352C42BA" w:rsidR="00514939" w:rsidRDefault="00514939">
          <w:pPr>
            <w:pStyle w:val="Sumrio2"/>
            <w:tabs>
              <w:tab w:val="right" w:leader="dot" w:pos="9061"/>
            </w:tabs>
            <w:rPr>
              <w:rFonts w:asciiTheme="minorHAnsi" w:eastAsiaTheme="minorEastAsia" w:hAnsiTheme="minorHAnsi"/>
              <w:noProof/>
              <w:lang w:eastAsia="pt-BR"/>
            </w:rPr>
          </w:pPr>
          <w:hyperlink w:anchor="_Toc230204115" w:history="1">
            <w:r w:rsidRPr="004A0D71">
              <w:rPr>
                <w:rStyle w:val="Hyperlink"/>
                <w:rFonts w:eastAsia="Times New Roman"/>
                <w:noProof/>
                <w:lang w:eastAsia="pt-BR"/>
              </w:rPr>
              <w:t>10.7. Redução percentual estimada</w:t>
            </w:r>
            <w:r>
              <w:rPr>
                <w:noProof/>
                <w:webHidden/>
              </w:rPr>
              <w:tab/>
            </w:r>
            <w:r>
              <w:rPr>
                <w:noProof/>
                <w:webHidden/>
              </w:rPr>
              <w:fldChar w:fldCharType="begin"/>
            </w:r>
            <w:r>
              <w:rPr>
                <w:noProof/>
                <w:webHidden/>
              </w:rPr>
              <w:instrText xml:space="preserve"> PAGEREF _Toc230204115 \h </w:instrText>
            </w:r>
            <w:r>
              <w:rPr>
                <w:noProof/>
                <w:webHidden/>
              </w:rPr>
            </w:r>
            <w:r>
              <w:rPr>
                <w:noProof/>
                <w:webHidden/>
              </w:rPr>
              <w:fldChar w:fldCharType="separate"/>
            </w:r>
            <w:r w:rsidR="00B90978">
              <w:rPr>
                <w:noProof/>
                <w:webHidden/>
              </w:rPr>
              <w:t>97</w:t>
            </w:r>
            <w:r>
              <w:rPr>
                <w:noProof/>
                <w:webHidden/>
              </w:rPr>
              <w:fldChar w:fldCharType="end"/>
            </w:r>
          </w:hyperlink>
        </w:p>
        <w:p w14:paraId="16D9997F" w14:textId="2E369C0F" w:rsidR="00514939" w:rsidRDefault="00514939">
          <w:pPr>
            <w:pStyle w:val="Sumrio2"/>
            <w:tabs>
              <w:tab w:val="right" w:leader="dot" w:pos="9061"/>
            </w:tabs>
            <w:rPr>
              <w:rFonts w:asciiTheme="minorHAnsi" w:eastAsiaTheme="minorEastAsia" w:hAnsiTheme="minorHAnsi"/>
              <w:noProof/>
              <w:lang w:eastAsia="pt-BR"/>
            </w:rPr>
          </w:pPr>
          <w:hyperlink w:anchor="_Toc230204116" w:history="1">
            <w:r w:rsidRPr="004A0D71">
              <w:rPr>
                <w:rStyle w:val="Hyperlink"/>
                <w:rFonts w:eastAsia="Times New Roman"/>
                <w:noProof/>
                <w:lang w:eastAsia="pt-BR"/>
              </w:rPr>
              <w:t>10.8. Comparação do custo médio por kWh</w:t>
            </w:r>
            <w:r>
              <w:rPr>
                <w:noProof/>
                <w:webHidden/>
              </w:rPr>
              <w:tab/>
            </w:r>
            <w:r>
              <w:rPr>
                <w:noProof/>
                <w:webHidden/>
              </w:rPr>
              <w:fldChar w:fldCharType="begin"/>
            </w:r>
            <w:r>
              <w:rPr>
                <w:noProof/>
                <w:webHidden/>
              </w:rPr>
              <w:instrText xml:space="preserve"> PAGEREF _Toc230204116 \h </w:instrText>
            </w:r>
            <w:r>
              <w:rPr>
                <w:noProof/>
                <w:webHidden/>
              </w:rPr>
            </w:r>
            <w:r>
              <w:rPr>
                <w:noProof/>
                <w:webHidden/>
              </w:rPr>
              <w:fldChar w:fldCharType="separate"/>
            </w:r>
            <w:r w:rsidR="00B90978">
              <w:rPr>
                <w:noProof/>
                <w:webHidden/>
              </w:rPr>
              <w:t>98</w:t>
            </w:r>
            <w:r>
              <w:rPr>
                <w:noProof/>
                <w:webHidden/>
              </w:rPr>
              <w:fldChar w:fldCharType="end"/>
            </w:r>
          </w:hyperlink>
        </w:p>
        <w:p w14:paraId="34E2527D" w14:textId="2B61F90A" w:rsidR="00514939" w:rsidRDefault="00514939">
          <w:pPr>
            <w:pStyle w:val="Sumrio2"/>
            <w:tabs>
              <w:tab w:val="right" w:leader="dot" w:pos="9061"/>
            </w:tabs>
            <w:rPr>
              <w:rFonts w:asciiTheme="minorHAnsi" w:eastAsiaTheme="minorEastAsia" w:hAnsiTheme="minorHAnsi"/>
              <w:noProof/>
              <w:lang w:eastAsia="pt-BR"/>
            </w:rPr>
          </w:pPr>
          <w:hyperlink w:anchor="_Toc230204117" w:history="1">
            <w:r w:rsidRPr="004A0D71">
              <w:rPr>
                <w:rStyle w:val="Hyperlink"/>
                <w:rFonts w:eastAsia="Times New Roman"/>
                <w:noProof/>
                <w:lang w:eastAsia="pt-BR"/>
              </w:rPr>
              <w:t>10.9. Energia x destinação do RSU — cenário-base de R$ 95/t</w:t>
            </w:r>
            <w:r>
              <w:rPr>
                <w:noProof/>
                <w:webHidden/>
              </w:rPr>
              <w:tab/>
            </w:r>
            <w:r>
              <w:rPr>
                <w:noProof/>
                <w:webHidden/>
              </w:rPr>
              <w:fldChar w:fldCharType="begin"/>
            </w:r>
            <w:r>
              <w:rPr>
                <w:noProof/>
                <w:webHidden/>
              </w:rPr>
              <w:instrText xml:space="preserve"> PAGEREF _Toc230204117 \h </w:instrText>
            </w:r>
            <w:r>
              <w:rPr>
                <w:noProof/>
                <w:webHidden/>
              </w:rPr>
            </w:r>
            <w:r>
              <w:rPr>
                <w:noProof/>
                <w:webHidden/>
              </w:rPr>
              <w:fldChar w:fldCharType="separate"/>
            </w:r>
            <w:r w:rsidR="00B90978">
              <w:rPr>
                <w:noProof/>
                <w:webHidden/>
              </w:rPr>
              <w:t>98</w:t>
            </w:r>
            <w:r>
              <w:rPr>
                <w:noProof/>
                <w:webHidden/>
              </w:rPr>
              <w:fldChar w:fldCharType="end"/>
            </w:r>
          </w:hyperlink>
        </w:p>
        <w:p w14:paraId="69834579" w14:textId="39C3347F" w:rsidR="00514939" w:rsidRDefault="00514939">
          <w:pPr>
            <w:pStyle w:val="Sumrio2"/>
            <w:tabs>
              <w:tab w:val="right" w:leader="dot" w:pos="9061"/>
            </w:tabs>
            <w:rPr>
              <w:rFonts w:asciiTheme="minorHAnsi" w:eastAsiaTheme="minorEastAsia" w:hAnsiTheme="minorHAnsi"/>
              <w:noProof/>
              <w:lang w:eastAsia="pt-BR"/>
            </w:rPr>
          </w:pPr>
          <w:hyperlink w:anchor="_Toc230204118" w:history="1">
            <w:r w:rsidRPr="004A0D71">
              <w:rPr>
                <w:rStyle w:val="Hyperlink"/>
                <w:rFonts w:eastAsia="Times New Roman"/>
                <w:noProof/>
                <w:lang w:eastAsia="pt-BR"/>
              </w:rPr>
              <w:t>10.10. Energia x destinação do RSU — cenário superior regional de R$ 140/t</w:t>
            </w:r>
            <w:r>
              <w:rPr>
                <w:noProof/>
                <w:webHidden/>
              </w:rPr>
              <w:tab/>
            </w:r>
            <w:r>
              <w:rPr>
                <w:noProof/>
                <w:webHidden/>
              </w:rPr>
              <w:fldChar w:fldCharType="begin"/>
            </w:r>
            <w:r>
              <w:rPr>
                <w:noProof/>
                <w:webHidden/>
              </w:rPr>
              <w:instrText xml:space="preserve"> PAGEREF _Toc230204118 \h </w:instrText>
            </w:r>
            <w:r>
              <w:rPr>
                <w:noProof/>
                <w:webHidden/>
              </w:rPr>
            </w:r>
            <w:r>
              <w:rPr>
                <w:noProof/>
                <w:webHidden/>
              </w:rPr>
              <w:fldChar w:fldCharType="separate"/>
            </w:r>
            <w:r w:rsidR="00B90978">
              <w:rPr>
                <w:noProof/>
                <w:webHidden/>
              </w:rPr>
              <w:t>99</w:t>
            </w:r>
            <w:r>
              <w:rPr>
                <w:noProof/>
                <w:webHidden/>
              </w:rPr>
              <w:fldChar w:fldCharType="end"/>
            </w:r>
          </w:hyperlink>
        </w:p>
        <w:p w14:paraId="6C0D1868" w14:textId="70F2463C" w:rsidR="00514939" w:rsidRDefault="00514939">
          <w:pPr>
            <w:pStyle w:val="Sumrio2"/>
            <w:tabs>
              <w:tab w:val="right" w:leader="dot" w:pos="9061"/>
            </w:tabs>
            <w:rPr>
              <w:rFonts w:asciiTheme="minorHAnsi" w:eastAsiaTheme="minorEastAsia" w:hAnsiTheme="minorHAnsi"/>
              <w:noProof/>
              <w:lang w:eastAsia="pt-BR"/>
            </w:rPr>
          </w:pPr>
          <w:hyperlink w:anchor="_Toc230204119" w:history="1">
            <w:r w:rsidRPr="004A0D71">
              <w:rPr>
                <w:rStyle w:val="Hyperlink"/>
                <w:rFonts w:eastAsia="Times New Roman"/>
                <w:noProof/>
                <w:lang w:eastAsia="pt-BR"/>
              </w:rPr>
              <w:t>10.11. Comparação com destinação convencional em aterro sanitário</w:t>
            </w:r>
            <w:r>
              <w:rPr>
                <w:noProof/>
                <w:webHidden/>
              </w:rPr>
              <w:tab/>
            </w:r>
            <w:r>
              <w:rPr>
                <w:noProof/>
                <w:webHidden/>
              </w:rPr>
              <w:fldChar w:fldCharType="begin"/>
            </w:r>
            <w:r>
              <w:rPr>
                <w:noProof/>
                <w:webHidden/>
              </w:rPr>
              <w:instrText xml:space="preserve"> PAGEREF _Toc230204119 \h </w:instrText>
            </w:r>
            <w:r>
              <w:rPr>
                <w:noProof/>
                <w:webHidden/>
              </w:rPr>
            </w:r>
            <w:r>
              <w:rPr>
                <w:noProof/>
                <w:webHidden/>
              </w:rPr>
              <w:fldChar w:fldCharType="separate"/>
            </w:r>
            <w:r w:rsidR="00B90978">
              <w:rPr>
                <w:noProof/>
                <w:webHidden/>
              </w:rPr>
              <w:t>100</w:t>
            </w:r>
            <w:r>
              <w:rPr>
                <w:noProof/>
                <w:webHidden/>
              </w:rPr>
              <w:fldChar w:fldCharType="end"/>
            </w:r>
          </w:hyperlink>
        </w:p>
        <w:p w14:paraId="4D6E4BBC" w14:textId="7C8B0366" w:rsidR="00514939" w:rsidRDefault="00514939">
          <w:pPr>
            <w:pStyle w:val="Sumrio2"/>
            <w:tabs>
              <w:tab w:val="right" w:leader="dot" w:pos="9061"/>
            </w:tabs>
            <w:rPr>
              <w:rFonts w:asciiTheme="minorHAnsi" w:eastAsiaTheme="minorEastAsia" w:hAnsiTheme="minorHAnsi"/>
              <w:noProof/>
              <w:lang w:eastAsia="pt-BR"/>
            </w:rPr>
          </w:pPr>
          <w:hyperlink w:anchor="_Toc230204120" w:history="1">
            <w:r w:rsidRPr="004A0D71">
              <w:rPr>
                <w:rStyle w:val="Hyperlink"/>
                <w:rFonts w:eastAsia="Times New Roman"/>
                <w:noProof/>
                <w:lang w:eastAsia="pt-BR"/>
              </w:rPr>
              <w:t>10.12. Tratamento dos tributos e componentes da fatura de energia</w:t>
            </w:r>
            <w:r>
              <w:rPr>
                <w:noProof/>
                <w:webHidden/>
              </w:rPr>
              <w:tab/>
            </w:r>
            <w:r>
              <w:rPr>
                <w:noProof/>
                <w:webHidden/>
              </w:rPr>
              <w:fldChar w:fldCharType="begin"/>
            </w:r>
            <w:r>
              <w:rPr>
                <w:noProof/>
                <w:webHidden/>
              </w:rPr>
              <w:instrText xml:space="preserve"> PAGEREF _Toc230204120 \h </w:instrText>
            </w:r>
            <w:r>
              <w:rPr>
                <w:noProof/>
                <w:webHidden/>
              </w:rPr>
            </w:r>
            <w:r>
              <w:rPr>
                <w:noProof/>
                <w:webHidden/>
              </w:rPr>
              <w:fldChar w:fldCharType="separate"/>
            </w:r>
            <w:r w:rsidR="00B90978">
              <w:rPr>
                <w:noProof/>
                <w:webHidden/>
              </w:rPr>
              <w:t>100</w:t>
            </w:r>
            <w:r>
              <w:rPr>
                <w:noProof/>
                <w:webHidden/>
              </w:rPr>
              <w:fldChar w:fldCharType="end"/>
            </w:r>
          </w:hyperlink>
        </w:p>
        <w:p w14:paraId="1B5C522D" w14:textId="4C1FD1DD" w:rsidR="00514939" w:rsidRDefault="00514939">
          <w:pPr>
            <w:pStyle w:val="Sumrio2"/>
            <w:tabs>
              <w:tab w:val="right" w:leader="dot" w:pos="9061"/>
            </w:tabs>
            <w:rPr>
              <w:rFonts w:asciiTheme="minorHAnsi" w:eastAsiaTheme="minorEastAsia" w:hAnsiTheme="minorHAnsi"/>
              <w:noProof/>
              <w:lang w:eastAsia="pt-BR"/>
            </w:rPr>
          </w:pPr>
          <w:hyperlink w:anchor="_Toc230204121" w:history="1">
            <w:r w:rsidRPr="004A0D71">
              <w:rPr>
                <w:rStyle w:val="Hyperlink"/>
                <w:rFonts w:eastAsia="Times New Roman"/>
                <w:noProof/>
                <w:lang w:eastAsia="pt-BR"/>
              </w:rPr>
              <w:t>10.13. Tratamento jurídico-regulatório da rubrica energética</w:t>
            </w:r>
            <w:r>
              <w:rPr>
                <w:noProof/>
                <w:webHidden/>
              </w:rPr>
              <w:tab/>
            </w:r>
            <w:r>
              <w:rPr>
                <w:noProof/>
                <w:webHidden/>
              </w:rPr>
              <w:fldChar w:fldCharType="begin"/>
            </w:r>
            <w:r>
              <w:rPr>
                <w:noProof/>
                <w:webHidden/>
              </w:rPr>
              <w:instrText xml:space="preserve"> PAGEREF _Toc230204121 \h </w:instrText>
            </w:r>
            <w:r>
              <w:rPr>
                <w:noProof/>
                <w:webHidden/>
              </w:rPr>
            </w:r>
            <w:r>
              <w:rPr>
                <w:noProof/>
                <w:webHidden/>
              </w:rPr>
              <w:fldChar w:fldCharType="separate"/>
            </w:r>
            <w:r w:rsidR="00B90978">
              <w:rPr>
                <w:noProof/>
                <w:webHidden/>
              </w:rPr>
              <w:t>101</w:t>
            </w:r>
            <w:r>
              <w:rPr>
                <w:noProof/>
                <w:webHidden/>
              </w:rPr>
              <w:fldChar w:fldCharType="end"/>
            </w:r>
          </w:hyperlink>
        </w:p>
        <w:p w14:paraId="3FC94AE2" w14:textId="7CEE648A" w:rsidR="00514939" w:rsidRDefault="00514939">
          <w:pPr>
            <w:pStyle w:val="Sumrio2"/>
            <w:tabs>
              <w:tab w:val="right" w:leader="dot" w:pos="9061"/>
            </w:tabs>
            <w:rPr>
              <w:rFonts w:asciiTheme="minorHAnsi" w:eastAsiaTheme="minorEastAsia" w:hAnsiTheme="minorHAnsi"/>
              <w:noProof/>
              <w:lang w:eastAsia="pt-BR"/>
            </w:rPr>
          </w:pPr>
          <w:hyperlink w:anchor="_Toc230204122" w:history="1">
            <w:r w:rsidRPr="004A0D71">
              <w:rPr>
                <w:rStyle w:val="Hyperlink"/>
                <w:rFonts w:eastAsia="Times New Roman"/>
                <w:noProof/>
                <w:lang w:eastAsia="pt-BR"/>
              </w:rPr>
              <w:t>10.14. Aplicação do saldo positivo ao Fundo Municipal</w:t>
            </w:r>
            <w:r>
              <w:rPr>
                <w:noProof/>
                <w:webHidden/>
              </w:rPr>
              <w:tab/>
            </w:r>
            <w:r>
              <w:rPr>
                <w:noProof/>
                <w:webHidden/>
              </w:rPr>
              <w:fldChar w:fldCharType="begin"/>
            </w:r>
            <w:r>
              <w:rPr>
                <w:noProof/>
                <w:webHidden/>
              </w:rPr>
              <w:instrText xml:space="preserve"> PAGEREF _Toc230204122 \h </w:instrText>
            </w:r>
            <w:r>
              <w:rPr>
                <w:noProof/>
                <w:webHidden/>
              </w:rPr>
            </w:r>
            <w:r>
              <w:rPr>
                <w:noProof/>
                <w:webHidden/>
              </w:rPr>
              <w:fldChar w:fldCharType="separate"/>
            </w:r>
            <w:r w:rsidR="00B90978">
              <w:rPr>
                <w:noProof/>
                <w:webHidden/>
              </w:rPr>
              <w:t>102</w:t>
            </w:r>
            <w:r>
              <w:rPr>
                <w:noProof/>
                <w:webHidden/>
              </w:rPr>
              <w:fldChar w:fldCharType="end"/>
            </w:r>
          </w:hyperlink>
        </w:p>
        <w:p w14:paraId="284AA555" w14:textId="261C922B" w:rsidR="00514939" w:rsidRDefault="00514939">
          <w:pPr>
            <w:pStyle w:val="Sumrio2"/>
            <w:tabs>
              <w:tab w:val="right" w:leader="dot" w:pos="9061"/>
            </w:tabs>
            <w:rPr>
              <w:rFonts w:asciiTheme="minorHAnsi" w:eastAsiaTheme="minorEastAsia" w:hAnsiTheme="minorHAnsi"/>
              <w:noProof/>
              <w:lang w:eastAsia="pt-BR"/>
            </w:rPr>
          </w:pPr>
          <w:hyperlink w:anchor="_Toc230204123" w:history="1">
            <w:r w:rsidRPr="004A0D71">
              <w:rPr>
                <w:rStyle w:val="Hyperlink"/>
                <w:rFonts w:eastAsia="Times New Roman"/>
                <w:noProof/>
                <w:lang w:eastAsia="pt-BR"/>
              </w:rPr>
              <w:t>10.15. Conclusão do tópico</w:t>
            </w:r>
            <w:r>
              <w:rPr>
                <w:noProof/>
                <w:webHidden/>
              </w:rPr>
              <w:tab/>
            </w:r>
            <w:r>
              <w:rPr>
                <w:noProof/>
                <w:webHidden/>
              </w:rPr>
              <w:fldChar w:fldCharType="begin"/>
            </w:r>
            <w:r>
              <w:rPr>
                <w:noProof/>
                <w:webHidden/>
              </w:rPr>
              <w:instrText xml:space="preserve"> PAGEREF _Toc230204123 \h </w:instrText>
            </w:r>
            <w:r>
              <w:rPr>
                <w:noProof/>
                <w:webHidden/>
              </w:rPr>
            </w:r>
            <w:r>
              <w:rPr>
                <w:noProof/>
                <w:webHidden/>
              </w:rPr>
              <w:fldChar w:fldCharType="separate"/>
            </w:r>
            <w:r w:rsidR="00B90978">
              <w:rPr>
                <w:noProof/>
                <w:webHidden/>
              </w:rPr>
              <w:t>103</w:t>
            </w:r>
            <w:r>
              <w:rPr>
                <w:noProof/>
                <w:webHidden/>
              </w:rPr>
              <w:fldChar w:fldCharType="end"/>
            </w:r>
          </w:hyperlink>
        </w:p>
        <w:p w14:paraId="52B57090" w14:textId="3CF7AA05" w:rsidR="00514939" w:rsidRDefault="00514939">
          <w:pPr>
            <w:pStyle w:val="Sumrio1"/>
            <w:tabs>
              <w:tab w:val="right" w:leader="dot" w:pos="9061"/>
            </w:tabs>
            <w:rPr>
              <w:rFonts w:asciiTheme="minorHAnsi" w:eastAsiaTheme="minorEastAsia" w:hAnsiTheme="minorHAnsi"/>
              <w:noProof/>
              <w:lang w:eastAsia="pt-BR"/>
            </w:rPr>
          </w:pPr>
          <w:hyperlink w:anchor="_Toc230204124" w:history="1">
            <w:r w:rsidRPr="004A0D71">
              <w:rPr>
                <w:rStyle w:val="Hyperlink"/>
                <w:rFonts w:eastAsia="Times New Roman"/>
                <w:noProof/>
                <w:lang w:eastAsia="pt-BR"/>
              </w:rPr>
              <w:t>11. Receitas Acessórias</w:t>
            </w:r>
            <w:r>
              <w:rPr>
                <w:noProof/>
                <w:webHidden/>
              </w:rPr>
              <w:tab/>
            </w:r>
            <w:r>
              <w:rPr>
                <w:noProof/>
                <w:webHidden/>
              </w:rPr>
              <w:fldChar w:fldCharType="begin"/>
            </w:r>
            <w:r>
              <w:rPr>
                <w:noProof/>
                <w:webHidden/>
              </w:rPr>
              <w:instrText xml:space="preserve"> PAGEREF _Toc230204124 \h </w:instrText>
            </w:r>
            <w:r>
              <w:rPr>
                <w:noProof/>
                <w:webHidden/>
              </w:rPr>
            </w:r>
            <w:r>
              <w:rPr>
                <w:noProof/>
                <w:webHidden/>
              </w:rPr>
              <w:fldChar w:fldCharType="separate"/>
            </w:r>
            <w:r w:rsidR="00B90978">
              <w:rPr>
                <w:noProof/>
                <w:webHidden/>
              </w:rPr>
              <w:t>105</w:t>
            </w:r>
            <w:r>
              <w:rPr>
                <w:noProof/>
                <w:webHidden/>
              </w:rPr>
              <w:fldChar w:fldCharType="end"/>
            </w:r>
          </w:hyperlink>
        </w:p>
        <w:p w14:paraId="15AC377B" w14:textId="7E87076F" w:rsidR="00514939" w:rsidRDefault="00514939">
          <w:pPr>
            <w:pStyle w:val="Sumrio2"/>
            <w:tabs>
              <w:tab w:val="right" w:leader="dot" w:pos="9061"/>
            </w:tabs>
            <w:rPr>
              <w:rFonts w:asciiTheme="minorHAnsi" w:eastAsiaTheme="minorEastAsia" w:hAnsiTheme="minorHAnsi"/>
              <w:noProof/>
              <w:lang w:eastAsia="pt-BR"/>
            </w:rPr>
          </w:pPr>
          <w:hyperlink w:anchor="_Toc230204125" w:history="1">
            <w:r w:rsidRPr="004A0D71">
              <w:rPr>
                <w:rStyle w:val="Hyperlink"/>
                <w:rFonts w:eastAsia="Times New Roman"/>
                <w:noProof/>
                <w:lang w:eastAsia="pt-BR"/>
              </w:rPr>
              <w:t>11.1. Conceito de receitas acessórias</w:t>
            </w:r>
            <w:r>
              <w:rPr>
                <w:noProof/>
                <w:webHidden/>
              </w:rPr>
              <w:tab/>
            </w:r>
            <w:r>
              <w:rPr>
                <w:noProof/>
                <w:webHidden/>
              </w:rPr>
              <w:fldChar w:fldCharType="begin"/>
            </w:r>
            <w:r>
              <w:rPr>
                <w:noProof/>
                <w:webHidden/>
              </w:rPr>
              <w:instrText xml:space="preserve"> PAGEREF _Toc230204125 \h </w:instrText>
            </w:r>
            <w:r>
              <w:rPr>
                <w:noProof/>
                <w:webHidden/>
              </w:rPr>
            </w:r>
            <w:r>
              <w:rPr>
                <w:noProof/>
                <w:webHidden/>
              </w:rPr>
              <w:fldChar w:fldCharType="separate"/>
            </w:r>
            <w:r w:rsidR="00B90978">
              <w:rPr>
                <w:noProof/>
                <w:webHidden/>
              </w:rPr>
              <w:t>105</w:t>
            </w:r>
            <w:r>
              <w:rPr>
                <w:noProof/>
                <w:webHidden/>
              </w:rPr>
              <w:fldChar w:fldCharType="end"/>
            </w:r>
          </w:hyperlink>
        </w:p>
        <w:p w14:paraId="0AD92422" w14:textId="1E39EDAF" w:rsidR="00514939" w:rsidRDefault="00514939">
          <w:pPr>
            <w:pStyle w:val="Sumrio2"/>
            <w:tabs>
              <w:tab w:val="right" w:leader="dot" w:pos="9061"/>
            </w:tabs>
            <w:rPr>
              <w:rFonts w:asciiTheme="minorHAnsi" w:eastAsiaTheme="minorEastAsia" w:hAnsiTheme="minorHAnsi"/>
              <w:noProof/>
              <w:lang w:eastAsia="pt-BR"/>
            </w:rPr>
          </w:pPr>
          <w:hyperlink w:anchor="_Toc230204126" w:history="1">
            <w:r w:rsidRPr="004A0D71">
              <w:rPr>
                <w:rStyle w:val="Hyperlink"/>
                <w:rFonts w:eastAsia="Times New Roman"/>
                <w:noProof/>
                <w:lang w:eastAsia="pt-BR"/>
              </w:rPr>
              <w:t>11.2. Receitas acessórias consideradas na modelagem</w:t>
            </w:r>
            <w:r>
              <w:rPr>
                <w:noProof/>
                <w:webHidden/>
              </w:rPr>
              <w:tab/>
            </w:r>
            <w:r>
              <w:rPr>
                <w:noProof/>
                <w:webHidden/>
              </w:rPr>
              <w:fldChar w:fldCharType="begin"/>
            </w:r>
            <w:r>
              <w:rPr>
                <w:noProof/>
                <w:webHidden/>
              </w:rPr>
              <w:instrText xml:space="preserve"> PAGEREF _Toc230204126 \h </w:instrText>
            </w:r>
            <w:r>
              <w:rPr>
                <w:noProof/>
                <w:webHidden/>
              </w:rPr>
            </w:r>
            <w:r>
              <w:rPr>
                <w:noProof/>
                <w:webHidden/>
              </w:rPr>
              <w:fldChar w:fldCharType="separate"/>
            </w:r>
            <w:r w:rsidR="00B90978">
              <w:rPr>
                <w:noProof/>
                <w:webHidden/>
              </w:rPr>
              <w:t>106</w:t>
            </w:r>
            <w:r>
              <w:rPr>
                <w:noProof/>
                <w:webHidden/>
              </w:rPr>
              <w:fldChar w:fldCharType="end"/>
            </w:r>
          </w:hyperlink>
        </w:p>
        <w:p w14:paraId="474BD38A" w14:textId="135900F0" w:rsidR="00514939" w:rsidRDefault="00514939">
          <w:pPr>
            <w:pStyle w:val="Sumrio2"/>
            <w:tabs>
              <w:tab w:val="right" w:leader="dot" w:pos="9061"/>
            </w:tabs>
            <w:rPr>
              <w:rFonts w:asciiTheme="minorHAnsi" w:eastAsiaTheme="minorEastAsia" w:hAnsiTheme="minorHAnsi"/>
              <w:noProof/>
              <w:lang w:eastAsia="pt-BR"/>
            </w:rPr>
          </w:pPr>
          <w:hyperlink w:anchor="_Toc230204127" w:history="1">
            <w:r w:rsidRPr="004A0D71">
              <w:rPr>
                <w:rStyle w:val="Hyperlink"/>
                <w:rFonts w:eastAsia="Times New Roman"/>
                <w:noProof/>
                <w:lang w:eastAsia="pt-BR"/>
              </w:rPr>
              <w:t>11.3. Memórias de cálculo das receitas acessórias</w:t>
            </w:r>
            <w:r>
              <w:rPr>
                <w:noProof/>
                <w:webHidden/>
              </w:rPr>
              <w:tab/>
            </w:r>
            <w:r>
              <w:rPr>
                <w:noProof/>
                <w:webHidden/>
              </w:rPr>
              <w:fldChar w:fldCharType="begin"/>
            </w:r>
            <w:r>
              <w:rPr>
                <w:noProof/>
                <w:webHidden/>
              </w:rPr>
              <w:instrText xml:space="preserve"> PAGEREF _Toc230204127 \h </w:instrText>
            </w:r>
            <w:r>
              <w:rPr>
                <w:noProof/>
                <w:webHidden/>
              </w:rPr>
            </w:r>
            <w:r>
              <w:rPr>
                <w:noProof/>
                <w:webHidden/>
              </w:rPr>
              <w:fldChar w:fldCharType="separate"/>
            </w:r>
            <w:r w:rsidR="00B90978">
              <w:rPr>
                <w:noProof/>
                <w:webHidden/>
              </w:rPr>
              <w:t>107</w:t>
            </w:r>
            <w:r>
              <w:rPr>
                <w:noProof/>
                <w:webHidden/>
              </w:rPr>
              <w:fldChar w:fldCharType="end"/>
            </w:r>
          </w:hyperlink>
        </w:p>
        <w:p w14:paraId="42FF2EE6" w14:textId="1DBCCD3B" w:rsidR="00514939" w:rsidRDefault="00514939">
          <w:pPr>
            <w:pStyle w:val="Sumrio3"/>
            <w:tabs>
              <w:tab w:val="right" w:leader="dot" w:pos="9061"/>
            </w:tabs>
            <w:rPr>
              <w:rFonts w:asciiTheme="minorHAnsi" w:eastAsiaTheme="minorEastAsia" w:hAnsiTheme="minorHAnsi"/>
              <w:noProof/>
              <w:lang w:eastAsia="pt-BR"/>
            </w:rPr>
          </w:pPr>
          <w:hyperlink w:anchor="_Toc230204128" w:history="1">
            <w:r w:rsidRPr="004A0D71">
              <w:rPr>
                <w:rStyle w:val="Hyperlink"/>
                <w:rFonts w:eastAsia="Times New Roman"/>
                <w:noProof/>
                <w:lang w:eastAsia="pt-BR"/>
              </w:rPr>
              <w:t>11.3.1. Biochar / material carbonáceo</w:t>
            </w:r>
            <w:r>
              <w:rPr>
                <w:noProof/>
                <w:webHidden/>
              </w:rPr>
              <w:tab/>
            </w:r>
            <w:r>
              <w:rPr>
                <w:noProof/>
                <w:webHidden/>
              </w:rPr>
              <w:fldChar w:fldCharType="begin"/>
            </w:r>
            <w:r>
              <w:rPr>
                <w:noProof/>
                <w:webHidden/>
              </w:rPr>
              <w:instrText xml:space="preserve"> PAGEREF _Toc230204128 \h </w:instrText>
            </w:r>
            <w:r>
              <w:rPr>
                <w:noProof/>
                <w:webHidden/>
              </w:rPr>
            </w:r>
            <w:r>
              <w:rPr>
                <w:noProof/>
                <w:webHidden/>
              </w:rPr>
              <w:fldChar w:fldCharType="separate"/>
            </w:r>
            <w:r w:rsidR="00B90978">
              <w:rPr>
                <w:noProof/>
                <w:webHidden/>
              </w:rPr>
              <w:t>107</w:t>
            </w:r>
            <w:r>
              <w:rPr>
                <w:noProof/>
                <w:webHidden/>
              </w:rPr>
              <w:fldChar w:fldCharType="end"/>
            </w:r>
          </w:hyperlink>
        </w:p>
        <w:p w14:paraId="52B6F842" w14:textId="55766369" w:rsidR="00514939" w:rsidRDefault="00514939">
          <w:pPr>
            <w:pStyle w:val="Sumrio3"/>
            <w:tabs>
              <w:tab w:val="right" w:leader="dot" w:pos="9061"/>
            </w:tabs>
            <w:rPr>
              <w:rFonts w:asciiTheme="minorHAnsi" w:eastAsiaTheme="minorEastAsia" w:hAnsiTheme="minorHAnsi"/>
              <w:noProof/>
              <w:lang w:eastAsia="pt-BR"/>
            </w:rPr>
          </w:pPr>
          <w:hyperlink w:anchor="_Toc230204129" w:history="1">
            <w:r w:rsidRPr="004A0D71">
              <w:rPr>
                <w:rStyle w:val="Hyperlink"/>
                <w:rFonts w:eastAsia="Times New Roman"/>
                <w:noProof/>
                <w:lang w:eastAsia="pt-BR"/>
              </w:rPr>
              <w:t>11.3.2. Óleo pirolítico / extrato líquido</w:t>
            </w:r>
            <w:r>
              <w:rPr>
                <w:noProof/>
                <w:webHidden/>
              </w:rPr>
              <w:tab/>
            </w:r>
            <w:r>
              <w:rPr>
                <w:noProof/>
                <w:webHidden/>
              </w:rPr>
              <w:fldChar w:fldCharType="begin"/>
            </w:r>
            <w:r>
              <w:rPr>
                <w:noProof/>
                <w:webHidden/>
              </w:rPr>
              <w:instrText xml:space="preserve"> PAGEREF _Toc230204129 \h </w:instrText>
            </w:r>
            <w:r>
              <w:rPr>
                <w:noProof/>
                <w:webHidden/>
              </w:rPr>
            </w:r>
            <w:r>
              <w:rPr>
                <w:noProof/>
                <w:webHidden/>
              </w:rPr>
              <w:fldChar w:fldCharType="separate"/>
            </w:r>
            <w:r w:rsidR="00B90978">
              <w:rPr>
                <w:noProof/>
                <w:webHidden/>
              </w:rPr>
              <w:t>107</w:t>
            </w:r>
            <w:r>
              <w:rPr>
                <w:noProof/>
                <w:webHidden/>
              </w:rPr>
              <w:fldChar w:fldCharType="end"/>
            </w:r>
          </w:hyperlink>
        </w:p>
        <w:p w14:paraId="505ED97D" w14:textId="0F75BFF7" w:rsidR="00514939" w:rsidRDefault="00514939">
          <w:pPr>
            <w:pStyle w:val="Sumrio2"/>
            <w:tabs>
              <w:tab w:val="right" w:leader="dot" w:pos="9061"/>
            </w:tabs>
            <w:rPr>
              <w:rFonts w:asciiTheme="minorHAnsi" w:eastAsiaTheme="minorEastAsia" w:hAnsiTheme="minorHAnsi"/>
              <w:noProof/>
              <w:lang w:eastAsia="pt-BR"/>
            </w:rPr>
          </w:pPr>
          <w:hyperlink w:anchor="_Toc230204130" w:history="1">
            <w:r w:rsidRPr="004A0D71">
              <w:rPr>
                <w:rStyle w:val="Hyperlink"/>
                <w:rFonts w:eastAsia="Times New Roman"/>
                <w:noProof/>
                <w:lang w:eastAsia="pt-BR"/>
              </w:rPr>
              <w:t>11.3.3. Créditos de carbono</w:t>
            </w:r>
            <w:r>
              <w:rPr>
                <w:noProof/>
                <w:webHidden/>
              </w:rPr>
              <w:tab/>
            </w:r>
            <w:r>
              <w:rPr>
                <w:noProof/>
                <w:webHidden/>
              </w:rPr>
              <w:fldChar w:fldCharType="begin"/>
            </w:r>
            <w:r>
              <w:rPr>
                <w:noProof/>
                <w:webHidden/>
              </w:rPr>
              <w:instrText xml:space="preserve"> PAGEREF _Toc230204130 \h </w:instrText>
            </w:r>
            <w:r>
              <w:rPr>
                <w:noProof/>
                <w:webHidden/>
              </w:rPr>
            </w:r>
            <w:r>
              <w:rPr>
                <w:noProof/>
                <w:webHidden/>
              </w:rPr>
              <w:fldChar w:fldCharType="separate"/>
            </w:r>
            <w:r w:rsidR="00B90978">
              <w:rPr>
                <w:noProof/>
                <w:webHidden/>
              </w:rPr>
              <w:t>108</w:t>
            </w:r>
            <w:r>
              <w:rPr>
                <w:noProof/>
                <w:webHidden/>
              </w:rPr>
              <w:fldChar w:fldCharType="end"/>
            </w:r>
          </w:hyperlink>
        </w:p>
        <w:p w14:paraId="61CA5E42" w14:textId="711D2567" w:rsidR="00514939" w:rsidRDefault="00514939">
          <w:pPr>
            <w:pStyle w:val="Sumrio2"/>
            <w:tabs>
              <w:tab w:val="right" w:leader="dot" w:pos="9061"/>
            </w:tabs>
            <w:rPr>
              <w:rFonts w:asciiTheme="minorHAnsi" w:eastAsiaTheme="minorEastAsia" w:hAnsiTheme="minorHAnsi"/>
              <w:noProof/>
              <w:lang w:eastAsia="pt-BR"/>
            </w:rPr>
          </w:pPr>
          <w:hyperlink w:anchor="_Toc230204131" w:history="1">
            <w:r w:rsidRPr="004A0D71">
              <w:rPr>
                <w:rStyle w:val="Hyperlink"/>
                <w:rFonts w:eastAsia="Times New Roman"/>
                <w:noProof/>
                <w:lang w:eastAsia="pt-BR"/>
              </w:rPr>
              <w:t>11.4. Receita acessória bruta, tributos e receita líquida</w:t>
            </w:r>
            <w:r>
              <w:rPr>
                <w:noProof/>
                <w:webHidden/>
              </w:rPr>
              <w:tab/>
            </w:r>
            <w:r>
              <w:rPr>
                <w:noProof/>
                <w:webHidden/>
              </w:rPr>
              <w:fldChar w:fldCharType="begin"/>
            </w:r>
            <w:r>
              <w:rPr>
                <w:noProof/>
                <w:webHidden/>
              </w:rPr>
              <w:instrText xml:space="preserve"> PAGEREF _Toc230204131 \h </w:instrText>
            </w:r>
            <w:r>
              <w:rPr>
                <w:noProof/>
                <w:webHidden/>
              </w:rPr>
            </w:r>
            <w:r>
              <w:rPr>
                <w:noProof/>
                <w:webHidden/>
              </w:rPr>
              <w:fldChar w:fldCharType="separate"/>
            </w:r>
            <w:r w:rsidR="00B90978">
              <w:rPr>
                <w:noProof/>
                <w:webHidden/>
              </w:rPr>
              <w:t>108</w:t>
            </w:r>
            <w:r>
              <w:rPr>
                <w:noProof/>
                <w:webHidden/>
              </w:rPr>
              <w:fldChar w:fldCharType="end"/>
            </w:r>
          </w:hyperlink>
        </w:p>
        <w:p w14:paraId="2B8EFF9E" w14:textId="1CB5BF0B" w:rsidR="00514939" w:rsidRDefault="00514939">
          <w:pPr>
            <w:pStyle w:val="Sumrio2"/>
            <w:tabs>
              <w:tab w:val="right" w:leader="dot" w:pos="9061"/>
            </w:tabs>
            <w:rPr>
              <w:rFonts w:asciiTheme="minorHAnsi" w:eastAsiaTheme="minorEastAsia" w:hAnsiTheme="minorHAnsi"/>
              <w:noProof/>
              <w:lang w:eastAsia="pt-BR"/>
            </w:rPr>
          </w:pPr>
          <w:hyperlink w:anchor="_Toc230204132" w:history="1">
            <w:r w:rsidRPr="004A0D71">
              <w:rPr>
                <w:rStyle w:val="Hyperlink"/>
                <w:rFonts w:eastAsia="Times New Roman"/>
                <w:noProof/>
                <w:lang w:eastAsia="pt-BR"/>
              </w:rPr>
              <w:t>11.5. Destinação de 5% ao Fundo Municipal</w:t>
            </w:r>
            <w:r>
              <w:rPr>
                <w:noProof/>
                <w:webHidden/>
              </w:rPr>
              <w:tab/>
            </w:r>
            <w:r>
              <w:rPr>
                <w:noProof/>
                <w:webHidden/>
              </w:rPr>
              <w:fldChar w:fldCharType="begin"/>
            </w:r>
            <w:r>
              <w:rPr>
                <w:noProof/>
                <w:webHidden/>
              </w:rPr>
              <w:instrText xml:space="preserve"> PAGEREF _Toc230204132 \h </w:instrText>
            </w:r>
            <w:r>
              <w:rPr>
                <w:noProof/>
                <w:webHidden/>
              </w:rPr>
            </w:r>
            <w:r>
              <w:rPr>
                <w:noProof/>
                <w:webHidden/>
              </w:rPr>
              <w:fldChar w:fldCharType="separate"/>
            </w:r>
            <w:r w:rsidR="00B90978">
              <w:rPr>
                <w:noProof/>
                <w:webHidden/>
              </w:rPr>
              <w:t>109</w:t>
            </w:r>
            <w:r>
              <w:rPr>
                <w:noProof/>
                <w:webHidden/>
              </w:rPr>
              <w:fldChar w:fldCharType="end"/>
            </w:r>
          </w:hyperlink>
        </w:p>
        <w:p w14:paraId="27F10A9F" w14:textId="4ED8EABC" w:rsidR="00514939" w:rsidRDefault="00514939">
          <w:pPr>
            <w:pStyle w:val="Sumrio2"/>
            <w:tabs>
              <w:tab w:val="right" w:leader="dot" w:pos="9061"/>
            </w:tabs>
            <w:rPr>
              <w:rFonts w:asciiTheme="minorHAnsi" w:eastAsiaTheme="minorEastAsia" w:hAnsiTheme="minorHAnsi"/>
              <w:noProof/>
              <w:lang w:eastAsia="pt-BR"/>
            </w:rPr>
          </w:pPr>
          <w:hyperlink w:anchor="_Toc230204133" w:history="1">
            <w:r w:rsidRPr="004A0D71">
              <w:rPr>
                <w:rStyle w:val="Hyperlink"/>
                <w:rFonts w:eastAsia="Times New Roman"/>
                <w:noProof/>
                <w:lang w:eastAsia="pt-BR"/>
              </w:rPr>
              <w:t>11.6. Alternativas de base de cálculo para o Fundo Municipal</w:t>
            </w:r>
            <w:r>
              <w:rPr>
                <w:noProof/>
                <w:webHidden/>
              </w:rPr>
              <w:tab/>
            </w:r>
            <w:r>
              <w:rPr>
                <w:noProof/>
                <w:webHidden/>
              </w:rPr>
              <w:fldChar w:fldCharType="begin"/>
            </w:r>
            <w:r>
              <w:rPr>
                <w:noProof/>
                <w:webHidden/>
              </w:rPr>
              <w:instrText xml:space="preserve"> PAGEREF _Toc230204133 \h </w:instrText>
            </w:r>
            <w:r>
              <w:rPr>
                <w:noProof/>
                <w:webHidden/>
              </w:rPr>
            </w:r>
            <w:r>
              <w:rPr>
                <w:noProof/>
                <w:webHidden/>
              </w:rPr>
              <w:fldChar w:fldCharType="separate"/>
            </w:r>
            <w:r w:rsidR="00B90978">
              <w:rPr>
                <w:noProof/>
                <w:webHidden/>
              </w:rPr>
              <w:t>109</w:t>
            </w:r>
            <w:r>
              <w:rPr>
                <w:noProof/>
                <w:webHidden/>
              </w:rPr>
              <w:fldChar w:fldCharType="end"/>
            </w:r>
          </w:hyperlink>
        </w:p>
        <w:p w14:paraId="65312E68" w14:textId="333C94E5" w:rsidR="00514939" w:rsidRDefault="00514939">
          <w:pPr>
            <w:pStyle w:val="Sumrio2"/>
            <w:tabs>
              <w:tab w:val="right" w:leader="dot" w:pos="9061"/>
            </w:tabs>
            <w:rPr>
              <w:rFonts w:asciiTheme="minorHAnsi" w:eastAsiaTheme="minorEastAsia" w:hAnsiTheme="minorHAnsi"/>
              <w:noProof/>
              <w:lang w:eastAsia="pt-BR"/>
            </w:rPr>
          </w:pPr>
          <w:hyperlink w:anchor="_Toc230204134" w:history="1">
            <w:r w:rsidRPr="004A0D71">
              <w:rPr>
                <w:rStyle w:val="Hyperlink"/>
                <w:rFonts w:eastAsia="Times New Roman"/>
                <w:noProof/>
                <w:lang w:eastAsia="pt-BR"/>
              </w:rPr>
              <w:t>11.7. Condicionantes técnicas e comerciais</w:t>
            </w:r>
            <w:r>
              <w:rPr>
                <w:noProof/>
                <w:webHidden/>
              </w:rPr>
              <w:tab/>
            </w:r>
            <w:r>
              <w:rPr>
                <w:noProof/>
                <w:webHidden/>
              </w:rPr>
              <w:fldChar w:fldCharType="begin"/>
            </w:r>
            <w:r>
              <w:rPr>
                <w:noProof/>
                <w:webHidden/>
              </w:rPr>
              <w:instrText xml:space="preserve"> PAGEREF _Toc230204134 \h </w:instrText>
            </w:r>
            <w:r>
              <w:rPr>
                <w:noProof/>
                <w:webHidden/>
              </w:rPr>
            </w:r>
            <w:r>
              <w:rPr>
                <w:noProof/>
                <w:webHidden/>
              </w:rPr>
              <w:fldChar w:fldCharType="separate"/>
            </w:r>
            <w:r w:rsidR="00B90978">
              <w:rPr>
                <w:noProof/>
                <w:webHidden/>
              </w:rPr>
              <w:t>110</w:t>
            </w:r>
            <w:r>
              <w:rPr>
                <w:noProof/>
                <w:webHidden/>
              </w:rPr>
              <w:fldChar w:fldCharType="end"/>
            </w:r>
          </w:hyperlink>
        </w:p>
        <w:p w14:paraId="2ACE31E9" w14:textId="5BEB11A1" w:rsidR="00514939" w:rsidRDefault="00514939">
          <w:pPr>
            <w:pStyle w:val="Sumrio2"/>
            <w:tabs>
              <w:tab w:val="right" w:leader="dot" w:pos="9061"/>
            </w:tabs>
            <w:rPr>
              <w:rFonts w:asciiTheme="minorHAnsi" w:eastAsiaTheme="minorEastAsia" w:hAnsiTheme="minorHAnsi"/>
              <w:noProof/>
              <w:lang w:eastAsia="pt-BR"/>
            </w:rPr>
          </w:pPr>
          <w:hyperlink w:anchor="_Toc230204135" w:history="1">
            <w:r w:rsidRPr="004A0D71">
              <w:rPr>
                <w:rStyle w:val="Hyperlink"/>
                <w:rFonts w:eastAsia="Times New Roman"/>
                <w:noProof/>
                <w:lang w:eastAsia="pt-BR"/>
              </w:rPr>
              <w:t>11.8. Recicláveis como receita acessória potencial adicional</w:t>
            </w:r>
            <w:r>
              <w:rPr>
                <w:noProof/>
                <w:webHidden/>
              </w:rPr>
              <w:tab/>
            </w:r>
            <w:r>
              <w:rPr>
                <w:noProof/>
                <w:webHidden/>
              </w:rPr>
              <w:fldChar w:fldCharType="begin"/>
            </w:r>
            <w:r>
              <w:rPr>
                <w:noProof/>
                <w:webHidden/>
              </w:rPr>
              <w:instrText xml:space="preserve"> PAGEREF _Toc230204135 \h </w:instrText>
            </w:r>
            <w:r>
              <w:rPr>
                <w:noProof/>
                <w:webHidden/>
              </w:rPr>
            </w:r>
            <w:r>
              <w:rPr>
                <w:noProof/>
                <w:webHidden/>
              </w:rPr>
              <w:fldChar w:fldCharType="separate"/>
            </w:r>
            <w:r w:rsidR="00B90978">
              <w:rPr>
                <w:noProof/>
                <w:webHidden/>
              </w:rPr>
              <w:t>111</w:t>
            </w:r>
            <w:r>
              <w:rPr>
                <w:noProof/>
                <w:webHidden/>
              </w:rPr>
              <w:fldChar w:fldCharType="end"/>
            </w:r>
          </w:hyperlink>
        </w:p>
        <w:p w14:paraId="435D8139" w14:textId="5B069015" w:rsidR="00514939" w:rsidRDefault="00514939">
          <w:pPr>
            <w:pStyle w:val="Sumrio2"/>
            <w:tabs>
              <w:tab w:val="right" w:leader="dot" w:pos="9061"/>
            </w:tabs>
            <w:rPr>
              <w:rFonts w:asciiTheme="minorHAnsi" w:eastAsiaTheme="minorEastAsia" w:hAnsiTheme="minorHAnsi"/>
              <w:noProof/>
              <w:lang w:eastAsia="pt-BR"/>
            </w:rPr>
          </w:pPr>
          <w:hyperlink w:anchor="_Toc230204136" w:history="1">
            <w:r w:rsidRPr="004A0D71">
              <w:rPr>
                <w:rStyle w:val="Hyperlink"/>
                <w:rFonts w:eastAsia="Times New Roman"/>
                <w:noProof/>
                <w:lang w:eastAsia="pt-BR"/>
              </w:rPr>
              <w:t>11.9. Receitas acessórias e risco da SPE</w:t>
            </w:r>
            <w:r>
              <w:rPr>
                <w:noProof/>
                <w:webHidden/>
              </w:rPr>
              <w:tab/>
            </w:r>
            <w:r>
              <w:rPr>
                <w:noProof/>
                <w:webHidden/>
              </w:rPr>
              <w:fldChar w:fldCharType="begin"/>
            </w:r>
            <w:r>
              <w:rPr>
                <w:noProof/>
                <w:webHidden/>
              </w:rPr>
              <w:instrText xml:space="preserve"> PAGEREF _Toc230204136 \h </w:instrText>
            </w:r>
            <w:r>
              <w:rPr>
                <w:noProof/>
                <w:webHidden/>
              </w:rPr>
            </w:r>
            <w:r>
              <w:rPr>
                <w:noProof/>
                <w:webHidden/>
              </w:rPr>
              <w:fldChar w:fldCharType="separate"/>
            </w:r>
            <w:r w:rsidR="00B90978">
              <w:rPr>
                <w:noProof/>
                <w:webHidden/>
              </w:rPr>
              <w:t>111</w:t>
            </w:r>
            <w:r>
              <w:rPr>
                <w:noProof/>
                <w:webHidden/>
              </w:rPr>
              <w:fldChar w:fldCharType="end"/>
            </w:r>
          </w:hyperlink>
        </w:p>
        <w:p w14:paraId="75334FC8" w14:textId="129B251C" w:rsidR="00514939" w:rsidRDefault="00514939">
          <w:pPr>
            <w:pStyle w:val="Sumrio2"/>
            <w:tabs>
              <w:tab w:val="right" w:leader="dot" w:pos="9061"/>
            </w:tabs>
            <w:rPr>
              <w:rFonts w:asciiTheme="minorHAnsi" w:eastAsiaTheme="minorEastAsia" w:hAnsiTheme="minorHAnsi"/>
              <w:noProof/>
              <w:lang w:eastAsia="pt-BR"/>
            </w:rPr>
          </w:pPr>
          <w:hyperlink w:anchor="_Toc230204137" w:history="1">
            <w:r w:rsidRPr="004A0D71">
              <w:rPr>
                <w:rStyle w:val="Hyperlink"/>
                <w:rFonts w:eastAsia="Times New Roman"/>
                <w:noProof/>
                <w:lang w:eastAsia="pt-BR"/>
              </w:rPr>
              <w:t>11.10. Cláusula recomendada sobre frustração de receitas acessórias</w:t>
            </w:r>
            <w:r>
              <w:rPr>
                <w:noProof/>
                <w:webHidden/>
              </w:rPr>
              <w:tab/>
            </w:r>
            <w:r>
              <w:rPr>
                <w:noProof/>
                <w:webHidden/>
              </w:rPr>
              <w:fldChar w:fldCharType="begin"/>
            </w:r>
            <w:r>
              <w:rPr>
                <w:noProof/>
                <w:webHidden/>
              </w:rPr>
              <w:instrText xml:space="preserve"> PAGEREF _Toc230204137 \h </w:instrText>
            </w:r>
            <w:r>
              <w:rPr>
                <w:noProof/>
                <w:webHidden/>
              </w:rPr>
            </w:r>
            <w:r>
              <w:rPr>
                <w:noProof/>
                <w:webHidden/>
              </w:rPr>
              <w:fldChar w:fldCharType="separate"/>
            </w:r>
            <w:r w:rsidR="00B90978">
              <w:rPr>
                <w:noProof/>
                <w:webHidden/>
              </w:rPr>
              <w:t>112</w:t>
            </w:r>
            <w:r>
              <w:rPr>
                <w:noProof/>
                <w:webHidden/>
              </w:rPr>
              <w:fldChar w:fldCharType="end"/>
            </w:r>
          </w:hyperlink>
        </w:p>
        <w:p w14:paraId="4C8890F5" w14:textId="35E05387" w:rsidR="00514939" w:rsidRDefault="00514939">
          <w:pPr>
            <w:pStyle w:val="Sumrio2"/>
            <w:tabs>
              <w:tab w:val="right" w:leader="dot" w:pos="9061"/>
            </w:tabs>
            <w:rPr>
              <w:rFonts w:asciiTheme="minorHAnsi" w:eastAsiaTheme="minorEastAsia" w:hAnsiTheme="minorHAnsi"/>
              <w:noProof/>
              <w:lang w:eastAsia="pt-BR"/>
            </w:rPr>
          </w:pPr>
          <w:hyperlink w:anchor="_Toc230204138" w:history="1">
            <w:r w:rsidRPr="004A0D71">
              <w:rPr>
                <w:rStyle w:val="Hyperlink"/>
                <w:rFonts w:eastAsia="Times New Roman"/>
                <w:noProof/>
                <w:lang w:eastAsia="pt-BR"/>
              </w:rPr>
              <w:t>11.11. Impacto das receitas acessórias no EBITDA</w:t>
            </w:r>
            <w:r>
              <w:rPr>
                <w:noProof/>
                <w:webHidden/>
              </w:rPr>
              <w:tab/>
            </w:r>
            <w:r>
              <w:rPr>
                <w:noProof/>
                <w:webHidden/>
              </w:rPr>
              <w:fldChar w:fldCharType="begin"/>
            </w:r>
            <w:r>
              <w:rPr>
                <w:noProof/>
                <w:webHidden/>
              </w:rPr>
              <w:instrText xml:space="preserve"> PAGEREF _Toc230204138 \h </w:instrText>
            </w:r>
            <w:r>
              <w:rPr>
                <w:noProof/>
                <w:webHidden/>
              </w:rPr>
            </w:r>
            <w:r>
              <w:rPr>
                <w:noProof/>
                <w:webHidden/>
              </w:rPr>
              <w:fldChar w:fldCharType="separate"/>
            </w:r>
            <w:r w:rsidR="00B90978">
              <w:rPr>
                <w:noProof/>
                <w:webHidden/>
              </w:rPr>
              <w:t>113</w:t>
            </w:r>
            <w:r>
              <w:rPr>
                <w:noProof/>
                <w:webHidden/>
              </w:rPr>
              <w:fldChar w:fldCharType="end"/>
            </w:r>
          </w:hyperlink>
        </w:p>
        <w:p w14:paraId="2E2DF706" w14:textId="32DE8974" w:rsidR="00514939" w:rsidRDefault="00514939">
          <w:pPr>
            <w:pStyle w:val="Sumrio2"/>
            <w:tabs>
              <w:tab w:val="right" w:leader="dot" w:pos="9061"/>
            </w:tabs>
            <w:rPr>
              <w:rFonts w:asciiTheme="minorHAnsi" w:eastAsiaTheme="minorEastAsia" w:hAnsiTheme="minorHAnsi"/>
              <w:noProof/>
              <w:lang w:eastAsia="pt-BR"/>
            </w:rPr>
          </w:pPr>
          <w:hyperlink w:anchor="_Toc230204139" w:history="1">
            <w:r w:rsidRPr="004A0D71">
              <w:rPr>
                <w:rStyle w:val="Hyperlink"/>
                <w:rFonts w:eastAsia="Times New Roman"/>
                <w:noProof/>
                <w:lang w:eastAsia="pt-BR"/>
              </w:rPr>
              <w:t>11.12. Impacto das receitas acessórias no DSCR</w:t>
            </w:r>
            <w:r>
              <w:rPr>
                <w:noProof/>
                <w:webHidden/>
              </w:rPr>
              <w:tab/>
            </w:r>
            <w:r>
              <w:rPr>
                <w:noProof/>
                <w:webHidden/>
              </w:rPr>
              <w:fldChar w:fldCharType="begin"/>
            </w:r>
            <w:r>
              <w:rPr>
                <w:noProof/>
                <w:webHidden/>
              </w:rPr>
              <w:instrText xml:space="preserve"> PAGEREF _Toc230204139 \h </w:instrText>
            </w:r>
            <w:r>
              <w:rPr>
                <w:noProof/>
                <w:webHidden/>
              </w:rPr>
            </w:r>
            <w:r>
              <w:rPr>
                <w:noProof/>
                <w:webHidden/>
              </w:rPr>
              <w:fldChar w:fldCharType="separate"/>
            </w:r>
            <w:r w:rsidR="00B90978">
              <w:rPr>
                <w:noProof/>
                <w:webHidden/>
              </w:rPr>
              <w:t>113</w:t>
            </w:r>
            <w:r>
              <w:rPr>
                <w:noProof/>
                <w:webHidden/>
              </w:rPr>
              <w:fldChar w:fldCharType="end"/>
            </w:r>
          </w:hyperlink>
        </w:p>
        <w:p w14:paraId="346A69DC" w14:textId="61929419" w:rsidR="00514939" w:rsidRDefault="00514939">
          <w:pPr>
            <w:pStyle w:val="Sumrio2"/>
            <w:tabs>
              <w:tab w:val="right" w:leader="dot" w:pos="9061"/>
            </w:tabs>
            <w:rPr>
              <w:rFonts w:asciiTheme="minorHAnsi" w:eastAsiaTheme="minorEastAsia" w:hAnsiTheme="minorHAnsi"/>
              <w:noProof/>
              <w:lang w:eastAsia="pt-BR"/>
            </w:rPr>
          </w:pPr>
          <w:hyperlink w:anchor="_Toc230204140" w:history="1">
            <w:r w:rsidRPr="004A0D71">
              <w:rPr>
                <w:rStyle w:val="Hyperlink"/>
                <w:rFonts w:eastAsia="Times New Roman"/>
                <w:noProof/>
                <w:lang w:eastAsia="pt-BR"/>
              </w:rPr>
              <w:t>11.13. Sensibilidade das receitas acessórias</w:t>
            </w:r>
            <w:r>
              <w:rPr>
                <w:noProof/>
                <w:webHidden/>
              </w:rPr>
              <w:tab/>
            </w:r>
            <w:r>
              <w:rPr>
                <w:noProof/>
                <w:webHidden/>
              </w:rPr>
              <w:fldChar w:fldCharType="begin"/>
            </w:r>
            <w:r>
              <w:rPr>
                <w:noProof/>
                <w:webHidden/>
              </w:rPr>
              <w:instrText xml:space="preserve"> PAGEREF _Toc230204140 \h </w:instrText>
            </w:r>
            <w:r>
              <w:rPr>
                <w:noProof/>
                <w:webHidden/>
              </w:rPr>
            </w:r>
            <w:r>
              <w:rPr>
                <w:noProof/>
                <w:webHidden/>
              </w:rPr>
              <w:fldChar w:fldCharType="separate"/>
            </w:r>
            <w:r w:rsidR="00B90978">
              <w:rPr>
                <w:noProof/>
                <w:webHidden/>
              </w:rPr>
              <w:t>114</w:t>
            </w:r>
            <w:r>
              <w:rPr>
                <w:noProof/>
                <w:webHidden/>
              </w:rPr>
              <w:fldChar w:fldCharType="end"/>
            </w:r>
          </w:hyperlink>
        </w:p>
        <w:p w14:paraId="716BFE1A" w14:textId="2B741E1B" w:rsidR="00514939" w:rsidRDefault="00514939">
          <w:pPr>
            <w:pStyle w:val="Sumrio2"/>
            <w:tabs>
              <w:tab w:val="right" w:leader="dot" w:pos="9061"/>
            </w:tabs>
            <w:rPr>
              <w:rFonts w:asciiTheme="minorHAnsi" w:eastAsiaTheme="minorEastAsia" w:hAnsiTheme="minorHAnsi"/>
              <w:noProof/>
              <w:lang w:eastAsia="pt-BR"/>
            </w:rPr>
          </w:pPr>
          <w:hyperlink w:anchor="_Toc230204141" w:history="1">
            <w:r w:rsidRPr="004A0D71">
              <w:rPr>
                <w:rStyle w:val="Hyperlink"/>
                <w:rFonts w:eastAsia="Times New Roman"/>
                <w:noProof/>
                <w:lang w:eastAsia="pt-BR"/>
              </w:rPr>
              <w:t>11.14. Receitas acessórias e licitação</w:t>
            </w:r>
            <w:r>
              <w:rPr>
                <w:noProof/>
                <w:webHidden/>
              </w:rPr>
              <w:tab/>
            </w:r>
            <w:r>
              <w:rPr>
                <w:noProof/>
                <w:webHidden/>
              </w:rPr>
              <w:fldChar w:fldCharType="begin"/>
            </w:r>
            <w:r>
              <w:rPr>
                <w:noProof/>
                <w:webHidden/>
              </w:rPr>
              <w:instrText xml:space="preserve"> PAGEREF _Toc230204141 \h </w:instrText>
            </w:r>
            <w:r>
              <w:rPr>
                <w:noProof/>
                <w:webHidden/>
              </w:rPr>
            </w:r>
            <w:r>
              <w:rPr>
                <w:noProof/>
                <w:webHidden/>
              </w:rPr>
              <w:fldChar w:fldCharType="separate"/>
            </w:r>
            <w:r w:rsidR="00B90978">
              <w:rPr>
                <w:noProof/>
                <w:webHidden/>
              </w:rPr>
              <w:t>114</w:t>
            </w:r>
            <w:r>
              <w:rPr>
                <w:noProof/>
                <w:webHidden/>
              </w:rPr>
              <w:fldChar w:fldCharType="end"/>
            </w:r>
          </w:hyperlink>
        </w:p>
        <w:p w14:paraId="57001BD6" w14:textId="2CFFEC53" w:rsidR="00514939" w:rsidRDefault="00514939">
          <w:pPr>
            <w:pStyle w:val="Sumrio2"/>
            <w:tabs>
              <w:tab w:val="right" w:leader="dot" w:pos="9061"/>
            </w:tabs>
            <w:rPr>
              <w:rFonts w:asciiTheme="minorHAnsi" w:eastAsiaTheme="minorEastAsia" w:hAnsiTheme="minorHAnsi"/>
              <w:noProof/>
              <w:lang w:eastAsia="pt-BR"/>
            </w:rPr>
          </w:pPr>
          <w:hyperlink w:anchor="_Toc230204142" w:history="1">
            <w:r w:rsidRPr="004A0D71">
              <w:rPr>
                <w:rStyle w:val="Hyperlink"/>
                <w:rFonts w:eastAsia="Times New Roman"/>
                <w:noProof/>
                <w:lang w:eastAsia="pt-BR"/>
              </w:rPr>
              <w:t>11.15. Conclusão do tópico</w:t>
            </w:r>
            <w:r>
              <w:rPr>
                <w:noProof/>
                <w:webHidden/>
              </w:rPr>
              <w:tab/>
            </w:r>
            <w:r>
              <w:rPr>
                <w:noProof/>
                <w:webHidden/>
              </w:rPr>
              <w:fldChar w:fldCharType="begin"/>
            </w:r>
            <w:r>
              <w:rPr>
                <w:noProof/>
                <w:webHidden/>
              </w:rPr>
              <w:instrText xml:space="preserve"> PAGEREF _Toc230204142 \h </w:instrText>
            </w:r>
            <w:r>
              <w:rPr>
                <w:noProof/>
                <w:webHidden/>
              </w:rPr>
            </w:r>
            <w:r>
              <w:rPr>
                <w:noProof/>
                <w:webHidden/>
              </w:rPr>
              <w:fldChar w:fldCharType="separate"/>
            </w:r>
            <w:r w:rsidR="00B90978">
              <w:rPr>
                <w:noProof/>
                <w:webHidden/>
              </w:rPr>
              <w:t>115</w:t>
            </w:r>
            <w:r>
              <w:rPr>
                <w:noProof/>
                <w:webHidden/>
              </w:rPr>
              <w:fldChar w:fldCharType="end"/>
            </w:r>
          </w:hyperlink>
        </w:p>
        <w:p w14:paraId="3A38CC44" w14:textId="09572D25" w:rsidR="00514939" w:rsidRDefault="00514939">
          <w:pPr>
            <w:pStyle w:val="Sumrio1"/>
            <w:tabs>
              <w:tab w:val="right" w:leader="dot" w:pos="9061"/>
            </w:tabs>
            <w:rPr>
              <w:rFonts w:asciiTheme="minorHAnsi" w:eastAsiaTheme="minorEastAsia" w:hAnsiTheme="minorHAnsi"/>
              <w:noProof/>
              <w:lang w:eastAsia="pt-BR"/>
            </w:rPr>
          </w:pPr>
          <w:hyperlink w:anchor="_Toc230204143" w:history="1">
            <w:r w:rsidRPr="004A0D71">
              <w:rPr>
                <w:rStyle w:val="Hyperlink"/>
                <w:rFonts w:eastAsia="Times New Roman"/>
                <w:noProof/>
                <w:lang w:eastAsia="pt-BR"/>
              </w:rPr>
              <w:t>12. Financiamento Referencial e Serviço da Dívida</w:t>
            </w:r>
            <w:r>
              <w:rPr>
                <w:noProof/>
                <w:webHidden/>
              </w:rPr>
              <w:tab/>
            </w:r>
            <w:r>
              <w:rPr>
                <w:noProof/>
                <w:webHidden/>
              </w:rPr>
              <w:fldChar w:fldCharType="begin"/>
            </w:r>
            <w:r>
              <w:rPr>
                <w:noProof/>
                <w:webHidden/>
              </w:rPr>
              <w:instrText xml:space="preserve"> PAGEREF _Toc230204143 \h </w:instrText>
            </w:r>
            <w:r>
              <w:rPr>
                <w:noProof/>
                <w:webHidden/>
              </w:rPr>
            </w:r>
            <w:r>
              <w:rPr>
                <w:noProof/>
                <w:webHidden/>
              </w:rPr>
              <w:fldChar w:fldCharType="separate"/>
            </w:r>
            <w:r w:rsidR="00B90978">
              <w:rPr>
                <w:noProof/>
                <w:webHidden/>
              </w:rPr>
              <w:t>116</w:t>
            </w:r>
            <w:r>
              <w:rPr>
                <w:noProof/>
                <w:webHidden/>
              </w:rPr>
              <w:fldChar w:fldCharType="end"/>
            </w:r>
          </w:hyperlink>
        </w:p>
        <w:p w14:paraId="30011948" w14:textId="6C92CE50" w:rsidR="00514939" w:rsidRDefault="00514939">
          <w:pPr>
            <w:pStyle w:val="Sumrio2"/>
            <w:tabs>
              <w:tab w:val="right" w:leader="dot" w:pos="9061"/>
            </w:tabs>
            <w:rPr>
              <w:rFonts w:asciiTheme="minorHAnsi" w:eastAsiaTheme="minorEastAsia" w:hAnsiTheme="minorHAnsi"/>
              <w:noProof/>
              <w:lang w:eastAsia="pt-BR"/>
            </w:rPr>
          </w:pPr>
          <w:hyperlink w:anchor="_Toc230204144" w:history="1">
            <w:r w:rsidRPr="004A0D71">
              <w:rPr>
                <w:rStyle w:val="Hyperlink"/>
                <w:rFonts w:eastAsia="Times New Roman"/>
                <w:noProof/>
                <w:lang w:eastAsia="pt-BR"/>
              </w:rPr>
              <w:t>12.1. Função do financiamento na PPP</w:t>
            </w:r>
            <w:r>
              <w:rPr>
                <w:noProof/>
                <w:webHidden/>
              </w:rPr>
              <w:tab/>
            </w:r>
            <w:r>
              <w:rPr>
                <w:noProof/>
                <w:webHidden/>
              </w:rPr>
              <w:fldChar w:fldCharType="begin"/>
            </w:r>
            <w:r>
              <w:rPr>
                <w:noProof/>
                <w:webHidden/>
              </w:rPr>
              <w:instrText xml:space="preserve"> PAGEREF _Toc230204144 \h </w:instrText>
            </w:r>
            <w:r>
              <w:rPr>
                <w:noProof/>
                <w:webHidden/>
              </w:rPr>
            </w:r>
            <w:r>
              <w:rPr>
                <w:noProof/>
                <w:webHidden/>
              </w:rPr>
              <w:fldChar w:fldCharType="separate"/>
            </w:r>
            <w:r w:rsidR="00B90978">
              <w:rPr>
                <w:noProof/>
                <w:webHidden/>
              </w:rPr>
              <w:t>116</w:t>
            </w:r>
            <w:r>
              <w:rPr>
                <w:noProof/>
                <w:webHidden/>
              </w:rPr>
              <w:fldChar w:fldCharType="end"/>
            </w:r>
          </w:hyperlink>
        </w:p>
        <w:p w14:paraId="3533AB0F" w14:textId="7BC22D11" w:rsidR="00514939" w:rsidRDefault="00514939">
          <w:pPr>
            <w:pStyle w:val="Sumrio2"/>
            <w:tabs>
              <w:tab w:val="right" w:leader="dot" w:pos="9061"/>
            </w:tabs>
            <w:rPr>
              <w:rFonts w:asciiTheme="minorHAnsi" w:eastAsiaTheme="minorEastAsia" w:hAnsiTheme="minorHAnsi"/>
              <w:noProof/>
              <w:lang w:eastAsia="pt-BR"/>
            </w:rPr>
          </w:pPr>
          <w:hyperlink w:anchor="_Toc230204145" w:history="1">
            <w:r w:rsidRPr="004A0D71">
              <w:rPr>
                <w:rStyle w:val="Hyperlink"/>
                <w:rFonts w:eastAsia="Times New Roman"/>
                <w:noProof/>
                <w:lang w:eastAsia="pt-BR"/>
              </w:rPr>
              <w:t>12.2. Linha referencial adotada: FNE Verde / Banco do Nordeste</w:t>
            </w:r>
            <w:r>
              <w:rPr>
                <w:noProof/>
                <w:webHidden/>
              </w:rPr>
              <w:tab/>
            </w:r>
            <w:r>
              <w:rPr>
                <w:noProof/>
                <w:webHidden/>
              </w:rPr>
              <w:fldChar w:fldCharType="begin"/>
            </w:r>
            <w:r>
              <w:rPr>
                <w:noProof/>
                <w:webHidden/>
              </w:rPr>
              <w:instrText xml:space="preserve"> PAGEREF _Toc230204145 \h </w:instrText>
            </w:r>
            <w:r>
              <w:rPr>
                <w:noProof/>
                <w:webHidden/>
              </w:rPr>
            </w:r>
            <w:r>
              <w:rPr>
                <w:noProof/>
                <w:webHidden/>
              </w:rPr>
              <w:fldChar w:fldCharType="separate"/>
            </w:r>
            <w:r w:rsidR="00B90978">
              <w:rPr>
                <w:noProof/>
                <w:webHidden/>
              </w:rPr>
              <w:t>117</w:t>
            </w:r>
            <w:r>
              <w:rPr>
                <w:noProof/>
                <w:webHidden/>
              </w:rPr>
              <w:fldChar w:fldCharType="end"/>
            </w:r>
          </w:hyperlink>
        </w:p>
        <w:p w14:paraId="1A36385E" w14:textId="593D204A" w:rsidR="00514939" w:rsidRDefault="00514939">
          <w:pPr>
            <w:pStyle w:val="Sumrio2"/>
            <w:tabs>
              <w:tab w:val="right" w:leader="dot" w:pos="9061"/>
            </w:tabs>
            <w:rPr>
              <w:rFonts w:asciiTheme="minorHAnsi" w:eastAsiaTheme="minorEastAsia" w:hAnsiTheme="minorHAnsi"/>
              <w:noProof/>
              <w:lang w:eastAsia="pt-BR"/>
            </w:rPr>
          </w:pPr>
          <w:hyperlink w:anchor="_Toc230204146" w:history="1">
            <w:r w:rsidRPr="004A0D71">
              <w:rPr>
                <w:rStyle w:val="Hyperlink"/>
                <w:rFonts w:eastAsia="Times New Roman"/>
                <w:noProof/>
                <w:lang w:eastAsia="pt-BR"/>
              </w:rPr>
              <w:t>12.3. Premissas financeiras adotadas</w:t>
            </w:r>
            <w:r>
              <w:rPr>
                <w:noProof/>
                <w:webHidden/>
              </w:rPr>
              <w:tab/>
            </w:r>
            <w:r>
              <w:rPr>
                <w:noProof/>
                <w:webHidden/>
              </w:rPr>
              <w:fldChar w:fldCharType="begin"/>
            </w:r>
            <w:r>
              <w:rPr>
                <w:noProof/>
                <w:webHidden/>
              </w:rPr>
              <w:instrText xml:space="preserve"> PAGEREF _Toc230204146 \h </w:instrText>
            </w:r>
            <w:r>
              <w:rPr>
                <w:noProof/>
                <w:webHidden/>
              </w:rPr>
            </w:r>
            <w:r>
              <w:rPr>
                <w:noProof/>
                <w:webHidden/>
              </w:rPr>
              <w:fldChar w:fldCharType="separate"/>
            </w:r>
            <w:r w:rsidR="00B90978">
              <w:rPr>
                <w:noProof/>
                <w:webHidden/>
              </w:rPr>
              <w:t>118</w:t>
            </w:r>
            <w:r>
              <w:rPr>
                <w:noProof/>
                <w:webHidden/>
              </w:rPr>
              <w:fldChar w:fldCharType="end"/>
            </w:r>
          </w:hyperlink>
        </w:p>
        <w:p w14:paraId="2D1D206D" w14:textId="1568D4BB" w:rsidR="00514939" w:rsidRDefault="00514939">
          <w:pPr>
            <w:pStyle w:val="Sumrio2"/>
            <w:tabs>
              <w:tab w:val="right" w:leader="dot" w:pos="9061"/>
            </w:tabs>
            <w:rPr>
              <w:rFonts w:asciiTheme="minorHAnsi" w:eastAsiaTheme="minorEastAsia" w:hAnsiTheme="minorHAnsi"/>
              <w:noProof/>
              <w:lang w:eastAsia="pt-BR"/>
            </w:rPr>
          </w:pPr>
          <w:hyperlink w:anchor="_Toc230204147" w:history="1">
            <w:r w:rsidRPr="004A0D71">
              <w:rPr>
                <w:rStyle w:val="Hyperlink"/>
                <w:rFonts w:eastAsia="Times New Roman"/>
                <w:noProof/>
                <w:lang w:eastAsia="pt-BR"/>
              </w:rPr>
              <w:t>12.4. Justificativa da taxa prudencial de 10% a.a.</w:t>
            </w:r>
            <w:r>
              <w:rPr>
                <w:noProof/>
                <w:webHidden/>
              </w:rPr>
              <w:tab/>
            </w:r>
            <w:r>
              <w:rPr>
                <w:noProof/>
                <w:webHidden/>
              </w:rPr>
              <w:fldChar w:fldCharType="begin"/>
            </w:r>
            <w:r>
              <w:rPr>
                <w:noProof/>
                <w:webHidden/>
              </w:rPr>
              <w:instrText xml:space="preserve"> PAGEREF _Toc230204147 \h </w:instrText>
            </w:r>
            <w:r>
              <w:rPr>
                <w:noProof/>
                <w:webHidden/>
              </w:rPr>
            </w:r>
            <w:r>
              <w:rPr>
                <w:noProof/>
                <w:webHidden/>
              </w:rPr>
              <w:fldChar w:fldCharType="separate"/>
            </w:r>
            <w:r w:rsidR="00B90978">
              <w:rPr>
                <w:noProof/>
                <w:webHidden/>
              </w:rPr>
              <w:t>119</w:t>
            </w:r>
            <w:r>
              <w:rPr>
                <w:noProof/>
                <w:webHidden/>
              </w:rPr>
              <w:fldChar w:fldCharType="end"/>
            </w:r>
          </w:hyperlink>
        </w:p>
        <w:p w14:paraId="5171CADE" w14:textId="65E80307" w:rsidR="00514939" w:rsidRDefault="00514939">
          <w:pPr>
            <w:pStyle w:val="Sumrio2"/>
            <w:tabs>
              <w:tab w:val="right" w:leader="dot" w:pos="9061"/>
            </w:tabs>
            <w:rPr>
              <w:rFonts w:asciiTheme="minorHAnsi" w:eastAsiaTheme="minorEastAsia" w:hAnsiTheme="minorHAnsi"/>
              <w:noProof/>
              <w:lang w:eastAsia="pt-BR"/>
            </w:rPr>
          </w:pPr>
          <w:hyperlink w:anchor="_Toc230204148" w:history="1">
            <w:r w:rsidRPr="004A0D71">
              <w:rPr>
                <w:rStyle w:val="Hyperlink"/>
                <w:rFonts w:eastAsia="Times New Roman"/>
                <w:noProof/>
                <w:lang w:eastAsia="pt-BR"/>
              </w:rPr>
              <w:t>12.5. Memória de cálculo da taxa mensal equivalente</w:t>
            </w:r>
            <w:r>
              <w:rPr>
                <w:noProof/>
                <w:webHidden/>
              </w:rPr>
              <w:tab/>
            </w:r>
            <w:r>
              <w:rPr>
                <w:noProof/>
                <w:webHidden/>
              </w:rPr>
              <w:fldChar w:fldCharType="begin"/>
            </w:r>
            <w:r>
              <w:rPr>
                <w:noProof/>
                <w:webHidden/>
              </w:rPr>
              <w:instrText xml:space="preserve"> PAGEREF _Toc230204148 \h </w:instrText>
            </w:r>
            <w:r>
              <w:rPr>
                <w:noProof/>
                <w:webHidden/>
              </w:rPr>
            </w:r>
            <w:r>
              <w:rPr>
                <w:noProof/>
                <w:webHidden/>
              </w:rPr>
              <w:fldChar w:fldCharType="separate"/>
            </w:r>
            <w:r w:rsidR="00B90978">
              <w:rPr>
                <w:noProof/>
                <w:webHidden/>
              </w:rPr>
              <w:t>119</w:t>
            </w:r>
            <w:r>
              <w:rPr>
                <w:noProof/>
                <w:webHidden/>
              </w:rPr>
              <w:fldChar w:fldCharType="end"/>
            </w:r>
          </w:hyperlink>
        </w:p>
        <w:p w14:paraId="15807540" w14:textId="0CDDC58C" w:rsidR="00514939" w:rsidRDefault="00514939">
          <w:pPr>
            <w:pStyle w:val="Sumrio2"/>
            <w:tabs>
              <w:tab w:val="right" w:leader="dot" w:pos="9061"/>
            </w:tabs>
            <w:rPr>
              <w:rFonts w:asciiTheme="minorHAnsi" w:eastAsiaTheme="minorEastAsia" w:hAnsiTheme="minorHAnsi"/>
              <w:noProof/>
              <w:lang w:eastAsia="pt-BR"/>
            </w:rPr>
          </w:pPr>
          <w:hyperlink w:anchor="_Toc230204149" w:history="1">
            <w:r w:rsidRPr="004A0D71">
              <w:rPr>
                <w:rStyle w:val="Hyperlink"/>
                <w:rFonts w:eastAsia="Times New Roman"/>
                <w:noProof/>
                <w:lang w:eastAsia="pt-BR"/>
              </w:rPr>
              <w:t>12.6. Serviço da dívida durante a carência</w:t>
            </w:r>
            <w:r>
              <w:rPr>
                <w:noProof/>
                <w:webHidden/>
              </w:rPr>
              <w:tab/>
            </w:r>
            <w:r>
              <w:rPr>
                <w:noProof/>
                <w:webHidden/>
              </w:rPr>
              <w:fldChar w:fldCharType="begin"/>
            </w:r>
            <w:r>
              <w:rPr>
                <w:noProof/>
                <w:webHidden/>
              </w:rPr>
              <w:instrText xml:space="preserve"> PAGEREF _Toc230204149 \h </w:instrText>
            </w:r>
            <w:r>
              <w:rPr>
                <w:noProof/>
                <w:webHidden/>
              </w:rPr>
            </w:r>
            <w:r>
              <w:rPr>
                <w:noProof/>
                <w:webHidden/>
              </w:rPr>
              <w:fldChar w:fldCharType="separate"/>
            </w:r>
            <w:r w:rsidR="00B90978">
              <w:rPr>
                <w:noProof/>
                <w:webHidden/>
              </w:rPr>
              <w:t>120</w:t>
            </w:r>
            <w:r>
              <w:rPr>
                <w:noProof/>
                <w:webHidden/>
              </w:rPr>
              <w:fldChar w:fldCharType="end"/>
            </w:r>
          </w:hyperlink>
        </w:p>
        <w:p w14:paraId="7C1EE07A" w14:textId="487DB81A" w:rsidR="00514939" w:rsidRDefault="00514939">
          <w:pPr>
            <w:pStyle w:val="Sumrio2"/>
            <w:tabs>
              <w:tab w:val="right" w:leader="dot" w:pos="9061"/>
            </w:tabs>
            <w:rPr>
              <w:rFonts w:asciiTheme="minorHAnsi" w:eastAsiaTheme="minorEastAsia" w:hAnsiTheme="minorHAnsi"/>
              <w:noProof/>
              <w:lang w:eastAsia="pt-BR"/>
            </w:rPr>
          </w:pPr>
          <w:hyperlink w:anchor="_Toc230204150" w:history="1">
            <w:r w:rsidRPr="004A0D71">
              <w:rPr>
                <w:rStyle w:val="Hyperlink"/>
                <w:rFonts w:eastAsia="Times New Roman"/>
                <w:noProof/>
                <w:lang w:eastAsia="pt-BR"/>
              </w:rPr>
              <w:t>12.7. Serviço da dívida após a carência</w:t>
            </w:r>
            <w:r>
              <w:rPr>
                <w:noProof/>
                <w:webHidden/>
              </w:rPr>
              <w:tab/>
            </w:r>
            <w:r>
              <w:rPr>
                <w:noProof/>
                <w:webHidden/>
              </w:rPr>
              <w:fldChar w:fldCharType="begin"/>
            </w:r>
            <w:r>
              <w:rPr>
                <w:noProof/>
                <w:webHidden/>
              </w:rPr>
              <w:instrText xml:space="preserve"> PAGEREF _Toc230204150 \h </w:instrText>
            </w:r>
            <w:r>
              <w:rPr>
                <w:noProof/>
                <w:webHidden/>
              </w:rPr>
            </w:r>
            <w:r>
              <w:rPr>
                <w:noProof/>
                <w:webHidden/>
              </w:rPr>
              <w:fldChar w:fldCharType="separate"/>
            </w:r>
            <w:r w:rsidR="00B90978">
              <w:rPr>
                <w:noProof/>
                <w:webHidden/>
              </w:rPr>
              <w:t>121</w:t>
            </w:r>
            <w:r>
              <w:rPr>
                <w:noProof/>
                <w:webHidden/>
              </w:rPr>
              <w:fldChar w:fldCharType="end"/>
            </w:r>
          </w:hyperlink>
        </w:p>
        <w:p w14:paraId="4796AC6B" w14:textId="6D90BA28" w:rsidR="00514939" w:rsidRDefault="00514939">
          <w:pPr>
            <w:pStyle w:val="Sumrio2"/>
            <w:tabs>
              <w:tab w:val="right" w:leader="dot" w:pos="9061"/>
            </w:tabs>
            <w:rPr>
              <w:rFonts w:asciiTheme="minorHAnsi" w:eastAsiaTheme="minorEastAsia" w:hAnsiTheme="minorHAnsi"/>
              <w:noProof/>
              <w:lang w:eastAsia="pt-BR"/>
            </w:rPr>
          </w:pPr>
          <w:hyperlink w:anchor="_Toc230204151" w:history="1">
            <w:r w:rsidRPr="004A0D71">
              <w:rPr>
                <w:rStyle w:val="Hyperlink"/>
                <w:rFonts w:eastAsia="Times New Roman"/>
                <w:noProof/>
                <w:lang w:eastAsia="pt-BR"/>
              </w:rPr>
              <w:t>12.8. Comparação entre carência e amortização</w:t>
            </w:r>
            <w:r>
              <w:rPr>
                <w:noProof/>
                <w:webHidden/>
              </w:rPr>
              <w:tab/>
            </w:r>
            <w:r>
              <w:rPr>
                <w:noProof/>
                <w:webHidden/>
              </w:rPr>
              <w:fldChar w:fldCharType="begin"/>
            </w:r>
            <w:r>
              <w:rPr>
                <w:noProof/>
                <w:webHidden/>
              </w:rPr>
              <w:instrText xml:space="preserve"> PAGEREF _Toc230204151 \h </w:instrText>
            </w:r>
            <w:r>
              <w:rPr>
                <w:noProof/>
                <w:webHidden/>
              </w:rPr>
            </w:r>
            <w:r>
              <w:rPr>
                <w:noProof/>
                <w:webHidden/>
              </w:rPr>
              <w:fldChar w:fldCharType="separate"/>
            </w:r>
            <w:r w:rsidR="00B90978">
              <w:rPr>
                <w:noProof/>
                <w:webHidden/>
              </w:rPr>
              <w:t>121</w:t>
            </w:r>
            <w:r>
              <w:rPr>
                <w:noProof/>
                <w:webHidden/>
              </w:rPr>
              <w:fldChar w:fldCharType="end"/>
            </w:r>
          </w:hyperlink>
        </w:p>
        <w:p w14:paraId="7A6167B3" w14:textId="69020AAE" w:rsidR="00514939" w:rsidRDefault="00514939">
          <w:pPr>
            <w:pStyle w:val="Sumrio2"/>
            <w:tabs>
              <w:tab w:val="right" w:leader="dot" w:pos="9061"/>
            </w:tabs>
            <w:rPr>
              <w:rFonts w:asciiTheme="minorHAnsi" w:eastAsiaTheme="minorEastAsia" w:hAnsiTheme="minorHAnsi"/>
              <w:noProof/>
              <w:lang w:eastAsia="pt-BR"/>
            </w:rPr>
          </w:pPr>
          <w:hyperlink w:anchor="_Toc230204152" w:history="1">
            <w:r w:rsidRPr="004A0D71">
              <w:rPr>
                <w:rStyle w:val="Hyperlink"/>
                <w:rFonts w:eastAsia="Times New Roman"/>
                <w:noProof/>
                <w:lang w:eastAsia="pt-BR"/>
              </w:rPr>
              <w:t>12.9. Cobertura da dívida sem receitas acessórias</w:t>
            </w:r>
            <w:r>
              <w:rPr>
                <w:noProof/>
                <w:webHidden/>
              </w:rPr>
              <w:tab/>
            </w:r>
            <w:r>
              <w:rPr>
                <w:noProof/>
                <w:webHidden/>
              </w:rPr>
              <w:fldChar w:fldCharType="begin"/>
            </w:r>
            <w:r>
              <w:rPr>
                <w:noProof/>
                <w:webHidden/>
              </w:rPr>
              <w:instrText xml:space="preserve"> PAGEREF _Toc230204152 \h </w:instrText>
            </w:r>
            <w:r>
              <w:rPr>
                <w:noProof/>
                <w:webHidden/>
              </w:rPr>
            </w:r>
            <w:r>
              <w:rPr>
                <w:noProof/>
                <w:webHidden/>
              </w:rPr>
              <w:fldChar w:fldCharType="separate"/>
            </w:r>
            <w:r w:rsidR="00B90978">
              <w:rPr>
                <w:noProof/>
                <w:webHidden/>
              </w:rPr>
              <w:t>122</w:t>
            </w:r>
            <w:r>
              <w:rPr>
                <w:noProof/>
                <w:webHidden/>
              </w:rPr>
              <w:fldChar w:fldCharType="end"/>
            </w:r>
          </w:hyperlink>
        </w:p>
        <w:p w14:paraId="05D42E46" w14:textId="2B877E70" w:rsidR="00514939" w:rsidRDefault="00514939">
          <w:pPr>
            <w:pStyle w:val="Sumrio2"/>
            <w:tabs>
              <w:tab w:val="right" w:leader="dot" w:pos="9061"/>
            </w:tabs>
            <w:rPr>
              <w:rFonts w:asciiTheme="minorHAnsi" w:eastAsiaTheme="minorEastAsia" w:hAnsiTheme="minorHAnsi"/>
              <w:noProof/>
              <w:lang w:eastAsia="pt-BR"/>
            </w:rPr>
          </w:pPr>
          <w:hyperlink w:anchor="_Toc230204153" w:history="1">
            <w:r w:rsidRPr="004A0D71">
              <w:rPr>
                <w:rStyle w:val="Hyperlink"/>
                <w:rFonts w:eastAsia="Times New Roman"/>
                <w:noProof/>
                <w:lang w:eastAsia="pt-BR"/>
              </w:rPr>
              <w:t>12.10. Cobertura da dívida no cenário superior regional de R$ 140/t</w:t>
            </w:r>
            <w:r>
              <w:rPr>
                <w:noProof/>
                <w:webHidden/>
              </w:rPr>
              <w:tab/>
            </w:r>
            <w:r>
              <w:rPr>
                <w:noProof/>
                <w:webHidden/>
              </w:rPr>
              <w:fldChar w:fldCharType="begin"/>
            </w:r>
            <w:r>
              <w:rPr>
                <w:noProof/>
                <w:webHidden/>
              </w:rPr>
              <w:instrText xml:space="preserve"> PAGEREF _Toc230204153 \h </w:instrText>
            </w:r>
            <w:r>
              <w:rPr>
                <w:noProof/>
                <w:webHidden/>
              </w:rPr>
            </w:r>
            <w:r>
              <w:rPr>
                <w:noProof/>
                <w:webHidden/>
              </w:rPr>
              <w:fldChar w:fldCharType="separate"/>
            </w:r>
            <w:r w:rsidR="00B90978">
              <w:rPr>
                <w:noProof/>
                <w:webHidden/>
              </w:rPr>
              <w:t>122</w:t>
            </w:r>
            <w:r>
              <w:rPr>
                <w:noProof/>
                <w:webHidden/>
              </w:rPr>
              <w:fldChar w:fldCharType="end"/>
            </w:r>
          </w:hyperlink>
        </w:p>
        <w:p w14:paraId="37FFEACD" w14:textId="0E11A5FE" w:rsidR="00514939" w:rsidRDefault="00514939">
          <w:pPr>
            <w:pStyle w:val="Sumrio2"/>
            <w:tabs>
              <w:tab w:val="right" w:leader="dot" w:pos="9061"/>
            </w:tabs>
            <w:rPr>
              <w:rFonts w:asciiTheme="minorHAnsi" w:eastAsiaTheme="minorEastAsia" w:hAnsiTheme="minorHAnsi"/>
              <w:noProof/>
              <w:lang w:eastAsia="pt-BR"/>
            </w:rPr>
          </w:pPr>
          <w:hyperlink w:anchor="_Toc230204154" w:history="1">
            <w:r w:rsidRPr="004A0D71">
              <w:rPr>
                <w:rStyle w:val="Hyperlink"/>
                <w:rFonts w:eastAsia="Times New Roman"/>
                <w:noProof/>
                <w:lang w:eastAsia="pt-BR"/>
              </w:rPr>
              <w:t>12.11. Cobertura da dívida com receitas acessórias</w:t>
            </w:r>
            <w:r>
              <w:rPr>
                <w:noProof/>
                <w:webHidden/>
              </w:rPr>
              <w:tab/>
            </w:r>
            <w:r>
              <w:rPr>
                <w:noProof/>
                <w:webHidden/>
              </w:rPr>
              <w:fldChar w:fldCharType="begin"/>
            </w:r>
            <w:r>
              <w:rPr>
                <w:noProof/>
                <w:webHidden/>
              </w:rPr>
              <w:instrText xml:space="preserve"> PAGEREF _Toc230204154 \h </w:instrText>
            </w:r>
            <w:r>
              <w:rPr>
                <w:noProof/>
                <w:webHidden/>
              </w:rPr>
            </w:r>
            <w:r>
              <w:rPr>
                <w:noProof/>
                <w:webHidden/>
              </w:rPr>
              <w:fldChar w:fldCharType="separate"/>
            </w:r>
            <w:r w:rsidR="00B90978">
              <w:rPr>
                <w:noProof/>
                <w:webHidden/>
              </w:rPr>
              <w:t>123</w:t>
            </w:r>
            <w:r>
              <w:rPr>
                <w:noProof/>
                <w:webHidden/>
              </w:rPr>
              <w:fldChar w:fldCharType="end"/>
            </w:r>
          </w:hyperlink>
        </w:p>
        <w:p w14:paraId="6FDF9D3A" w14:textId="32BC60FC" w:rsidR="00514939" w:rsidRDefault="00514939">
          <w:pPr>
            <w:pStyle w:val="Sumrio2"/>
            <w:tabs>
              <w:tab w:val="right" w:leader="dot" w:pos="9061"/>
            </w:tabs>
            <w:rPr>
              <w:rFonts w:asciiTheme="minorHAnsi" w:eastAsiaTheme="minorEastAsia" w:hAnsiTheme="minorHAnsi"/>
              <w:noProof/>
              <w:lang w:eastAsia="pt-BR"/>
            </w:rPr>
          </w:pPr>
          <w:hyperlink w:anchor="_Toc230204155" w:history="1">
            <w:r w:rsidRPr="004A0D71">
              <w:rPr>
                <w:rStyle w:val="Hyperlink"/>
                <w:rFonts w:eastAsia="Times New Roman"/>
                <w:noProof/>
                <w:lang w:eastAsia="pt-BR"/>
              </w:rPr>
              <w:t>12.12. Sensibilidade por realização das receitas acessórias</w:t>
            </w:r>
            <w:r>
              <w:rPr>
                <w:noProof/>
                <w:webHidden/>
              </w:rPr>
              <w:tab/>
            </w:r>
            <w:r>
              <w:rPr>
                <w:noProof/>
                <w:webHidden/>
              </w:rPr>
              <w:fldChar w:fldCharType="begin"/>
            </w:r>
            <w:r>
              <w:rPr>
                <w:noProof/>
                <w:webHidden/>
              </w:rPr>
              <w:instrText xml:space="preserve"> PAGEREF _Toc230204155 \h </w:instrText>
            </w:r>
            <w:r>
              <w:rPr>
                <w:noProof/>
                <w:webHidden/>
              </w:rPr>
            </w:r>
            <w:r>
              <w:rPr>
                <w:noProof/>
                <w:webHidden/>
              </w:rPr>
              <w:fldChar w:fldCharType="separate"/>
            </w:r>
            <w:r w:rsidR="00B90978">
              <w:rPr>
                <w:noProof/>
                <w:webHidden/>
              </w:rPr>
              <w:t>123</w:t>
            </w:r>
            <w:r>
              <w:rPr>
                <w:noProof/>
                <w:webHidden/>
              </w:rPr>
              <w:fldChar w:fldCharType="end"/>
            </w:r>
          </w:hyperlink>
        </w:p>
        <w:p w14:paraId="709FA358" w14:textId="06524AA3" w:rsidR="00514939" w:rsidRDefault="00514939">
          <w:pPr>
            <w:pStyle w:val="Sumrio2"/>
            <w:tabs>
              <w:tab w:val="right" w:leader="dot" w:pos="9061"/>
            </w:tabs>
            <w:rPr>
              <w:rFonts w:asciiTheme="minorHAnsi" w:eastAsiaTheme="minorEastAsia" w:hAnsiTheme="minorHAnsi"/>
              <w:noProof/>
              <w:lang w:eastAsia="pt-BR"/>
            </w:rPr>
          </w:pPr>
          <w:hyperlink w:anchor="_Toc230204156" w:history="1">
            <w:r w:rsidRPr="004A0D71">
              <w:rPr>
                <w:rStyle w:val="Hyperlink"/>
                <w:rFonts w:eastAsia="Times New Roman"/>
                <w:noProof/>
                <w:lang w:eastAsia="pt-BR"/>
              </w:rPr>
              <w:t>12.13. Sensibilidade da taxa de juros</w:t>
            </w:r>
            <w:r>
              <w:rPr>
                <w:noProof/>
                <w:webHidden/>
              </w:rPr>
              <w:tab/>
            </w:r>
            <w:r>
              <w:rPr>
                <w:noProof/>
                <w:webHidden/>
              </w:rPr>
              <w:fldChar w:fldCharType="begin"/>
            </w:r>
            <w:r>
              <w:rPr>
                <w:noProof/>
                <w:webHidden/>
              </w:rPr>
              <w:instrText xml:space="preserve"> PAGEREF _Toc230204156 \h </w:instrText>
            </w:r>
            <w:r>
              <w:rPr>
                <w:noProof/>
                <w:webHidden/>
              </w:rPr>
            </w:r>
            <w:r>
              <w:rPr>
                <w:noProof/>
                <w:webHidden/>
              </w:rPr>
              <w:fldChar w:fldCharType="separate"/>
            </w:r>
            <w:r w:rsidR="00B90978">
              <w:rPr>
                <w:noProof/>
                <w:webHidden/>
              </w:rPr>
              <w:t>124</w:t>
            </w:r>
            <w:r>
              <w:rPr>
                <w:noProof/>
                <w:webHidden/>
              </w:rPr>
              <w:fldChar w:fldCharType="end"/>
            </w:r>
          </w:hyperlink>
        </w:p>
        <w:p w14:paraId="374A48C0" w14:textId="653AEDA5" w:rsidR="00514939" w:rsidRDefault="00514939">
          <w:pPr>
            <w:pStyle w:val="Sumrio2"/>
            <w:tabs>
              <w:tab w:val="right" w:leader="dot" w:pos="9061"/>
            </w:tabs>
            <w:rPr>
              <w:rFonts w:asciiTheme="minorHAnsi" w:eastAsiaTheme="minorEastAsia" w:hAnsiTheme="minorHAnsi"/>
              <w:noProof/>
              <w:lang w:eastAsia="pt-BR"/>
            </w:rPr>
          </w:pPr>
          <w:hyperlink w:anchor="_Toc230204157" w:history="1">
            <w:r w:rsidRPr="004A0D71">
              <w:rPr>
                <w:rStyle w:val="Hyperlink"/>
                <w:rFonts w:eastAsia="Times New Roman"/>
                <w:noProof/>
                <w:lang w:eastAsia="pt-BR"/>
              </w:rPr>
              <w:t>12.14. Papel das garantias na bancabilidade</w:t>
            </w:r>
            <w:r>
              <w:rPr>
                <w:noProof/>
                <w:webHidden/>
              </w:rPr>
              <w:tab/>
            </w:r>
            <w:r>
              <w:rPr>
                <w:noProof/>
                <w:webHidden/>
              </w:rPr>
              <w:fldChar w:fldCharType="begin"/>
            </w:r>
            <w:r>
              <w:rPr>
                <w:noProof/>
                <w:webHidden/>
              </w:rPr>
              <w:instrText xml:space="preserve"> PAGEREF _Toc230204157 \h </w:instrText>
            </w:r>
            <w:r>
              <w:rPr>
                <w:noProof/>
                <w:webHidden/>
              </w:rPr>
            </w:r>
            <w:r>
              <w:rPr>
                <w:noProof/>
                <w:webHidden/>
              </w:rPr>
              <w:fldChar w:fldCharType="separate"/>
            </w:r>
            <w:r w:rsidR="00B90978">
              <w:rPr>
                <w:noProof/>
                <w:webHidden/>
              </w:rPr>
              <w:t>125</w:t>
            </w:r>
            <w:r>
              <w:rPr>
                <w:noProof/>
                <w:webHidden/>
              </w:rPr>
              <w:fldChar w:fldCharType="end"/>
            </w:r>
          </w:hyperlink>
        </w:p>
        <w:p w14:paraId="37D5C93D" w14:textId="607D85AA" w:rsidR="00514939" w:rsidRDefault="00514939">
          <w:pPr>
            <w:pStyle w:val="Sumrio2"/>
            <w:tabs>
              <w:tab w:val="right" w:leader="dot" w:pos="9061"/>
            </w:tabs>
            <w:rPr>
              <w:rFonts w:asciiTheme="minorHAnsi" w:eastAsiaTheme="minorEastAsia" w:hAnsiTheme="minorHAnsi"/>
              <w:noProof/>
              <w:lang w:eastAsia="pt-BR"/>
            </w:rPr>
          </w:pPr>
          <w:hyperlink w:anchor="_Toc230204158" w:history="1">
            <w:r w:rsidRPr="004A0D71">
              <w:rPr>
                <w:rStyle w:val="Hyperlink"/>
                <w:rFonts w:eastAsia="Times New Roman"/>
                <w:noProof/>
                <w:lang w:eastAsia="pt-BR"/>
              </w:rPr>
              <w:t>12.15. Alternativas de estrutura de capital</w:t>
            </w:r>
            <w:r>
              <w:rPr>
                <w:noProof/>
                <w:webHidden/>
              </w:rPr>
              <w:tab/>
            </w:r>
            <w:r>
              <w:rPr>
                <w:noProof/>
                <w:webHidden/>
              </w:rPr>
              <w:fldChar w:fldCharType="begin"/>
            </w:r>
            <w:r>
              <w:rPr>
                <w:noProof/>
                <w:webHidden/>
              </w:rPr>
              <w:instrText xml:space="preserve"> PAGEREF _Toc230204158 \h </w:instrText>
            </w:r>
            <w:r>
              <w:rPr>
                <w:noProof/>
                <w:webHidden/>
              </w:rPr>
            </w:r>
            <w:r>
              <w:rPr>
                <w:noProof/>
                <w:webHidden/>
              </w:rPr>
              <w:fldChar w:fldCharType="separate"/>
            </w:r>
            <w:r w:rsidR="00B90978">
              <w:rPr>
                <w:noProof/>
                <w:webHidden/>
              </w:rPr>
              <w:t>125</w:t>
            </w:r>
            <w:r>
              <w:rPr>
                <w:noProof/>
                <w:webHidden/>
              </w:rPr>
              <w:fldChar w:fldCharType="end"/>
            </w:r>
          </w:hyperlink>
        </w:p>
        <w:p w14:paraId="1F95FAAF" w14:textId="52B880E4" w:rsidR="00514939" w:rsidRDefault="00514939">
          <w:pPr>
            <w:pStyle w:val="Sumrio2"/>
            <w:tabs>
              <w:tab w:val="right" w:leader="dot" w:pos="9061"/>
            </w:tabs>
            <w:rPr>
              <w:rFonts w:asciiTheme="minorHAnsi" w:eastAsiaTheme="minorEastAsia" w:hAnsiTheme="minorHAnsi"/>
              <w:noProof/>
              <w:lang w:eastAsia="pt-BR"/>
            </w:rPr>
          </w:pPr>
          <w:hyperlink w:anchor="_Toc230204159" w:history="1">
            <w:r w:rsidRPr="004A0D71">
              <w:rPr>
                <w:rStyle w:val="Hyperlink"/>
                <w:rFonts w:eastAsia="Times New Roman"/>
                <w:noProof/>
                <w:lang w:eastAsia="pt-BR"/>
              </w:rPr>
              <w:t>12.16. Responsabilidade dos licitantes</w:t>
            </w:r>
            <w:r>
              <w:rPr>
                <w:noProof/>
                <w:webHidden/>
              </w:rPr>
              <w:tab/>
            </w:r>
            <w:r>
              <w:rPr>
                <w:noProof/>
                <w:webHidden/>
              </w:rPr>
              <w:fldChar w:fldCharType="begin"/>
            </w:r>
            <w:r>
              <w:rPr>
                <w:noProof/>
                <w:webHidden/>
              </w:rPr>
              <w:instrText xml:space="preserve"> PAGEREF _Toc230204159 \h </w:instrText>
            </w:r>
            <w:r>
              <w:rPr>
                <w:noProof/>
                <w:webHidden/>
              </w:rPr>
            </w:r>
            <w:r>
              <w:rPr>
                <w:noProof/>
                <w:webHidden/>
              </w:rPr>
              <w:fldChar w:fldCharType="separate"/>
            </w:r>
            <w:r w:rsidR="00B90978">
              <w:rPr>
                <w:noProof/>
                <w:webHidden/>
              </w:rPr>
              <w:t>126</w:t>
            </w:r>
            <w:r>
              <w:rPr>
                <w:noProof/>
                <w:webHidden/>
              </w:rPr>
              <w:fldChar w:fldCharType="end"/>
            </w:r>
          </w:hyperlink>
        </w:p>
        <w:p w14:paraId="57BED707" w14:textId="1DA87762" w:rsidR="00514939" w:rsidRDefault="00514939">
          <w:pPr>
            <w:pStyle w:val="Sumrio2"/>
            <w:tabs>
              <w:tab w:val="right" w:leader="dot" w:pos="9061"/>
            </w:tabs>
            <w:rPr>
              <w:rFonts w:asciiTheme="minorHAnsi" w:eastAsiaTheme="minorEastAsia" w:hAnsiTheme="minorHAnsi"/>
              <w:noProof/>
              <w:lang w:eastAsia="pt-BR"/>
            </w:rPr>
          </w:pPr>
          <w:hyperlink w:anchor="_Toc230204160" w:history="1">
            <w:r w:rsidRPr="004A0D71">
              <w:rPr>
                <w:rStyle w:val="Hyperlink"/>
                <w:rFonts w:eastAsia="Times New Roman"/>
                <w:noProof/>
                <w:lang w:eastAsia="pt-BR"/>
              </w:rPr>
              <w:t>12.17. Conclusão do tópico</w:t>
            </w:r>
            <w:r>
              <w:rPr>
                <w:noProof/>
                <w:webHidden/>
              </w:rPr>
              <w:tab/>
            </w:r>
            <w:r>
              <w:rPr>
                <w:noProof/>
                <w:webHidden/>
              </w:rPr>
              <w:fldChar w:fldCharType="begin"/>
            </w:r>
            <w:r>
              <w:rPr>
                <w:noProof/>
                <w:webHidden/>
              </w:rPr>
              <w:instrText xml:space="preserve"> PAGEREF _Toc230204160 \h </w:instrText>
            </w:r>
            <w:r>
              <w:rPr>
                <w:noProof/>
                <w:webHidden/>
              </w:rPr>
            </w:r>
            <w:r>
              <w:rPr>
                <w:noProof/>
                <w:webHidden/>
              </w:rPr>
              <w:fldChar w:fldCharType="separate"/>
            </w:r>
            <w:r w:rsidR="00B90978">
              <w:rPr>
                <w:noProof/>
                <w:webHidden/>
              </w:rPr>
              <w:t>127</w:t>
            </w:r>
            <w:r>
              <w:rPr>
                <w:noProof/>
                <w:webHidden/>
              </w:rPr>
              <w:fldChar w:fldCharType="end"/>
            </w:r>
          </w:hyperlink>
        </w:p>
        <w:p w14:paraId="4F4BFE02" w14:textId="7A44CF5C" w:rsidR="00514939" w:rsidRDefault="00514939">
          <w:pPr>
            <w:pStyle w:val="Sumrio1"/>
            <w:tabs>
              <w:tab w:val="right" w:leader="dot" w:pos="9061"/>
            </w:tabs>
            <w:rPr>
              <w:rFonts w:asciiTheme="minorHAnsi" w:eastAsiaTheme="minorEastAsia" w:hAnsiTheme="minorHAnsi"/>
              <w:noProof/>
              <w:lang w:eastAsia="pt-BR"/>
            </w:rPr>
          </w:pPr>
          <w:hyperlink w:anchor="_Toc230204161" w:history="1">
            <w:r w:rsidRPr="004A0D71">
              <w:rPr>
                <w:rStyle w:val="Hyperlink"/>
                <w:rFonts w:eastAsia="Times New Roman"/>
                <w:noProof/>
                <w:lang w:eastAsia="pt-BR"/>
              </w:rPr>
              <w:t>13. Resultado Econômico-Financeiro da SPE</w:t>
            </w:r>
            <w:r>
              <w:rPr>
                <w:noProof/>
                <w:webHidden/>
              </w:rPr>
              <w:tab/>
            </w:r>
            <w:r>
              <w:rPr>
                <w:noProof/>
                <w:webHidden/>
              </w:rPr>
              <w:fldChar w:fldCharType="begin"/>
            </w:r>
            <w:r>
              <w:rPr>
                <w:noProof/>
                <w:webHidden/>
              </w:rPr>
              <w:instrText xml:space="preserve"> PAGEREF _Toc230204161 \h </w:instrText>
            </w:r>
            <w:r>
              <w:rPr>
                <w:noProof/>
                <w:webHidden/>
              </w:rPr>
            </w:r>
            <w:r>
              <w:rPr>
                <w:noProof/>
                <w:webHidden/>
              </w:rPr>
              <w:fldChar w:fldCharType="separate"/>
            </w:r>
            <w:r w:rsidR="00B90978">
              <w:rPr>
                <w:noProof/>
                <w:webHidden/>
              </w:rPr>
              <w:t>128</w:t>
            </w:r>
            <w:r>
              <w:rPr>
                <w:noProof/>
                <w:webHidden/>
              </w:rPr>
              <w:fldChar w:fldCharType="end"/>
            </w:r>
          </w:hyperlink>
        </w:p>
        <w:p w14:paraId="315C8418" w14:textId="2C3BD01D" w:rsidR="00514939" w:rsidRDefault="00514939">
          <w:pPr>
            <w:pStyle w:val="Sumrio2"/>
            <w:tabs>
              <w:tab w:val="right" w:leader="dot" w:pos="9061"/>
            </w:tabs>
            <w:rPr>
              <w:rFonts w:asciiTheme="minorHAnsi" w:eastAsiaTheme="minorEastAsia" w:hAnsiTheme="minorHAnsi"/>
              <w:noProof/>
              <w:lang w:eastAsia="pt-BR"/>
            </w:rPr>
          </w:pPr>
          <w:hyperlink w:anchor="_Toc230204162" w:history="1">
            <w:r w:rsidRPr="004A0D71">
              <w:rPr>
                <w:rStyle w:val="Hyperlink"/>
                <w:rFonts w:eastAsia="Times New Roman"/>
                <w:noProof/>
                <w:lang w:eastAsia="pt-BR"/>
              </w:rPr>
              <w:t>13.1. Estrutura geral de formação do resultado</w:t>
            </w:r>
            <w:r>
              <w:rPr>
                <w:noProof/>
                <w:webHidden/>
              </w:rPr>
              <w:tab/>
            </w:r>
            <w:r>
              <w:rPr>
                <w:noProof/>
                <w:webHidden/>
              </w:rPr>
              <w:fldChar w:fldCharType="begin"/>
            </w:r>
            <w:r>
              <w:rPr>
                <w:noProof/>
                <w:webHidden/>
              </w:rPr>
              <w:instrText xml:space="preserve"> PAGEREF _Toc230204162 \h </w:instrText>
            </w:r>
            <w:r>
              <w:rPr>
                <w:noProof/>
                <w:webHidden/>
              </w:rPr>
            </w:r>
            <w:r>
              <w:rPr>
                <w:noProof/>
                <w:webHidden/>
              </w:rPr>
              <w:fldChar w:fldCharType="separate"/>
            </w:r>
            <w:r w:rsidR="00B90978">
              <w:rPr>
                <w:noProof/>
                <w:webHidden/>
              </w:rPr>
              <w:t>128</w:t>
            </w:r>
            <w:r>
              <w:rPr>
                <w:noProof/>
                <w:webHidden/>
              </w:rPr>
              <w:fldChar w:fldCharType="end"/>
            </w:r>
          </w:hyperlink>
        </w:p>
        <w:p w14:paraId="45445FBD" w14:textId="0FB760C9" w:rsidR="00514939" w:rsidRDefault="00514939">
          <w:pPr>
            <w:pStyle w:val="Sumrio2"/>
            <w:tabs>
              <w:tab w:val="right" w:leader="dot" w:pos="9061"/>
            </w:tabs>
            <w:rPr>
              <w:rFonts w:asciiTheme="minorHAnsi" w:eastAsiaTheme="minorEastAsia" w:hAnsiTheme="minorHAnsi"/>
              <w:noProof/>
              <w:lang w:eastAsia="pt-BR"/>
            </w:rPr>
          </w:pPr>
          <w:hyperlink w:anchor="_Toc230204163" w:history="1">
            <w:r w:rsidRPr="004A0D71">
              <w:rPr>
                <w:rStyle w:val="Hyperlink"/>
                <w:rFonts w:eastAsia="Times New Roman"/>
                <w:noProof/>
                <w:lang w:eastAsia="pt-BR"/>
              </w:rPr>
              <w:t>13.2. Resultado no cenário mínimo contratual — sem receitas acessórias</w:t>
            </w:r>
            <w:r>
              <w:rPr>
                <w:noProof/>
                <w:webHidden/>
              </w:rPr>
              <w:tab/>
            </w:r>
            <w:r>
              <w:rPr>
                <w:noProof/>
                <w:webHidden/>
              </w:rPr>
              <w:fldChar w:fldCharType="begin"/>
            </w:r>
            <w:r>
              <w:rPr>
                <w:noProof/>
                <w:webHidden/>
              </w:rPr>
              <w:instrText xml:space="preserve"> PAGEREF _Toc230204163 \h </w:instrText>
            </w:r>
            <w:r>
              <w:rPr>
                <w:noProof/>
                <w:webHidden/>
              </w:rPr>
            </w:r>
            <w:r>
              <w:rPr>
                <w:noProof/>
                <w:webHidden/>
              </w:rPr>
              <w:fldChar w:fldCharType="separate"/>
            </w:r>
            <w:r w:rsidR="00B90978">
              <w:rPr>
                <w:noProof/>
                <w:webHidden/>
              </w:rPr>
              <w:t>129</w:t>
            </w:r>
            <w:r>
              <w:rPr>
                <w:noProof/>
                <w:webHidden/>
              </w:rPr>
              <w:fldChar w:fldCharType="end"/>
            </w:r>
          </w:hyperlink>
        </w:p>
        <w:p w14:paraId="6B19B963" w14:textId="2E7ADAE3" w:rsidR="00514939" w:rsidRDefault="00514939">
          <w:pPr>
            <w:pStyle w:val="Sumrio2"/>
            <w:tabs>
              <w:tab w:val="right" w:leader="dot" w:pos="9061"/>
            </w:tabs>
            <w:rPr>
              <w:rFonts w:asciiTheme="minorHAnsi" w:eastAsiaTheme="minorEastAsia" w:hAnsiTheme="minorHAnsi"/>
              <w:noProof/>
              <w:lang w:eastAsia="pt-BR"/>
            </w:rPr>
          </w:pPr>
          <w:hyperlink w:anchor="_Toc230204164" w:history="1">
            <w:r w:rsidRPr="004A0D71">
              <w:rPr>
                <w:rStyle w:val="Hyperlink"/>
                <w:rFonts w:eastAsia="Times New Roman"/>
                <w:noProof/>
                <w:lang w:eastAsia="pt-BR"/>
              </w:rPr>
              <w:t>13.3. Cobertura da dívida no cenário mínimo</w:t>
            </w:r>
            <w:r>
              <w:rPr>
                <w:noProof/>
                <w:webHidden/>
              </w:rPr>
              <w:tab/>
            </w:r>
            <w:r>
              <w:rPr>
                <w:noProof/>
                <w:webHidden/>
              </w:rPr>
              <w:fldChar w:fldCharType="begin"/>
            </w:r>
            <w:r>
              <w:rPr>
                <w:noProof/>
                <w:webHidden/>
              </w:rPr>
              <w:instrText xml:space="preserve"> PAGEREF _Toc230204164 \h </w:instrText>
            </w:r>
            <w:r>
              <w:rPr>
                <w:noProof/>
                <w:webHidden/>
              </w:rPr>
            </w:r>
            <w:r>
              <w:rPr>
                <w:noProof/>
                <w:webHidden/>
              </w:rPr>
              <w:fldChar w:fldCharType="separate"/>
            </w:r>
            <w:r w:rsidR="00B90978">
              <w:rPr>
                <w:noProof/>
                <w:webHidden/>
              </w:rPr>
              <w:t>130</w:t>
            </w:r>
            <w:r>
              <w:rPr>
                <w:noProof/>
                <w:webHidden/>
              </w:rPr>
              <w:fldChar w:fldCharType="end"/>
            </w:r>
          </w:hyperlink>
        </w:p>
        <w:p w14:paraId="54EA021A" w14:textId="450A8E12" w:rsidR="00514939" w:rsidRDefault="00514939">
          <w:pPr>
            <w:pStyle w:val="Sumrio2"/>
            <w:tabs>
              <w:tab w:val="right" w:leader="dot" w:pos="9061"/>
            </w:tabs>
            <w:rPr>
              <w:rFonts w:asciiTheme="minorHAnsi" w:eastAsiaTheme="minorEastAsia" w:hAnsiTheme="minorHAnsi"/>
              <w:noProof/>
              <w:lang w:eastAsia="pt-BR"/>
            </w:rPr>
          </w:pPr>
          <w:hyperlink w:anchor="_Toc230204165" w:history="1">
            <w:r w:rsidRPr="004A0D71">
              <w:rPr>
                <w:rStyle w:val="Hyperlink"/>
                <w:rFonts w:eastAsia="Times New Roman"/>
                <w:noProof/>
                <w:lang w:eastAsia="pt-BR"/>
              </w:rPr>
              <w:t>13.4. Resultado no cenário ampliado — com receitas acessórias</w:t>
            </w:r>
            <w:r>
              <w:rPr>
                <w:noProof/>
                <w:webHidden/>
              </w:rPr>
              <w:tab/>
            </w:r>
            <w:r>
              <w:rPr>
                <w:noProof/>
                <w:webHidden/>
              </w:rPr>
              <w:fldChar w:fldCharType="begin"/>
            </w:r>
            <w:r>
              <w:rPr>
                <w:noProof/>
                <w:webHidden/>
              </w:rPr>
              <w:instrText xml:space="preserve"> PAGEREF _Toc230204165 \h </w:instrText>
            </w:r>
            <w:r>
              <w:rPr>
                <w:noProof/>
                <w:webHidden/>
              </w:rPr>
            </w:r>
            <w:r>
              <w:rPr>
                <w:noProof/>
                <w:webHidden/>
              </w:rPr>
              <w:fldChar w:fldCharType="separate"/>
            </w:r>
            <w:r w:rsidR="00B90978">
              <w:rPr>
                <w:noProof/>
                <w:webHidden/>
              </w:rPr>
              <w:t>130</w:t>
            </w:r>
            <w:r>
              <w:rPr>
                <w:noProof/>
                <w:webHidden/>
              </w:rPr>
              <w:fldChar w:fldCharType="end"/>
            </w:r>
          </w:hyperlink>
        </w:p>
        <w:p w14:paraId="305F7218" w14:textId="32608120" w:rsidR="00514939" w:rsidRDefault="00514939">
          <w:pPr>
            <w:pStyle w:val="Sumrio2"/>
            <w:tabs>
              <w:tab w:val="right" w:leader="dot" w:pos="9061"/>
            </w:tabs>
            <w:rPr>
              <w:rFonts w:asciiTheme="minorHAnsi" w:eastAsiaTheme="minorEastAsia" w:hAnsiTheme="minorHAnsi"/>
              <w:noProof/>
              <w:lang w:eastAsia="pt-BR"/>
            </w:rPr>
          </w:pPr>
          <w:hyperlink w:anchor="_Toc230204166" w:history="1">
            <w:r w:rsidRPr="004A0D71">
              <w:rPr>
                <w:rStyle w:val="Hyperlink"/>
                <w:rFonts w:eastAsia="Times New Roman"/>
                <w:noProof/>
                <w:lang w:eastAsia="pt-BR"/>
              </w:rPr>
              <w:t>13.5. Cobertura da dívida no cenário ampliado</w:t>
            </w:r>
            <w:r>
              <w:rPr>
                <w:noProof/>
                <w:webHidden/>
              </w:rPr>
              <w:tab/>
            </w:r>
            <w:r>
              <w:rPr>
                <w:noProof/>
                <w:webHidden/>
              </w:rPr>
              <w:fldChar w:fldCharType="begin"/>
            </w:r>
            <w:r>
              <w:rPr>
                <w:noProof/>
                <w:webHidden/>
              </w:rPr>
              <w:instrText xml:space="preserve"> PAGEREF _Toc230204166 \h </w:instrText>
            </w:r>
            <w:r>
              <w:rPr>
                <w:noProof/>
                <w:webHidden/>
              </w:rPr>
            </w:r>
            <w:r>
              <w:rPr>
                <w:noProof/>
                <w:webHidden/>
              </w:rPr>
              <w:fldChar w:fldCharType="separate"/>
            </w:r>
            <w:r w:rsidR="00B90978">
              <w:rPr>
                <w:noProof/>
                <w:webHidden/>
              </w:rPr>
              <w:t>131</w:t>
            </w:r>
            <w:r>
              <w:rPr>
                <w:noProof/>
                <w:webHidden/>
              </w:rPr>
              <w:fldChar w:fldCharType="end"/>
            </w:r>
          </w:hyperlink>
        </w:p>
        <w:p w14:paraId="58A8C39B" w14:textId="18759E85" w:rsidR="00514939" w:rsidRDefault="00514939">
          <w:pPr>
            <w:pStyle w:val="Sumrio2"/>
            <w:tabs>
              <w:tab w:val="right" w:leader="dot" w:pos="9061"/>
            </w:tabs>
            <w:rPr>
              <w:rFonts w:asciiTheme="minorHAnsi" w:eastAsiaTheme="minorEastAsia" w:hAnsiTheme="minorHAnsi"/>
              <w:noProof/>
              <w:lang w:eastAsia="pt-BR"/>
            </w:rPr>
          </w:pPr>
          <w:hyperlink w:anchor="_Toc230204167" w:history="1">
            <w:r w:rsidRPr="004A0D71">
              <w:rPr>
                <w:rStyle w:val="Hyperlink"/>
                <w:rFonts w:eastAsia="Times New Roman"/>
                <w:noProof/>
                <w:lang w:eastAsia="pt-BR"/>
              </w:rPr>
              <w:t>13.6. Resultado comparativo — tarifa de R$ 95/t x R$ 140/t</w:t>
            </w:r>
            <w:r>
              <w:rPr>
                <w:noProof/>
                <w:webHidden/>
              </w:rPr>
              <w:tab/>
            </w:r>
            <w:r>
              <w:rPr>
                <w:noProof/>
                <w:webHidden/>
              </w:rPr>
              <w:fldChar w:fldCharType="begin"/>
            </w:r>
            <w:r>
              <w:rPr>
                <w:noProof/>
                <w:webHidden/>
              </w:rPr>
              <w:instrText xml:space="preserve"> PAGEREF _Toc230204167 \h </w:instrText>
            </w:r>
            <w:r>
              <w:rPr>
                <w:noProof/>
                <w:webHidden/>
              </w:rPr>
            </w:r>
            <w:r>
              <w:rPr>
                <w:noProof/>
                <w:webHidden/>
              </w:rPr>
              <w:fldChar w:fldCharType="separate"/>
            </w:r>
            <w:r w:rsidR="00B90978">
              <w:rPr>
                <w:noProof/>
                <w:webHidden/>
              </w:rPr>
              <w:t>132</w:t>
            </w:r>
            <w:r>
              <w:rPr>
                <w:noProof/>
                <w:webHidden/>
              </w:rPr>
              <w:fldChar w:fldCharType="end"/>
            </w:r>
          </w:hyperlink>
        </w:p>
        <w:p w14:paraId="5D64F6AF" w14:textId="3D4C017E" w:rsidR="00514939" w:rsidRDefault="00514939">
          <w:pPr>
            <w:pStyle w:val="Sumrio2"/>
            <w:tabs>
              <w:tab w:val="right" w:leader="dot" w:pos="9061"/>
            </w:tabs>
            <w:rPr>
              <w:rFonts w:asciiTheme="minorHAnsi" w:eastAsiaTheme="minorEastAsia" w:hAnsiTheme="minorHAnsi"/>
              <w:noProof/>
              <w:lang w:eastAsia="pt-BR"/>
            </w:rPr>
          </w:pPr>
          <w:hyperlink w:anchor="_Toc230204168" w:history="1">
            <w:r w:rsidRPr="004A0D71">
              <w:rPr>
                <w:rStyle w:val="Hyperlink"/>
                <w:rFonts w:eastAsia="Times New Roman"/>
                <w:noProof/>
                <w:lang w:eastAsia="pt-BR"/>
              </w:rPr>
              <w:t>13.7. Resultado com receitas acessórias nos dois cenários tarifários</w:t>
            </w:r>
            <w:r>
              <w:rPr>
                <w:noProof/>
                <w:webHidden/>
              </w:rPr>
              <w:tab/>
            </w:r>
            <w:r>
              <w:rPr>
                <w:noProof/>
                <w:webHidden/>
              </w:rPr>
              <w:fldChar w:fldCharType="begin"/>
            </w:r>
            <w:r>
              <w:rPr>
                <w:noProof/>
                <w:webHidden/>
              </w:rPr>
              <w:instrText xml:space="preserve"> PAGEREF _Toc230204168 \h </w:instrText>
            </w:r>
            <w:r>
              <w:rPr>
                <w:noProof/>
                <w:webHidden/>
              </w:rPr>
            </w:r>
            <w:r>
              <w:rPr>
                <w:noProof/>
                <w:webHidden/>
              </w:rPr>
              <w:fldChar w:fldCharType="separate"/>
            </w:r>
            <w:r w:rsidR="00B90978">
              <w:rPr>
                <w:noProof/>
                <w:webHidden/>
              </w:rPr>
              <w:t>133</w:t>
            </w:r>
            <w:r>
              <w:rPr>
                <w:noProof/>
                <w:webHidden/>
              </w:rPr>
              <w:fldChar w:fldCharType="end"/>
            </w:r>
          </w:hyperlink>
        </w:p>
        <w:p w14:paraId="05588E90" w14:textId="25DD2778" w:rsidR="00514939" w:rsidRDefault="00514939">
          <w:pPr>
            <w:pStyle w:val="Sumrio2"/>
            <w:tabs>
              <w:tab w:val="right" w:leader="dot" w:pos="9061"/>
            </w:tabs>
            <w:rPr>
              <w:rFonts w:asciiTheme="minorHAnsi" w:eastAsiaTheme="minorEastAsia" w:hAnsiTheme="minorHAnsi"/>
              <w:noProof/>
              <w:lang w:eastAsia="pt-BR"/>
            </w:rPr>
          </w:pPr>
          <w:hyperlink w:anchor="_Toc230204169" w:history="1">
            <w:r w:rsidRPr="004A0D71">
              <w:rPr>
                <w:rStyle w:val="Hyperlink"/>
                <w:rFonts w:eastAsia="Times New Roman"/>
                <w:noProof/>
                <w:lang w:eastAsia="pt-BR"/>
              </w:rPr>
              <w:t>13.8. Sensibilidade das receitas acessórias no resultado</w:t>
            </w:r>
            <w:r>
              <w:rPr>
                <w:noProof/>
                <w:webHidden/>
              </w:rPr>
              <w:tab/>
            </w:r>
            <w:r>
              <w:rPr>
                <w:noProof/>
                <w:webHidden/>
              </w:rPr>
              <w:fldChar w:fldCharType="begin"/>
            </w:r>
            <w:r>
              <w:rPr>
                <w:noProof/>
                <w:webHidden/>
              </w:rPr>
              <w:instrText xml:space="preserve"> PAGEREF _Toc230204169 \h </w:instrText>
            </w:r>
            <w:r>
              <w:rPr>
                <w:noProof/>
                <w:webHidden/>
              </w:rPr>
            </w:r>
            <w:r>
              <w:rPr>
                <w:noProof/>
                <w:webHidden/>
              </w:rPr>
              <w:fldChar w:fldCharType="separate"/>
            </w:r>
            <w:r w:rsidR="00B90978">
              <w:rPr>
                <w:noProof/>
                <w:webHidden/>
              </w:rPr>
              <w:t>133</w:t>
            </w:r>
            <w:r>
              <w:rPr>
                <w:noProof/>
                <w:webHidden/>
              </w:rPr>
              <w:fldChar w:fldCharType="end"/>
            </w:r>
          </w:hyperlink>
        </w:p>
        <w:p w14:paraId="3161EEE0" w14:textId="21C23AFB" w:rsidR="00514939" w:rsidRDefault="00514939">
          <w:pPr>
            <w:pStyle w:val="Sumrio2"/>
            <w:tabs>
              <w:tab w:val="right" w:leader="dot" w:pos="9061"/>
            </w:tabs>
            <w:rPr>
              <w:rFonts w:asciiTheme="minorHAnsi" w:eastAsiaTheme="minorEastAsia" w:hAnsiTheme="minorHAnsi"/>
              <w:noProof/>
              <w:lang w:eastAsia="pt-BR"/>
            </w:rPr>
          </w:pPr>
          <w:hyperlink w:anchor="_Toc230204170" w:history="1">
            <w:r w:rsidRPr="004A0D71">
              <w:rPr>
                <w:rStyle w:val="Hyperlink"/>
                <w:rFonts w:eastAsia="Times New Roman"/>
                <w:noProof/>
                <w:lang w:eastAsia="pt-BR"/>
              </w:rPr>
              <w:t>13.9. Margem operacional</w:t>
            </w:r>
            <w:r>
              <w:rPr>
                <w:noProof/>
                <w:webHidden/>
              </w:rPr>
              <w:tab/>
            </w:r>
            <w:r>
              <w:rPr>
                <w:noProof/>
                <w:webHidden/>
              </w:rPr>
              <w:fldChar w:fldCharType="begin"/>
            </w:r>
            <w:r>
              <w:rPr>
                <w:noProof/>
                <w:webHidden/>
              </w:rPr>
              <w:instrText xml:space="preserve"> PAGEREF _Toc230204170 \h </w:instrText>
            </w:r>
            <w:r>
              <w:rPr>
                <w:noProof/>
                <w:webHidden/>
              </w:rPr>
            </w:r>
            <w:r>
              <w:rPr>
                <w:noProof/>
                <w:webHidden/>
              </w:rPr>
              <w:fldChar w:fldCharType="separate"/>
            </w:r>
            <w:r w:rsidR="00B90978">
              <w:rPr>
                <w:noProof/>
                <w:webHidden/>
              </w:rPr>
              <w:t>134</w:t>
            </w:r>
            <w:r>
              <w:rPr>
                <w:noProof/>
                <w:webHidden/>
              </w:rPr>
              <w:fldChar w:fldCharType="end"/>
            </w:r>
          </w:hyperlink>
        </w:p>
        <w:p w14:paraId="1515C292" w14:textId="25280AD2" w:rsidR="00514939" w:rsidRDefault="00514939">
          <w:pPr>
            <w:pStyle w:val="Sumrio2"/>
            <w:tabs>
              <w:tab w:val="right" w:leader="dot" w:pos="9061"/>
            </w:tabs>
            <w:rPr>
              <w:rFonts w:asciiTheme="minorHAnsi" w:eastAsiaTheme="minorEastAsia" w:hAnsiTheme="minorHAnsi"/>
              <w:noProof/>
              <w:lang w:eastAsia="pt-BR"/>
            </w:rPr>
          </w:pPr>
          <w:hyperlink w:anchor="_Toc230204171" w:history="1">
            <w:r w:rsidRPr="004A0D71">
              <w:rPr>
                <w:rStyle w:val="Hyperlink"/>
                <w:rFonts w:eastAsia="Times New Roman"/>
                <w:noProof/>
                <w:lang w:eastAsia="pt-BR"/>
              </w:rPr>
              <w:t>13.10. Resultado anual consolidado</w:t>
            </w:r>
            <w:r>
              <w:rPr>
                <w:noProof/>
                <w:webHidden/>
              </w:rPr>
              <w:tab/>
            </w:r>
            <w:r>
              <w:rPr>
                <w:noProof/>
                <w:webHidden/>
              </w:rPr>
              <w:fldChar w:fldCharType="begin"/>
            </w:r>
            <w:r>
              <w:rPr>
                <w:noProof/>
                <w:webHidden/>
              </w:rPr>
              <w:instrText xml:space="preserve"> PAGEREF _Toc230204171 \h </w:instrText>
            </w:r>
            <w:r>
              <w:rPr>
                <w:noProof/>
                <w:webHidden/>
              </w:rPr>
            </w:r>
            <w:r>
              <w:rPr>
                <w:noProof/>
                <w:webHidden/>
              </w:rPr>
              <w:fldChar w:fldCharType="separate"/>
            </w:r>
            <w:r w:rsidR="00B90978">
              <w:rPr>
                <w:noProof/>
                <w:webHidden/>
              </w:rPr>
              <w:t>135</w:t>
            </w:r>
            <w:r>
              <w:rPr>
                <w:noProof/>
                <w:webHidden/>
              </w:rPr>
              <w:fldChar w:fldCharType="end"/>
            </w:r>
          </w:hyperlink>
        </w:p>
        <w:p w14:paraId="7ED6218B" w14:textId="3DCDC2D2" w:rsidR="00514939" w:rsidRDefault="00514939">
          <w:pPr>
            <w:pStyle w:val="Sumrio2"/>
            <w:tabs>
              <w:tab w:val="right" w:leader="dot" w:pos="9061"/>
            </w:tabs>
            <w:rPr>
              <w:rFonts w:asciiTheme="minorHAnsi" w:eastAsiaTheme="minorEastAsia" w:hAnsiTheme="minorHAnsi"/>
              <w:noProof/>
              <w:lang w:eastAsia="pt-BR"/>
            </w:rPr>
          </w:pPr>
          <w:hyperlink w:anchor="_Toc230204172" w:history="1">
            <w:r w:rsidRPr="004A0D71">
              <w:rPr>
                <w:rStyle w:val="Hyperlink"/>
                <w:rFonts w:eastAsia="Times New Roman"/>
                <w:noProof/>
                <w:lang w:eastAsia="pt-BR"/>
              </w:rPr>
              <w:t>13.11. Leitura crítica do resultado</w:t>
            </w:r>
            <w:r>
              <w:rPr>
                <w:noProof/>
                <w:webHidden/>
              </w:rPr>
              <w:tab/>
            </w:r>
            <w:r>
              <w:rPr>
                <w:noProof/>
                <w:webHidden/>
              </w:rPr>
              <w:fldChar w:fldCharType="begin"/>
            </w:r>
            <w:r>
              <w:rPr>
                <w:noProof/>
                <w:webHidden/>
              </w:rPr>
              <w:instrText xml:space="preserve"> PAGEREF _Toc230204172 \h </w:instrText>
            </w:r>
            <w:r>
              <w:rPr>
                <w:noProof/>
                <w:webHidden/>
              </w:rPr>
            </w:r>
            <w:r>
              <w:rPr>
                <w:noProof/>
                <w:webHidden/>
              </w:rPr>
              <w:fldChar w:fldCharType="separate"/>
            </w:r>
            <w:r w:rsidR="00B90978">
              <w:rPr>
                <w:noProof/>
                <w:webHidden/>
              </w:rPr>
              <w:t>136</w:t>
            </w:r>
            <w:r>
              <w:rPr>
                <w:noProof/>
                <w:webHidden/>
              </w:rPr>
              <w:fldChar w:fldCharType="end"/>
            </w:r>
          </w:hyperlink>
        </w:p>
        <w:p w14:paraId="77D1CEC6" w14:textId="3883FDAA" w:rsidR="00514939" w:rsidRDefault="00514939">
          <w:pPr>
            <w:pStyle w:val="Sumrio2"/>
            <w:tabs>
              <w:tab w:val="right" w:leader="dot" w:pos="9061"/>
            </w:tabs>
            <w:rPr>
              <w:rFonts w:asciiTheme="minorHAnsi" w:eastAsiaTheme="minorEastAsia" w:hAnsiTheme="minorHAnsi"/>
              <w:noProof/>
              <w:lang w:eastAsia="pt-BR"/>
            </w:rPr>
          </w:pPr>
          <w:hyperlink w:anchor="_Toc230204173" w:history="1">
            <w:r w:rsidRPr="004A0D71">
              <w:rPr>
                <w:rStyle w:val="Hyperlink"/>
                <w:rFonts w:eastAsia="Times New Roman"/>
                <w:noProof/>
                <w:lang w:eastAsia="pt-BR"/>
              </w:rPr>
              <w:t>13.12. Conclusão do tópico</w:t>
            </w:r>
            <w:r>
              <w:rPr>
                <w:noProof/>
                <w:webHidden/>
              </w:rPr>
              <w:tab/>
            </w:r>
            <w:r>
              <w:rPr>
                <w:noProof/>
                <w:webHidden/>
              </w:rPr>
              <w:fldChar w:fldCharType="begin"/>
            </w:r>
            <w:r>
              <w:rPr>
                <w:noProof/>
                <w:webHidden/>
              </w:rPr>
              <w:instrText xml:space="preserve"> PAGEREF _Toc230204173 \h </w:instrText>
            </w:r>
            <w:r>
              <w:rPr>
                <w:noProof/>
                <w:webHidden/>
              </w:rPr>
            </w:r>
            <w:r>
              <w:rPr>
                <w:noProof/>
                <w:webHidden/>
              </w:rPr>
              <w:fldChar w:fldCharType="separate"/>
            </w:r>
            <w:r w:rsidR="00B90978">
              <w:rPr>
                <w:noProof/>
                <w:webHidden/>
              </w:rPr>
              <w:t>136</w:t>
            </w:r>
            <w:r>
              <w:rPr>
                <w:noProof/>
                <w:webHidden/>
              </w:rPr>
              <w:fldChar w:fldCharType="end"/>
            </w:r>
          </w:hyperlink>
        </w:p>
        <w:p w14:paraId="46F676BE" w14:textId="3C485134" w:rsidR="00514939" w:rsidRDefault="00514939">
          <w:pPr>
            <w:pStyle w:val="Sumrio1"/>
            <w:tabs>
              <w:tab w:val="right" w:leader="dot" w:pos="9061"/>
            </w:tabs>
            <w:rPr>
              <w:rFonts w:asciiTheme="minorHAnsi" w:eastAsiaTheme="minorEastAsia" w:hAnsiTheme="minorHAnsi"/>
              <w:noProof/>
              <w:lang w:eastAsia="pt-BR"/>
            </w:rPr>
          </w:pPr>
          <w:hyperlink w:anchor="_Toc230204174" w:history="1">
            <w:r w:rsidRPr="004A0D71">
              <w:rPr>
                <w:rStyle w:val="Hyperlink"/>
                <w:rFonts w:eastAsia="Times New Roman"/>
                <w:noProof/>
                <w:lang w:eastAsia="pt-BR"/>
              </w:rPr>
              <w:t>14. Análise de Sensibilidade e Cenários de Estresse</w:t>
            </w:r>
            <w:r>
              <w:rPr>
                <w:noProof/>
                <w:webHidden/>
              </w:rPr>
              <w:tab/>
            </w:r>
            <w:r>
              <w:rPr>
                <w:noProof/>
                <w:webHidden/>
              </w:rPr>
              <w:fldChar w:fldCharType="begin"/>
            </w:r>
            <w:r>
              <w:rPr>
                <w:noProof/>
                <w:webHidden/>
              </w:rPr>
              <w:instrText xml:space="preserve"> PAGEREF _Toc230204174 \h </w:instrText>
            </w:r>
            <w:r>
              <w:rPr>
                <w:noProof/>
                <w:webHidden/>
              </w:rPr>
            </w:r>
            <w:r>
              <w:rPr>
                <w:noProof/>
                <w:webHidden/>
              </w:rPr>
              <w:fldChar w:fldCharType="separate"/>
            </w:r>
            <w:r w:rsidR="00B90978">
              <w:rPr>
                <w:noProof/>
                <w:webHidden/>
              </w:rPr>
              <w:t>138</w:t>
            </w:r>
            <w:r>
              <w:rPr>
                <w:noProof/>
                <w:webHidden/>
              </w:rPr>
              <w:fldChar w:fldCharType="end"/>
            </w:r>
          </w:hyperlink>
        </w:p>
        <w:p w14:paraId="783637C1" w14:textId="292D8943" w:rsidR="00514939" w:rsidRDefault="00514939">
          <w:pPr>
            <w:pStyle w:val="Sumrio2"/>
            <w:tabs>
              <w:tab w:val="right" w:leader="dot" w:pos="9061"/>
            </w:tabs>
            <w:rPr>
              <w:rFonts w:asciiTheme="minorHAnsi" w:eastAsiaTheme="minorEastAsia" w:hAnsiTheme="minorHAnsi"/>
              <w:noProof/>
              <w:lang w:eastAsia="pt-BR"/>
            </w:rPr>
          </w:pPr>
          <w:hyperlink w:anchor="_Toc230204175" w:history="1">
            <w:r w:rsidRPr="004A0D71">
              <w:rPr>
                <w:rStyle w:val="Hyperlink"/>
                <w:rFonts w:eastAsia="Times New Roman"/>
                <w:noProof/>
                <w:lang w:eastAsia="pt-BR"/>
              </w:rPr>
              <w:t>14.1. Finalidade da análise de sensibilidade</w:t>
            </w:r>
            <w:r>
              <w:rPr>
                <w:noProof/>
                <w:webHidden/>
              </w:rPr>
              <w:tab/>
            </w:r>
            <w:r>
              <w:rPr>
                <w:noProof/>
                <w:webHidden/>
              </w:rPr>
              <w:fldChar w:fldCharType="begin"/>
            </w:r>
            <w:r>
              <w:rPr>
                <w:noProof/>
                <w:webHidden/>
              </w:rPr>
              <w:instrText xml:space="preserve"> PAGEREF _Toc230204175 \h </w:instrText>
            </w:r>
            <w:r>
              <w:rPr>
                <w:noProof/>
                <w:webHidden/>
              </w:rPr>
            </w:r>
            <w:r>
              <w:rPr>
                <w:noProof/>
                <w:webHidden/>
              </w:rPr>
              <w:fldChar w:fldCharType="separate"/>
            </w:r>
            <w:r w:rsidR="00B90978">
              <w:rPr>
                <w:noProof/>
                <w:webHidden/>
              </w:rPr>
              <w:t>138</w:t>
            </w:r>
            <w:r>
              <w:rPr>
                <w:noProof/>
                <w:webHidden/>
              </w:rPr>
              <w:fldChar w:fldCharType="end"/>
            </w:r>
          </w:hyperlink>
        </w:p>
        <w:p w14:paraId="5305D40F" w14:textId="014D64F5" w:rsidR="00514939" w:rsidRDefault="00514939">
          <w:pPr>
            <w:pStyle w:val="Sumrio2"/>
            <w:tabs>
              <w:tab w:val="right" w:leader="dot" w:pos="9061"/>
            </w:tabs>
            <w:rPr>
              <w:rFonts w:asciiTheme="minorHAnsi" w:eastAsiaTheme="minorEastAsia" w:hAnsiTheme="minorHAnsi"/>
              <w:noProof/>
              <w:lang w:eastAsia="pt-BR"/>
            </w:rPr>
          </w:pPr>
          <w:hyperlink w:anchor="_Toc230204176" w:history="1">
            <w:r w:rsidRPr="004A0D71">
              <w:rPr>
                <w:rStyle w:val="Hyperlink"/>
                <w:rFonts w:eastAsia="Times New Roman"/>
                <w:noProof/>
                <w:lang w:eastAsia="pt-BR"/>
              </w:rPr>
              <w:t>14.2. Variáveis testadas</w:t>
            </w:r>
            <w:r>
              <w:rPr>
                <w:noProof/>
                <w:webHidden/>
              </w:rPr>
              <w:tab/>
            </w:r>
            <w:r>
              <w:rPr>
                <w:noProof/>
                <w:webHidden/>
              </w:rPr>
              <w:fldChar w:fldCharType="begin"/>
            </w:r>
            <w:r>
              <w:rPr>
                <w:noProof/>
                <w:webHidden/>
              </w:rPr>
              <w:instrText xml:space="preserve"> PAGEREF _Toc230204176 \h </w:instrText>
            </w:r>
            <w:r>
              <w:rPr>
                <w:noProof/>
                <w:webHidden/>
              </w:rPr>
            </w:r>
            <w:r>
              <w:rPr>
                <w:noProof/>
                <w:webHidden/>
              </w:rPr>
              <w:fldChar w:fldCharType="separate"/>
            </w:r>
            <w:r w:rsidR="00B90978">
              <w:rPr>
                <w:noProof/>
                <w:webHidden/>
              </w:rPr>
              <w:t>139</w:t>
            </w:r>
            <w:r>
              <w:rPr>
                <w:noProof/>
                <w:webHidden/>
              </w:rPr>
              <w:fldChar w:fldCharType="end"/>
            </w:r>
          </w:hyperlink>
        </w:p>
        <w:p w14:paraId="21A5217D" w14:textId="160A4A7F" w:rsidR="00514939" w:rsidRDefault="00514939">
          <w:pPr>
            <w:pStyle w:val="Sumrio2"/>
            <w:tabs>
              <w:tab w:val="right" w:leader="dot" w:pos="9061"/>
            </w:tabs>
            <w:rPr>
              <w:rFonts w:asciiTheme="minorHAnsi" w:eastAsiaTheme="minorEastAsia" w:hAnsiTheme="minorHAnsi"/>
              <w:noProof/>
              <w:lang w:eastAsia="pt-BR"/>
            </w:rPr>
          </w:pPr>
          <w:hyperlink w:anchor="_Toc230204177" w:history="1">
            <w:r w:rsidRPr="004A0D71">
              <w:rPr>
                <w:rStyle w:val="Hyperlink"/>
                <w:rFonts w:eastAsia="Times New Roman"/>
                <w:noProof/>
                <w:lang w:eastAsia="pt-BR"/>
              </w:rPr>
              <w:t>14.3. Sensibilidade da tarifa de destinação de RSU</w:t>
            </w:r>
            <w:r>
              <w:rPr>
                <w:noProof/>
                <w:webHidden/>
              </w:rPr>
              <w:tab/>
            </w:r>
            <w:r>
              <w:rPr>
                <w:noProof/>
                <w:webHidden/>
              </w:rPr>
              <w:fldChar w:fldCharType="begin"/>
            </w:r>
            <w:r>
              <w:rPr>
                <w:noProof/>
                <w:webHidden/>
              </w:rPr>
              <w:instrText xml:space="preserve"> PAGEREF _Toc230204177 \h </w:instrText>
            </w:r>
            <w:r>
              <w:rPr>
                <w:noProof/>
                <w:webHidden/>
              </w:rPr>
            </w:r>
            <w:r>
              <w:rPr>
                <w:noProof/>
                <w:webHidden/>
              </w:rPr>
              <w:fldChar w:fldCharType="separate"/>
            </w:r>
            <w:r w:rsidR="00B90978">
              <w:rPr>
                <w:noProof/>
                <w:webHidden/>
              </w:rPr>
              <w:t>139</w:t>
            </w:r>
            <w:r>
              <w:rPr>
                <w:noProof/>
                <w:webHidden/>
              </w:rPr>
              <w:fldChar w:fldCharType="end"/>
            </w:r>
          </w:hyperlink>
        </w:p>
        <w:p w14:paraId="57026A50" w14:textId="4C4F41A9" w:rsidR="00514939" w:rsidRDefault="00514939">
          <w:pPr>
            <w:pStyle w:val="Sumrio2"/>
            <w:tabs>
              <w:tab w:val="right" w:leader="dot" w:pos="9061"/>
            </w:tabs>
            <w:rPr>
              <w:rFonts w:asciiTheme="minorHAnsi" w:eastAsiaTheme="minorEastAsia" w:hAnsiTheme="minorHAnsi"/>
              <w:noProof/>
              <w:lang w:eastAsia="pt-BR"/>
            </w:rPr>
          </w:pPr>
          <w:hyperlink w:anchor="_Toc230204178" w:history="1">
            <w:r w:rsidRPr="004A0D71">
              <w:rPr>
                <w:rStyle w:val="Hyperlink"/>
                <w:rFonts w:eastAsia="Times New Roman"/>
                <w:noProof/>
                <w:lang w:eastAsia="pt-BR"/>
              </w:rPr>
              <w:t>14.4. Sensibilidade das receitas acessórias</w:t>
            </w:r>
            <w:r>
              <w:rPr>
                <w:noProof/>
                <w:webHidden/>
              </w:rPr>
              <w:tab/>
            </w:r>
            <w:r>
              <w:rPr>
                <w:noProof/>
                <w:webHidden/>
              </w:rPr>
              <w:fldChar w:fldCharType="begin"/>
            </w:r>
            <w:r>
              <w:rPr>
                <w:noProof/>
                <w:webHidden/>
              </w:rPr>
              <w:instrText xml:space="preserve"> PAGEREF _Toc230204178 \h </w:instrText>
            </w:r>
            <w:r>
              <w:rPr>
                <w:noProof/>
                <w:webHidden/>
              </w:rPr>
            </w:r>
            <w:r>
              <w:rPr>
                <w:noProof/>
                <w:webHidden/>
              </w:rPr>
              <w:fldChar w:fldCharType="separate"/>
            </w:r>
            <w:r w:rsidR="00B90978">
              <w:rPr>
                <w:noProof/>
                <w:webHidden/>
              </w:rPr>
              <w:t>140</w:t>
            </w:r>
            <w:r>
              <w:rPr>
                <w:noProof/>
                <w:webHidden/>
              </w:rPr>
              <w:fldChar w:fldCharType="end"/>
            </w:r>
          </w:hyperlink>
        </w:p>
        <w:p w14:paraId="12B557DB" w14:textId="12305B09" w:rsidR="00514939" w:rsidRDefault="00514939">
          <w:pPr>
            <w:pStyle w:val="Sumrio2"/>
            <w:tabs>
              <w:tab w:val="right" w:leader="dot" w:pos="9061"/>
            </w:tabs>
            <w:rPr>
              <w:rFonts w:asciiTheme="minorHAnsi" w:eastAsiaTheme="minorEastAsia" w:hAnsiTheme="minorHAnsi"/>
              <w:noProof/>
              <w:lang w:eastAsia="pt-BR"/>
            </w:rPr>
          </w:pPr>
          <w:hyperlink w:anchor="_Toc230204179" w:history="1">
            <w:r w:rsidRPr="004A0D71">
              <w:rPr>
                <w:rStyle w:val="Hyperlink"/>
                <w:rFonts w:eastAsia="Times New Roman"/>
                <w:noProof/>
                <w:lang w:eastAsia="pt-BR"/>
              </w:rPr>
              <w:t>14.5. Sensibilidade da taxa de juros</w:t>
            </w:r>
            <w:r>
              <w:rPr>
                <w:noProof/>
                <w:webHidden/>
              </w:rPr>
              <w:tab/>
            </w:r>
            <w:r>
              <w:rPr>
                <w:noProof/>
                <w:webHidden/>
              </w:rPr>
              <w:fldChar w:fldCharType="begin"/>
            </w:r>
            <w:r>
              <w:rPr>
                <w:noProof/>
                <w:webHidden/>
              </w:rPr>
              <w:instrText xml:space="preserve"> PAGEREF _Toc230204179 \h </w:instrText>
            </w:r>
            <w:r>
              <w:rPr>
                <w:noProof/>
                <w:webHidden/>
              </w:rPr>
            </w:r>
            <w:r>
              <w:rPr>
                <w:noProof/>
                <w:webHidden/>
              </w:rPr>
              <w:fldChar w:fldCharType="separate"/>
            </w:r>
            <w:r w:rsidR="00B90978">
              <w:rPr>
                <w:noProof/>
                <w:webHidden/>
              </w:rPr>
              <w:t>141</w:t>
            </w:r>
            <w:r>
              <w:rPr>
                <w:noProof/>
                <w:webHidden/>
              </w:rPr>
              <w:fldChar w:fldCharType="end"/>
            </w:r>
          </w:hyperlink>
        </w:p>
        <w:p w14:paraId="51F82966" w14:textId="65E4780A" w:rsidR="00514939" w:rsidRDefault="00514939">
          <w:pPr>
            <w:pStyle w:val="Sumrio2"/>
            <w:tabs>
              <w:tab w:val="right" w:leader="dot" w:pos="9061"/>
            </w:tabs>
            <w:rPr>
              <w:rFonts w:asciiTheme="minorHAnsi" w:eastAsiaTheme="minorEastAsia" w:hAnsiTheme="minorHAnsi"/>
              <w:noProof/>
              <w:lang w:eastAsia="pt-BR"/>
            </w:rPr>
          </w:pPr>
          <w:hyperlink w:anchor="_Toc230204180" w:history="1">
            <w:r w:rsidRPr="004A0D71">
              <w:rPr>
                <w:rStyle w:val="Hyperlink"/>
                <w:rFonts w:eastAsia="Times New Roman"/>
                <w:noProof/>
                <w:lang w:eastAsia="pt-BR"/>
              </w:rPr>
              <w:t>14.6. Sensibilidade do OPEX</w:t>
            </w:r>
            <w:r>
              <w:rPr>
                <w:noProof/>
                <w:webHidden/>
              </w:rPr>
              <w:tab/>
            </w:r>
            <w:r>
              <w:rPr>
                <w:noProof/>
                <w:webHidden/>
              </w:rPr>
              <w:fldChar w:fldCharType="begin"/>
            </w:r>
            <w:r>
              <w:rPr>
                <w:noProof/>
                <w:webHidden/>
              </w:rPr>
              <w:instrText xml:space="preserve"> PAGEREF _Toc230204180 \h </w:instrText>
            </w:r>
            <w:r>
              <w:rPr>
                <w:noProof/>
                <w:webHidden/>
              </w:rPr>
            </w:r>
            <w:r>
              <w:rPr>
                <w:noProof/>
                <w:webHidden/>
              </w:rPr>
              <w:fldChar w:fldCharType="separate"/>
            </w:r>
            <w:r w:rsidR="00B90978">
              <w:rPr>
                <w:noProof/>
                <w:webHidden/>
              </w:rPr>
              <w:t>142</w:t>
            </w:r>
            <w:r>
              <w:rPr>
                <w:noProof/>
                <w:webHidden/>
              </w:rPr>
              <w:fldChar w:fldCharType="end"/>
            </w:r>
          </w:hyperlink>
        </w:p>
        <w:p w14:paraId="38591AC7" w14:textId="47686AE7" w:rsidR="00514939" w:rsidRDefault="00514939">
          <w:pPr>
            <w:pStyle w:val="Sumrio2"/>
            <w:tabs>
              <w:tab w:val="right" w:leader="dot" w:pos="9061"/>
            </w:tabs>
            <w:rPr>
              <w:rFonts w:asciiTheme="minorHAnsi" w:eastAsiaTheme="minorEastAsia" w:hAnsiTheme="minorHAnsi"/>
              <w:noProof/>
              <w:lang w:eastAsia="pt-BR"/>
            </w:rPr>
          </w:pPr>
          <w:hyperlink w:anchor="_Toc230204181" w:history="1">
            <w:r w:rsidRPr="004A0D71">
              <w:rPr>
                <w:rStyle w:val="Hyperlink"/>
                <w:rFonts w:eastAsia="Times New Roman"/>
                <w:noProof/>
                <w:lang w:eastAsia="pt-BR"/>
              </w:rPr>
              <w:t>14.7. Sensibilidade do CAPEX</w:t>
            </w:r>
            <w:r>
              <w:rPr>
                <w:noProof/>
                <w:webHidden/>
              </w:rPr>
              <w:tab/>
            </w:r>
            <w:r>
              <w:rPr>
                <w:noProof/>
                <w:webHidden/>
              </w:rPr>
              <w:fldChar w:fldCharType="begin"/>
            </w:r>
            <w:r>
              <w:rPr>
                <w:noProof/>
                <w:webHidden/>
              </w:rPr>
              <w:instrText xml:space="preserve"> PAGEREF _Toc230204181 \h </w:instrText>
            </w:r>
            <w:r>
              <w:rPr>
                <w:noProof/>
                <w:webHidden/>
              </w:rPr>
            </w:r>
            <w:r>
              <w:rPr>
                <w:noProof/>
                <w:webHidden/>
              </w:rPr>
              <w:fldChar w:fldCharType="separate"/>
            </w:r>
            <w:r w:rsidR="00B90978">
              <w:rPr>
                <w:noProof/>
                <w:webHidden/>
              </w:rPr>
              <w:t>143</w:t>
            </w:r>
            <w:r>
              <w:rPr>
                <w:noProof/>
                <w:webHidden/>
              </w:rPr>
              <w:fldChar w:fldCharType="end"/>
            </w:r>
          </w:hyperlink>
        </w:p>
        <w:p w14:paraId="4D650D46" w14:textId="43F91D07" w:rsidR="00514939" w:rsidRDefault="00514939">
          <w:pPr>
            <w:pStyle w:val="Sumrio2"/>
            <w:tabs>
              <w:tab w:val="right" w:leader="dot" w:pos="9061"/>
            </w:tabs>
            <w:rPr>
              <w:rFonts w:asciiTheme="minorHAnsi" w:eastAsiaTheme="minorEastAsia" w:hAnsiTheme="minorHAnsi"/>
              <w:noProof/>
              <w:lang w:eastAsia="pt-BR"/>
            </w:rPr>
          </w:pPr>
          <w:hyperlink w:anchor="_Toc230204182" w:history="1">
            <w:r w:rsidRPr="004A0D71">
              <w:rPr>
                <w:rStyle w:val="Hyperlink"/>
                <w:rFonts w:eastAsia="Times New Roman"/>
                <w:noProof/>
                <w:lang w:eastAsia="pt-BR"/>
              </w:rPr>
              <w:t>14.8. Sensibilidade da remuneração energética</w:t>
            </w:r>
            <w:r>
              <w:rPr>
                <w:noProof/>
                <w:webHidden/>
              </w:rPr>
              <w:tab/>
            </w:r>
            <w:r>
              <w:rPr>
                <w:noProof/>
                <w:webHidden/>
              </w:rPr>
              <w:fldChar w:fldCharType="begin"/>
            </w:r>
            <w:r>
              <w:rPr>
                <w:noProof/>
                <w:webHidden/>
              </w:rPr>
              <w:instrText xml:space="preserve"> PAGEREF _Toc230204182 \h </w:instrText>
            </w:r>
            <w:r>
              <w:rPr>
                <w:noProof/>
                <w:webHidden/>
              </w:rPr>
            </w:r>
            <w:r>
              <w:rPr>
                <w:noProof/>
                <w:webHidden/>
              </w:rPr>
              <w:fldChar w:fldCharType="separate"/>
            </w:r>
            <w:r w:rsidR="00B90978">
              <w:rPr>
                <w:noProof/>
                <w:webHidden/>
              </w:rPr>
              <w:t>144</w:t>
            </w:r>
            <w:r>
              <w:rPr>
                <w:noProof/>
                <w:webHidden/>
              </w:rPr>
              <w:fldChar w:fldCharType="end"/>
            </w:r>
          </w:hyperlink>
        </w:p>
        <w:p w14:paraId="38BB0D1F" w14:textId="6C83464E" w:rsidR="00514939" w:rsidRDefault="00514939">
          <w:pPr>
            <w:pStyle w:val="Sumrio2"/>
            <w:tabs>
              <w:tab w:val="right" w:leader="dot" w:pos="9061"/>
            </w:tabs>
            <w:rPr>
              <w:rFonts w:asciiTheme="minorHAnsi" w:eastAsiaTheme="minorEastAsia" w:hAnsiTheme="minorHAnsi"/>
              <w:noProof/>
              <w:lang w:eastAsia="pt-BR"/>
            </w:rPr>
          </w:pPr>
          <w:hyperlink w:anchor="_Toc230204183" w:history="1">
            <w:r w:rsidRPr="004A0D71">
              <w:rPr>
                <w:rStyle w:val="Hyperlink"/>
                <w:rFonts w:eastAsia="Times New Roman"/>
                <w:noProof/>
                <w:lang w:eastAsia="pt-BR"/>
              </w:rPr>
              <w:t>14.9. Sensibilidade do volume efetivo processado</w:t>
            </w:r>
            <w:r>
              <w:rPr>
                <w:noProof/>
                <w:webHidden/>
              </w:rPr>
              <w:tab/>
            </w:r>
            <w:r>
              <w:rPr>
                <w:noProof/>
                <w:webHidden/>
              </w:rPr>
              <w:fldChar w:fldCharType="begin"/>
            </w:r>
            <w:r>
              <w:rPr>
                <w:noProof/>
                <w:webHidden/>
              </w:rPr>
              <w:instrText xml:space="preserve"> PAGEREF _Toc230204183 \h </w:instrText>
            </w:r>
            <w:r>
              <w:rPr>
                <w:noProof/>
                <w:webHidden/>
              </w:rPr>
            </w:r>
            <w:r>
              <w:rPr>
                <w:noProof/>
                <w:webHidden/>
              </w:rPr>
              <w:fldChar w:fldCharType="separate"/>
            </w:r>
            <w:r w:rsidR="00B90978">
              <w:rPr>
                <w:noProof/>
                <w:webHidden/>
              </w:rPr>
              <w:t>144</w:t>
            </w:r>
            <w:r>
              <w:rPr>
                <w:noProof/>
                <w:webHidden/>
              </w:rPr>
              <w:fldChar w:fldCharType="end"/>
            </w:r>
          </w:hyperlink>
        </w:p>
        <w:p w14:paraId="7AF33E2B" w14:textId="7172CE7C" w:rsidR="00514939" w:rsidRDefault="00514939">
          <w:pPr>
            <w:pStyle w:val="Sumrio2"/>
            <w:tabs>
              <w:tab w:val="right" w:leader="dot" w:pos="9061"/>
            </w:tabs>
            <w:rPr>
              <w:rFonts w:asciiTheme="minorHAnsi" w:eastAsiaTheme="minorEastAsia" w:hAnsiTheme="minorHAnsi"/>
              <w:noProof/>
              <w:lang w:eastAsia="pt-BR"/>
            </w:rPr>
          </w:pPr>
          <w:hyperlink w:anchor="_Toc230204184" w:history="1">
            <w:r w:rsidRPr="004A0D71">
              <w:rPr>
                <w:rStyle w:val="Hyperlink"/>
                <w:rFonts w:eastAsia="Times New Roman"/>
                <w:noProof/>
                <w:lang w:eastAsia="pt-BR"/>
              </w:rPr>
              <w:t>14.10. Cenário de estresse combinado</w:t>
            </w:r>
            <w:r>
              <w:rPr>
                <w:noProof/>
                <w:webHidden/>
              </w:rPr>
              <w:tab/>
            </w:r>
            <w:r>
              <w:rPr>
                <w:noProof/>
                <w:webHidden/>
              </w:rPr>
              <w:fldChar w:fldCharType="begin"/>
            </w:r>
            <w:r>
              <w:rPr>
                <w:noProof/>
                <w:webHidden/>
              </w:rPr>
              <w:instrText xml:space="preserve"> PAGEREF _Toc230204184 \h </w:instrText>
            </w:r>
            <w:r>
              <w:rPr>
                <w:noProof/>
                <w:webHidden/>
              </w:rPr>
            </w:r>
            <w:r>
              <w:rPr>
                <w:noProof/>
                <w:webHidden/>
              </w:rPr>
              <w:fldChar w:fldCharType="separate"/>
            </w:r>
            <w:r w:rsidR="00B90978">
              <w:rPr>
                <w:noProof/>
                <w:webHidden/>
              </w:rPr>
              <w:t>145</w:t>
            </w:r>
            <w:r>
              <w:rPr>
                <w:noProof/>
                <w:webHidden/>
              </w:rPr>
              <w:fldChar w:fldCharType="end"/>
            </w:r>
          </w:hyperlink>
        </w:p>
        <w:p w14:paraId="60A4E4A4" w14:textId="2C54C599" w:rsidR="00514939" w:rsidRDefault="00514939">
          <w:pPr>
            <w:pStyle w:val="Sumrio2"/>
            <w:tabs>
              <w:tab w:val="right" w:leader="dot" w:pos="9061"/>
            </w:tabs>
            <w:rPr>
              <w:rFonts w:asciiTheme="minorHAnsi" w:eastAsiaTheme="minorEastAsia" w:hAnsiTheme="minorHAnsi"/>
              <w:noProof/>
              <w:lang w:eastAsia="pt-BR"/>
            </w:rPr>
          </w:pPr>
          <w:hyperlink w:anchor="_Toc230204185" w:history="1">
            <w:r w:rsidRPr="004A0D71">
              <w:rPr>
                <w:rStyle w:val="Hyperlink"/>
                <w:rFonts w:eastAsia="Times New Roman"/>
                <w:noProof/>
                <w:lang w:eastAsia="pt-BR"/>
              </w:rPr>
              <w:t>14.11. Leitura geral das sensibilidades</w:t>
            </w:r>
            <w:r>
              <w:rPr>
                <w:noProof/>
                <w:webHidden/>
              </w:rPr>
              <w:tab/>
            </w:r>
            <w:r>
              <w:rPr>
                <w:noProof/>
                <w:webHidden/>
              </w:rPr>
              <w:fldChar w:fldCharType="begin"/>
            </w:r>
            <w:r>
              <w:rPr>
                <w:noProof/>
                <w:webHidden/>
              </w:rPr>
              <w:instrText xml:space="preserve"> PAGEREF _Toc230204185 \h </w:instrText>
            </w:r>
            <w:r>
              <w:rPr>
                <w:noProof/>
                <w:webHidden/>
              </w:rPr>
            </w:r>
            <w:r>
              <w:rPr>
                <w:noProof/>
                <w:webHidden/>
              </w:rPr>
              <w:fldChar w:fldCharType="separate"/>
            </w:r>
            <w:r w:rsidR="00B90978">
              <w:rPr>
                <w:noProof/>
                <w:webHidden/>
              </w:rPr>
              <w:t>146</w:t>
            </w:r>
            <w:r>
              <w:rPr>
                <w:noProof/>
                <w:webHidden/>
              </w:rPr>
              <w:fldChar w:fldCharType="end"/>
            </w:r>
          </w:hyperlink>
        </w:p>
        <w:p w14:paraId="30E44C82" w14:textId="2244BFD6" w:rsidR="00514939" w:rsidRDefault="00514939">
          <w:pPr>
            <w:pStyle w:val="Sumrio2"/>
            <w:tabs>
              <w:tab w:val="right" w:leader="dot" w:pos="9061"/>
            </w:tabs>
            <w:rPr>
              <w:rFonts w:asciiTheme="minorHAnsi" w:eastAsiaTheme="minorEastAsia" w:hAnsiTheme="minorHAnsi"/>
              <w:noProof/>
              <w:lang w:eastAsia="pt-BR"/>
            </w:rPr>
          </w:pPr>
          <w:hyperlink w:anchor="_Toc230204186" w:history="1">
            <w:r w:rsidRPr="004A0D71">
              <w:rPr>
                <w:rStyle w:val="Hyperlink"/>
                <w:rFonts w:eastAsia="Times New Roman"/>
                <w:noProof/>
                <w:lang w:eastAsia="pt-BR"/>
              </w:rPr>
              <w:t>14.12. Conclusão do tópico</w:t>
            </w:r>
            <w:r>
              <w:rPr>
                <w:noProof/>
                <w:webHidden/>
              </w:rPr>
              <w:tab/>
            </w:r>
            <w:r>
              <w:rPr>
                <w:noProof/>
                <w:webHidden/>
              </w:rPr>
              <w:fldChar w:fldCharType="begin"/>
            </w:r>
            <w:r>
              <w:rPr>
                <w:noProof/>
                <w:webHidden/>
              </w:rPr>
              <w:instrText xml:space="preserve"> PAGEREF _Toc230204186 \h </w:instrText>
            </w:r>
            <w:r>
              <w:rPr>
                <w:noProof/>
                <w:webHidden/>
              </w:rPr>
            </w:r>
            <w:r>
              <w:rPr>
                <w:noProof/>
                <w:webHidden/>
              </w:rPr>
              <w:fldChar w:fldCharType="separate"/>
            </w:r>
            <w:r w:rsidR="00B90978">
              <w:rPr>
                <w:noProof/>
                <w:webHidden/>
              </w:rPr>
              <w:t>147</w:t>
            </w:r>
            <w:r>
              <w:rPr>
                <w:noProof/>
                <w:webHidden/>
              </w:rPr>
              <w:fldChar w:fldCharType="end"/>
            </w:r>
          </w:hyperlink>
        </w:p>
        <w:p w14:paraId="4157E467" w14:textId="4B6E08AD" w:rsidR="00514939" w:rsidRDefault="00514939">
          <w:pPr>
            <w:pStyle w:val="Sumrio1"/>
            <w:tabs>
              <w:tab w:val="right" w:leader="dot" w:pos="9061"/>
            </w:tabs>
            <w:rPr>
              <w:rFonts w:asciiTheme="minorHAnsi" w:eastAsiaTheme="minorEastAsia" w:hAnsiTheme="minorHAnsi"/>
              <w:noProof/>
              <w:lang w:eastAsia="pt-BR"/>
            </w:rPr>
          </w:pPr>
          <w:hyperlink w:anchor="_Toc230204187" w:history="1">
            <w:r w:rsidRPr="004A0D71">
              <w:rPr>
                <w:rStyle w:val="Hyperlink"/>
                <w:rFonts w:eastAsia="Times New Roman"/>
                <w:noProof/>
                <w:lang w:eastAsia="pt-BR"/>
              </w:rPr>
              <w:t>15. Garantias da PPP e Proteção das Receitas Principais</w:t>
            </w:r>
            <w:r>
              <w:rPr>
                <w:noProof/>
                <w:webHidden/>
              </w:rPr>
              <w:tab/>
            </w:r>
            <w:r>
              <w:rPr>
                <w:noProof/>
                <w:webHidden/>
              </w:rPr>
              <w:fldChar w:fldCharType="begin"/>
            </w:r>
            <w:r>
              <w:rPr>
                <w:noProof/>
                <w:webHidden/>
              </w:rPr>
              <w:instrText xml:space="preserve"> PAGEREF _Toc230204187 \h </w:instrText>
            </w:r>
            <w:r>
              <w:rPr>
                <w:noProof/>
                <w:webHidden/>
              </w:rPr>
            </w:r>
            <w:r>
              <w:rPr>
                <w:noProof/>
                <w:webHidden/>
              </w:rPr>
              <w:fldChar w:fldCharType="separate"/>
            </w:r>
            <w:r w:rsidR="00B90978">
              <w:rPr>
                <w:noProof/>
                <w:webHidden/>
              </w:rPr>
              <w:t>148</w:t>
            </w:r>
            <w:r>
              <w:rPr>
                <w:noProof/>
                <w:webHidden/>
              </w:rPr>
              <w:fldChar w:fldCharType="end"/>
            </w:r>
          </w:hyperlink>
        </w:p>
        <w:p w14:paraId="63E220B4" w14:textId="28717627" w:rsidR="00514939" w:rsidRDefault="00514939">
          <w:pPr>
            <w:pStyle w:val="Sumrio2"/>
            <w:tabs>
              <w:tab w:val="right" w:leader="dot" w:pos="9061"/>
            </w:tabs>
            <w:rPr>
              <w:rFonts w:asciiTheme="minorHAnsi" w:eastAsiaTheme="minorEastAsia" w:hAnsiTheme="minorHAnsi"/>
              <w:noProof/>
              <w:lang w:eastAsia="pt-BR"/>
            </w:rPr>
          </w:pPr>
          <w:hyperlink w:anchor="_Toc230204188" w:history="1">
            <w:r w:rsidRPr="004A0D71">
              <w:rPr>
                <w:rStyle w:val="Hyperlink"/>
                <w:rFonts w:eastAsia="Times New Roman"/>
                <w:noProof/>
                <w:lang w:eastAsia="pt-BR"/>
              </w:rPr>
              <w:t>15.1. Finalidade das garantias</w:t>
            </w:r>
            <w:r>
              <w:rPr>
                <w:noProof/>
                <w:webHidden/>
              </w:rPr>
              <w:tab/>
            </w:r>
            <w:r>
              <w:rPr>
                <w:noProof/>
                <w:webHidden/>
              </w:rPr>
              <w:fldChar w:fldCharType="begin"/>
            </w:r>
            <w:r>
              <w:rPr>
                <w:noProof/>
                <w:webHidden/>
              </w:rPr>
              <w:instrText xml:space="preserve"> PAGEREF _Toc230204188 \h </w:instrText>
            </w:r>
            <w:r>
              <w:rPr>
                <w:noProof/>
                <w:webHidden/>
              </w:rPr>
            </w:r>
            <w:r>
              <w:rPr>
                <w:noProof/>
                <w:webHidden/>
              </w:rPr>
              <w:fldChar w:fldCharType="separate"/>
            </w:r>
            <w:r w:rsidR="00B90978">
              <w:rPr>
                <w:noProof/>
                <w:webHidden/>
              </w:rPr>
              <w:t>148</w:t>
            </w:r>
            <w:r>
              <w:rPr>
                <w:noProof/>
                <w:webHidden/>
              </w:rPr>
              <w:fldChar w:fldCharType="end"/>
            </w:r>
          </w:hyperlink>
        </w:p>
        <w:p w14:paraId="750D78B2" w14:textId="43837069" w:rsidR="00514939" w:rsidRDefault="00514939">
          <w:pPr>
            <w:pStyle w:val="Sumrio2"/>
            <w:tabs>
              <w:tab w:val="right" w:leader="dot" w:pos="9061"/>
            </w:tabs>
            <w:rPr>
              <w:rFonts w:asciiTheme="minorHAnsi" w:eastAsiaTheme="minorEastAsia" w:hAnsiTheme="minorHAnsi"/>
              <w:noProof/>
              <w:lang w:eastAsia="pt-BR"/>
            </w:rPr>
          </w:pPr>
          <w:hyperlink w:anchor="_Toc230204189" w:history="1">
            <w:r w:rsidRPr="004A0D71">
              <w:rPr>
                <w:rStyle w:val="Hyperlink"/>
                <w:rFonts w:eastAsia="Times New Roman"/>
                <w:noProof/>
                <w:lang w:eastAsia="pt-BR"/>
              </w:rPr>
              <w:t>15.2. Receitas garantíveis</w:t>
            </w:r>
            <w:r>
              <w:rPr>
                <w:noProof/>
                <w:webHidden/>
              </w:rPr>
              <w:tab/>
            </w:r>
            <w:r>
              <w:rPr>
                <w:noProof/>
                <w:webHidden/>
              </w:rPr>
              <w:fldChar w:fldCharType="begin"/>
            </w:r>
            <w:r>
              <w:rPr>
                <w:noProof/>
                <w:webHidden/>
              </w:rPr>
              <w:instrText xml:space="preserve"> PAGEREF _Toc230204189 \h </w:instrText>
            </w:r>
            <w:r>
              <w:rPr>
                <w:noProof/>
                <w:webHidden/>
              </w:rPr>
            </w:r>
            <w:r>
              <w:rPr>
                <w:noProof/>
                <w:webHidden/>
              </w:rPr>
              <w:fldChar w:fldCharType="separate"/>
            </w:r>
            <w:r w:rsidR="00B90978">
              <w:rPr>
                <w:noProof/>
                <w:webHidden/>
              </w:rPr>
              <w:t>149</w:t>
            </w:r>
            <w:r>
              <w:rPr>
                <w:noProof/>
                <w:webHidden/>
              </w:rPr>
              <w:fldChar w:fldCharType="end"/>
            </w:r>
          </w:hyperlink>
        </w:p>
        <w:p w14:paraId="20DC46AB" w14:textId="4FF73650" w:rsidR="00514939" w:rsidRDefault="00514939">
          <w:pPr>
            <w:pStyle w:val="Sumrio2"/>
            <w:tabs>
              <w:tab w:val="right" w:leader="dot" w:pos="9061"/>
            </w:tabs>
            <w:rPr>
              <w:rFonts w:asciiTheme="minorHAnsi" w:eastAsiaTheme="minorEastAsia" w:hAnsiTheme="minorHAnsi"/>
              <w:noProof/>
              <w:lang w:eastAsia="pt-BR"/>
            </w:rPr>
          </w:pPr>
          <w:hyperlink w:anchor="_Toc230204190" w:history="1">
            <w:r w:rsidRPr="004A0D71">
              <w:rPr>
                <w:rStyle w:val="Hyperlink"/>
                <w:rFonts w:eastAsia="Times New Roman"/>
                <w:noProof/>
                <w:lang w:eastAsia="pt-BR"/>
              </w:rPr>
              <w:t>15.3. Receitas não garantíveis</w:t>
            </w:r>
            <w:r>
              <w:rPr>
                <w:noProof/>
                <w:webHidden/>
              </w:rPr>
              <w:tab/>
            </w:r>
            <w:r>
              <w:rPr>
                <w:noProof/>
                <w:webHidden/>
              </w:rPr>
              <w:fldChar w:fldCharType="begin"/>
            </w:r>
            <w:r>
              <w:rPr>
                <w:noProof/>
                <w:webHidden/>
              </w:rPr>
              <w:instrText xml:space="preserve"> PAGEREF _Toc230204190 \h </w:instrText>
            </w:r>
            <w:r>
              <w:rPr>
                <w:noProof/>
                <w:webHidden/>
              </w:rPr>
            </w:r>
            <w:r>
              <w:rPr>
                <w:noProof/>
                <w:webHidden/>
              </w:rPr>
              <w:fldChar w:fldCharType="separate"/>
            </w:r>
            <w:r w:rsidR="00B90978">
              <w:rPr>
                <w:noProof/>
                <w:webHidden/>
              </w:rPr>
              <w:t>150</w:t>
            </w:r>
            <w:r>
              <w:rPr>
                <w:noProof/>
                <w:webHidden/>
              </w:rPr>
              <w:fldChar w:fldCharType="end"/>
            </w:r>
          </w:hyperlink>
        </w:p>
        <w:p w14:paraId="3D8FC74B" w14:textId="37A60277" w:rsidR="00514939" w:rsidRDefault="00514939">
          <w:pPr>
            <w:pStyle w:val="Sumrio2"/>
            <w:tabs>
              <w:tab w:val="right" w:leader="dot" w:pos="9061"/>
            </w:tabs>
            <w:rPr>
              <w:rFonts w:asciiTheme="minorHAnsi" w:eastAsiaTheme="minorEastAsia" w:hAnsiTheme="minorHAnsi"/>
              <w:noProof/>
              <w:lang w:eastAsia="pt-BR"/>
            </w:rPr>
          </w:pPr>
          <w:hyperlink w:anchor="_Toc230204191" w:history="1">
            <w:r w:rsidRPr="004A0D71">
              <w:rPr>
                <w:rStyle w:val="Hyperlink"/>
                <w:rFonts w:eastAsia="Times New Roman"/>
                <w:noProof/>
                <w:lang w:eastAsia="pt-BR"/>
              </w:rPr>
              <w:t>15.4. Níveis de garantia recomendados</w:t>
            </w:r>
            <w:r>
              <w:rPr>
                <w:noProof/>
                <w:webHidden/>
              </w:rPr>
              <w:tab/>
            </w:r>
            <w:r>
              <w:rPr>
                <w:noProof/>
                <w:webHidden/>
              </w:rPr>
              <w:fldChar w:fldCharType="begin"/>
            </w:r>
            <w:r>
              <w:rPr>
                <w:noProof/>
                <w:webHidden/>
              </w:rPr>
              <w:instrText xml:space="preserve"> PAGEREF _Toc230204191 \h </w:instrText>
            </w:r>
            <w:r>
              <w:rPr>
                <w:noProof/>
                <w:webHidden/>
              </w:rPr>
            </w:r>
            <w:r>
              <w:rPr>
                <w:noProof/>
                <w:webHidden/>
              </w:rPr>
              <w:fldChar w:fldCharType="separate"/>
            </w:r>
            <w:r w:rsidR="00B90978">
              <w:rPr>
                <w:noProof/>
                <w:webHidden/>
              </w:rPr>
              <w:t>150</w:t>
            </w:r>
            <w:r>
              <w:rPr>
                <w:noProof/>
                <w:webHidden/>
              </w:rPr>
              <w:fldChar w:fldCharType="end"/>
            </w:r>
          </w:hyperlink>
        </w:p>
        <w:p w14:paraId="4FDD526D" w14:textId="3E37F4CB" w:rsidR="00514939" w:rsidRDefault="00514939">
          <w:pPr>
            <w:pStyle w:val="Sumrio2"/>
            <w:tabs>
              <w:tab w:val="right" w:leader="dot" w:pos="9061"/>
            </w:tabs>
            <w:rPr>
              <w:rFonts w:asciiTheme="minorHAnsi" w:eastAsiaTheme="minorEastAsia" w:hAnsiTheme="minorHAnsi"/>
              <w:noProof/>
              <w:lang w:eastAsia="pt-BR"/>
            </w:rPr>
          </w:pPr>
          <w:hyperlink w:anchor="_Toc230204192" w:history="1">
            <w:r w:rsidRPr="004A0D71">
              <w:rPr>
                <w:rStyle w:val="Hyperlink"/>
                <w:rFonts w:eastAsia="Times New Roman"/>
                <w:noProof/>
                <w:lang w:eastAsia="pt-BR"/>
              </w:rPr>
              <w:t>15.5. Justificativa para garantia de 6 meses</w:t>
            </w:r>
            <w:r>
              <w:rPr>
                <w:noProof/>
                <w:webHidden/>
              </w:rPr>
              <w:tab/>
            </w:r>
            <w:r>
              <w:rPr>
                <w:noProof/>
                <w:webHidden/>
              </w:rPr>
              <w:fldChar w:fldCharType="begin"/>
            </w:r>
            <w:r>
              <w:rPr>
                <w:noProof/>
                <w:webHidden/>
              </w:rPr>
              <w:instrText xml:space="preserve"> PAGEREF _Toc230204192 \h </w:instrText>
            </w:r>
            <w:r>
              <w:rPr>
                <w:noProof/>
                <w:webHidden/>
              </w:rPr>
            </w:r>
            <w:r>
              <w:rPr>
                <w:noProof/>
                <w:webHidden/>
              </w:rPr>
              <w:fldChar w:fldCharType="separate"/>
            </w:r>
            <w:r w:rsidR="00B90978">
              <w:rPr>
                <w:noProof/>
                <w:webHidden/>
              </w:rPr>
              <w:t>151</w:t>
            </w:r>
            <w:r>
              <w:rPr>
                <w:noProof/>
                <w:webHidden/>
              </w:rPr>
              <w:fldChar w:fldCharType="end"/>
            </w:r>
          </w:hyperlink>
        </w:p>
        <w:p w14:paraId="78AFF2B1" w14:textId="1C45A47E" w:rsidR="00514939" w:rsidRDefault="00514939">
          <w:pPr>
            <w:pStyle w:val="Sumrio2"/>
            <w:tabs>
              <w:tab w:val="right" w:leader="dot" w:pos="9061"/>
            </w:tabs>
            <w:rPr>
              <w:rFonts w:asciiTheme="minorHAnsi" w:eastAsiaTheme="minorEastAsia" w:hAnsiTheme="minorHAnsi"/>
              <w:noProof/>
              <w:lang w:eastAsia="pt-BR"/>
            </w:rPr>
          </w:pPr>
          <w:hyperlink w:anchor="_Toc230204193" w:history="1">
            <w:r w:rsidRPr="004A0D71">
              <w:rPr>
                <w:rStyle w:val="Hyperlink"/>
                <w:rFonts w:eastAsia="Times New Roman"/>
                <w:noProof/>
                <w:lang w:eastAsia="pt-BR"/>
              </w:rPr>
              <w:t>15.6. Instrumentos possíveis de garantia</w:t>
            </w:r>
            <w:r>
              <w:rPr>
                <w:noProof/>
                <w:webHidden/>
              </w:rPr>
              <w:tab/>
            </w:r>
            <w:r>
              <w:rPr>
                <w:noProof/>
                <w:webHidden/>
              </w:rPr>
              <w:fldChar w:fldCharType="begin"/>
            </w:r>
            <w:r>
              <w:rPr>
                <w:noProof/>
                <w:webHidden/>
              </w:rPr>
              <w:instrText xml:space="preserve"> PAGEREF _Toc230204193 \h </w:instrText>
            </w:r>
            <w:r>
              <w:rPr>
                <w:noProof/>
                <w:webHidden/>
              </w:rPr>
            </w:r>
            <w:r>
              <w:rPr>
                <w:noProof/>
                <w:webHidden/>
              </w:rPr>
              <w:fldChar w:fldCharType="separate"/>
            </w:r>
            <w:r w:rsidR="00B90978">
              <w:rPr>
                <w:noProof/>
                <w:webHidden/>
              </w:rPr>
              <w:t>152</w:t>
            </w:r>
            <w:r>
              <w:rPr>
                <w:noProof/>
                <w:webHidden/>
              </w:rPr>
              <w:fldChar w:fldCharType="end"/>
            </w:r>
          </w:hyperlink>
        </w:p>
        <w:p w14:paraId="10FE5B00" w14:textId="2115AF67" w:rsidR="00514939" w:rsidRDefault="00514939">
          <w:pPr>
            <w:pStyle w:val="Sumrio2"/>
            <w:tabs>
              <w:tab w:val="right" w:leader="dot" w:pos="9061"/>
            </w:tabs>
            <w:rPr>
              <w:rFonts w:asciiTheme="minorHAnsi" w:eastAsiaTheme="minorEastAsia" w:hAnsiTheme="minorHAnsi"/>
              <w:noProof/>
              <w:lang w:eastAsia="pt-BR"/>
            </w:rPr>
          </w:pPr>
          <w:hyperlink w:anchor="_Toc230204194" w:history="1">
            <w:r w:rsidRPr="004A0D71">
              <w:rPr>
                <w:rStyle w:val="Hyperlink"/>
                <w:rFonts w:eastAsia="Times New Roman"/>
                <w:noProof/>
                <w:lang w:eastAsia="pt-BR"/>
              </w:rPr>
              <w:t>15.7. Fundo Garantidor</w:t>
            </w:r>
            <w:r>
              <w:rPr>
                <w:noProof/>
                <w:webHidden/>
              </w:rPr>
              <w:tab/>
            </w:r>
            <w:r>
              <w:rPr>
                <w:noProof/>
                <w:webHidden/>
              </w:rPr>
              <w:fldChar w:fldCharType="begin"/>
            </w:r>
            <w:r>
              <w:rPr>
                <w:noProof/>
                <w:webHidden/>
              </w:rPr>
              <w:instrText xml:space="preserve"> PAGEREF _Toc230204194 \h </w:instrText>
            </w:r>
            <w:r>
              <w:rPr>
                <w:noProof/>
                <w:webHidden/>
              </w:rPr>
            </w:r>
            <w:r>
              <w:rPr>
                <w:noProof/>
                <w:webHidden/>
              </w:rPr>
              <w:fldChar w:fldCharType="separate"/>
            </w:r>
            <w:r w:rsidR="00B90978">
              <w:rPr>
                <w:noProof/>
                <w:webHidden/>
              </w:rPr>
              <w:t>153</w:t>
            </w:r>
            <w:r>
              <w:rPr>
                <w:noProof/>
                <w:webHidden/>
              </w:rPr>
              <w:fldChar w:fldCharType="end"/>
            </w:r>
          </w:hyperlink>
        </w:p>
        <w:p w14:paraId="08F5DBA8" w14:textId="3255F9B4" w:rsidR="00514939" w:rsidRDefault="00514939">
          <w:pPr>
            <w:pStyle w:val="Sumrio2"/>
            <w:tabs>
              <w:tab w:val="right" w:leader="dot" w:pos="9061"/>
            </w:tabs>
            <w:rPr>
              <w:rFonts w:asciiTheme="minorHAnsi" w:eastAsiaTheme="minorEastAsia" w:hAnsiTheme="minorHAnsi"/>
              <w:noProof/>
              <w:lang w:eastAsia="pt-BR"/>
            </w:rPr>
          </w:pPr>
          <w:hyperlink w:anchor="_Toc230204195" w:history="1">
            <w:r w:rsidRPr="004A0D71">
              <w:rPr>
                <w:rStyle w:val="Hyperlink"/>
                <w:rFonts w:eastAsia="Times New Roman"/>
                <w:noProof/>
                <w:lang w:eastAsia="pt-BR"/>
              </w:rPr>
              <w:t>15.8. Conta vinculada e fluxo de pagamento</w:t>
            </w:r>
            <w:r>
              <w:rPr>
                <w:noProof/>
                <w:webHidden/>
              </w:rPr>
              <w:tab/>
            </w:r>
            <w:r>
              <w:rPr>
                <w:noProof/>
                <w:webHidden/>
              </w:rPr>
              <w:fldChar w:fldCharType="begin"/>
            </w:r>
            <w:r>
              <w:rPr>
                <w:noProof/>
                <w:webHidden/>
              </w:rPr>
              <w:instrText xml:space="preserve"> PAGEREF _Toc230204195 \h </w:instrText>
            </w:r>
            <w:r>
              <w:rPr>
                <w:noProof/>
                <w:webHidden/>
              </w:rPr>
            </w:r>
            <w:r>
              <w:rPr>
                <w:noProof/>
                <w:webHidden/>
              </w:rPr>
              <w:fldChar w:fldCharType="separate"/>
            </w:r>
            <w:r w:rsidR="00B90978">
              <w:rPr>
                <w:noProof/>
                <w:webHidden/>
              </w:rPr>
              <w:t>153</w:t>
            </w:r>
            <w:r>
              <w:rPr>
                <w:noProof/>
                <w:webHidden/>
              </w:rPr>
              <w:fldChar w:fldCharType="end"/>
            </w:r>
          </w:hyperlink>
        </w:p>
        <w:p w14:paraId="5AF8688A" w14:textId="2706D32D" w:rsidR="00514939" w:rsidRDefault="00514939">
          <w:pPr>
            <w:pStyle w:val="Sumrio2"/>
            <w:tabs>
              <w:tab w:val="right" w:leader="dot" w:pos="9061"/>
            </w:tabs>
            <w:rPr>
              <w:rFonts w:asciiTheme="minorHAnsi" w:eastAsiaTheme="minorEastAsia" w:hAnsiTheme="minorHAnsi"/>
              <w:noProof/>
              <w:lang w:eastAsia="pt-BR"/>
            </w:rPr>
          </w:pPr>
          <w:hyperlink w:anchor="_Toc230204196" w:history="1">
            <w:r w:rsidRPr="004A0D71">
              <w:rPr>
                <w:rStyle w:val="Hyperlink"/>
                <w:rFonts w:eastAsia="Times New Roman"/>
                <w:noProof/>
                <w:lang w:eastAsia="pt-BR"/>
              </w:rPr>
              <w:t>15.9. Procedimento de acionamento da garantia</w:t>
            </w:r>
            <w:r>
              <w:rPr>
                <w:noProof/>
                <w:webHidden/>
              </w:rPr>
              <w:tab/>
            </w:r>
            <w:r>
              <w:rPr>
                <w:noProof/>
                <w:webHidden/>
              </w:rPr>
              <w:fldChar w:fldCharType="begin"/>
            </w:r>
            <w:r>
              <w:rPr>
                <w:noProof/>
                <w:webHidden/>
              </w:rPr>
              <w:instrText xml:space="preserve"> PAGEREF _Toc230204196 \h </w:instrText>
            </w:r>
            <w:r>
              <w:rPr>
                <w:noProof/>
                <w:webHidden/>
              </w:rPr>
            </w:r>
            <w:r>
              <w:rPr>
                <w:noProof/>
                <w:webHidden/>
              </w:rPr>
              <w:fldChar w:fldCharType="separate"/>
            </w:r>
            <w:r w:rsidR="00B90978">
              <w:rPr>
                <w:noProof/>
                <w:webHidden/>
              </w:rPr>
              <w:t>154</w:t>
            </w:r>
            <w:r>
              <w:rPr>
                <w:noProof/>
                <w:webHidden/>
              </w:rPr>
              <w:fldChar w:fldCharType="end"/>
            </w:r>
          </w:hyperlink>
        </w:p>
        <w:p w14:paraId="06CF4BEE" w14:textId="7335B981" w:rsidR="00514939" w:rsidRDefault="00514939">
          <w:pPr>
            <w:pStyle w:val="Sumrio2"/>
            <w:tabs>
              <w:tab w:val="right" w:leader="dot" w:pos="9061"/>
            </w:tabs>
            <w:rPr>
              <w:rFonts w:asciiTheme="minorHAnsi" w:eastAsiaTheme="minorEastAsia" w:hAnsiTheme="minorHAnsi"/>
              <w:noProof/>
              <w:lang w:eastAsia="pt-BR"/>
            </w:rPr>
          </w:pPr>
          <w:hyperlink w:anchor="_Toc230204197" w:history="1">
            <w:r w:rsidRPr="004A0D71">
              <w:rPr>
                <w:rStyle w:val="Hyperlink"/>
                <w:rFonts w:eastAsia="Times New Roman"/>
                <w:noProof/>
                <w:lang w:eastAsia="pt-BR"/>
              </w:rPr>
              <w:t>15.10. Relação entre garantia e financiadores</w:t>
            </w:r>
            <w:r>
              <w:rPr>
                <w:noProof/>
                <w:webHidden/>
              </w:rPr>
              <w:tab/>
            </w:r>
            <w:r>
              <w:rPr>
                <w:noProof/>
                <w:webHidden/>
              </w:rPr>
              <w:fldChar w:fldCharType="begin"/>
            </w:r>
            <w:r>
              <w:rPr>
                <w:noProof/>
                <w:webHidden/>
              </w:rPr>
              <w:instrText xml:space="preserve"> PAGEREF _Toc230204197 \h </w:instrText>
            </w:r>
            <w:r>
              <w:rPr>
                <w:noProof/>
                <w:webHidden/>
              </w:rPr>
            </w:r>
            <w:r>
              <w:rPr>
                <w:noProof/>
                <w:webHidden/>
              </w:rPr>
              <w:fldChar w:fldCharType="separate"/>
            </w:r>
            <w:r w:rsidR="00B90978">
              <w:rPr>
                <w:noProof/>
                <w:webHidden/>
              </w:rPr>
              <w:t>154</w:t>
            </w:r>
            <w:r>
              <w:rPr>
                <w:noProof/>
                <w:webHidden/>
              </w:rPr>
              <w:fldChar w:fldCharType="end"/>
            </w:r>
          </w:hyperlink>
        </w:p>
        <w:p w14:paraId="59A09C1C" w14:textId="68C4F932" w:rsidR="00514939" w:rsidRDefault="00514939">
          <w:pPr>
            <w:pStyle w:val="Sumrio2"/>
            <w:tabs>
              <w:tab w:val="right" w:leader="dot" w:pos="9061"/>
            </w:tabs>
            <w:rPr>
              <w:rFonts w:asciiTheme="minorHAnsi" w:eastAsiaTheme="minorEastAsia" w:hAnsiTheme="minorHAnsi"/>
              <w:noProof/>
              <w:lang w:eastAsia="pt-BR"/>
            </w:rPr>
          </w:pPr>
          <w:hyperlink w:anchor="_Toc230204198" w:history="1">
            <w:r w:rsidRPr="004A0D71">
              <w:rPr>
                <w:rStyle w:val="Hyperlink"/>
                <w:rFonts w:eastAsia="Times New Roman"/>
                <w:noProof/>
                <w:lang w:eastAsia="pt-BR"/>
              </w:rPr>
              <w:t>15.11. Garantia e responsabilidade fiscal</w:t>
            </w:r>
            <w:r>
              <w:rPr>
                <w:noProof/>
                <w:webHidden/>
              </w:rPr>
              <w:tab/>
            </w:r>
            <w:r>
              <w:rPr>
                <w:noProof/>
                <w:webHidden/>
              </w:rPr>
              <w:fldChar w:fldCharType="begin"/>
            </w:r>
            <w:r>
              <w:rPr>
                <w:noProof/>
                <w:webHidden/>
              </w:rPr>
              <w:instrText xml:space="preserve"> PAGEREF _Toc230204198 \h </w:instrText>
            </w:r>
            <w:r>
              <w:rPr>
                <w:noProof/>
                <w:webHidden/>
              </w:rPr>
            </w:r>
            <w:r>
              <w:rPr>
                <w:noProof/>
                <w:webHidden/>
              </w:rPr>
              <w:fldChar w:fldCharType="separate"/>
            </w:r>
            <w:r w:rsidR="00B90978">
              <w:rPr>
                <w:noProof/>
                <w:webHidden/>
              </w:rPr>
              <w:t>155</w:t>
            </w:r>
            <w:r>
              <w:rPr>
                <w:noProof/>
                <w:webHidden/>
              </w:rPr>
              <w:fldChar w:fldCharType="end"/>
            </w:r>
          </w:hyperlink>
        </w:p>
        <w:p w14:paraId="0191D649" w14:textId="6F5BCA3C" w:rsidR="00514939" w:rsidRDefault="00514939">
          <w:pPr>
            <w:pStyle w:val="Sumrio2"/>
            <w:tabs>
              <w:tab w:val="right" w:leader="dot" w:pos="9061"/>
            </w:tabs>
            <w:rPr>
              <w:rFonts w:asciiTheme="minorHAnsi" w:eastAsiaTheme="minorEastAsia" w:hAnsiTheme="minorHAnsi"/>
              <w:noProof/>
              <w:lang w:eastAsia="pt-BR"/>
            </w:rPr>
          </w:pPr>
          <w:hyperlink w:anchor="_Toc230204199" w:history="1">
            <w:r w:rsidRPr="004A0D71">
              <w:rPr>
                <w:rStyle w:val="Hyperlink"/>
                <w:rFonts w:eastAsia="Times New Roman"/>
                <w:noProof/>
                <w:lang w:eastAsia="pt-BR"/>
              </w:rPr>
              <w:t>15.12. Garantia e matriz de riscos</w:t>
            </w:r>
            <w:r>
              <w:rPr>
                <w:noProof/>
                <w:webHidden/>
              </w:rPr>
              <w:tab/>
            </w:r>
            <w:r>
              <w:rPr>
                <w:noProof/>
                <w:webHidden/>
              </w:rPr>
              <w:fldChar w:fldCharType="begin"/>
            </w:r>
            <w:r>
              <w:rPr>
                <w:noProof/>
                <w:webHidden/>
              </w:rPr>
              <w:instrText xml:space="preserve"> PAGEREF _Toc230204199 \h </w:instrText>
            </w:r>
            <w:r>
              <w:rPr>
                <w:noProof/>
                <w:webHidden/>
              </w:rPr>
            </w:r>
            <w:r>
              <w:rPr>
                <w:noProof/>
                <w:webHidden/>
              </w:rPr>
              <w:fldChar w:fldCharType="separate"/>
            </w:r>
            <w:r w:rsidR="00B90978">
              <w:rPr>
                <w:noProof/>
                <w:webHidden/>
              </w:rPr>
              <w:t>156</w:t>
            </w:r>
            <w:r>
              <w:rPr>
                <w:noProof/>
                <w:webHidden/>
              </w:rPr>
              <w:fldChar w:fldCharType="end"/>
            </w:r>
          </w:hyperlink>
        </w:p>
        <w:p w14:paraId="52D66883" w14:textId="1D930187" w:rsidR="00514939" w:rsidRDefault="00514939">
          <w:pPr>
            <w:pStyle w:val="Sumrio2"/>
            <w:tabs>
              <w:tab w:val="right" w:leader="dot" w:pos="9061"/>
            </w:tabs>
            <w:rPr>
              <w:rFonts w:asciiTheme="minorHAnsi" w:eastAsiaTheme="minorEastAsia" w:hAnsiTheme="minorHAnsi"/>
              <w:noProof/>
              <w:lang w:eastAsia="pt-BR"/>
            </w:rPr>
          </w:pPr>
          <w:hyperlink w:anchor="_Toc230204200" w:history="1">
            <w:r w:rsidRPr="004A0D71">
              <w:rPr>
                <w:rStyle w:val="Hyperlink"/>
                <w:rFonts w:eastAsia="Times New Roman"/>
                <w:noProof/>
                <w:lang w:eastAsia="pt-BR"/>
              </w:rPr>
              <w:t>15.13. Síntese da estrutura de garantia recomendada</w:t>
            </w:r>
            <w:r>
              <w:rPr>
                <w:noProof/>
                <w:webHidden/>
              </w:rPr>
              <w:tab/>
            </w:r>
            <w:r>
              <w:rPr>
                <w:noProof/>
                <w:webHidden/>
              </w:rPr>
              <w:fldChar w:fldCharType="begin"/>
            </w:r>
            <w:r>
              <w:rPr>
                <w:noProof/>
                <w:webHidden/>
              </w:rPr>
              <w:instrText xml:space="preserve"> PAGEREF _Toc230204200 \h </w:instrText>
            </w:r>
            <w:r>
              <w:rPr>
                <w:noProof/>
                <w:webHidden/>
              </w:rPr>
            </w:r>
            <w:r>
              <w:rPr>
                <w:noProof/>
                <w:webHidden/>
              </w:rPr>
              <w:fldChar w:fldCharType="separate"/>
            </w:r>
            <w:r w:rsidR="00B90978">
              <w:rPr>
                <w:noProof/>
                <w:webHidden/>
              </w:rPr>
              <w:t>156</w:t>
            </w:r>
            <w:r>
              <w:rPr>
                <w:noProof/>
                <w:webHidden/>
              </w:rPr>
              <w:fldChar w:fldCharType="end"/>
            </w:r>
          </w:hyperlink>
        </w:p>
        <w:p w14:paraId="06745A10" w14:textId="5A294CC1" w:rsidR="00514939" w:rsidRDefault="00514939">
          <w:pPr>
            <w:pStyle w:val="Sumrio2"/>
            <w:tabs>
              <w:tab w:val="right" w:leader="dot" w:pos="9061"/>
            </w:tabs>
            <w:rPr>
              <w:rFonts w:asciiTheme="minorHAnsi" w:eastAsiaTheme="minorEastAsia" w:hAnsiTheme="minorHAnsi"/>
              <w:noProof/>
              <w:lang w:eastAsia="pt-BR"/>
            </w:rPr>
          </w:pPr>
          <w:hyperlink w:anchor="_Toc230204201" w:history="1">
            <w:r w:rsidRPr="004A0D71">
              <w:rPr>
                <w:rStyle w:val="Hyperlink"/>
                <w:rFonts w:eastAsia="Times New Roman"/>
                <w:noProof/>
                <w:lang w:eastAsia="pt-BR"/>
              </w:rPr>
              <w:t>15.14. Conclusão do tópico</w:t>
            </w:r>
            <w:r>
              <w:rPr>
                <w:noProof/>
                <w:webHidden/>
              </w:rPr>
              <w:tab/>
            </w:r>
            <w:r>
              <w:rPr>
                <w:noProof/>
                <w:webHidden/>
              </w:rPr>
              <w:fldChar w:fldCharType="begin"/>
            </w:r>
            <w:r>
              <w:rPr>
                <w:noProof/>
                <w:webHidden/>
              </w:rPr>
              <w:instrText xml:space="preserve"> PAGEREF _Toc230204201 \h </w:instrText>
            </w:r>
            <w:r>
              <w:rPr>
                <w:noProof/>
                <w:webHidden/>
              </w:rPr>
            </w:r>
            <w:r>
              <w:rPr>
                <w:noProof/>
                <w:webHidden/>
              </w:rPr>
              <w:fldChar w:fldCharType="separate"/>
            </w:r>
            <w:r w:rsidR="00B90978">
              <w:rPr>
                <w:noProof/>
                <w:webHidden/>
              </w:rPr>
              <w:t>157</w:t>
            </w:r>
            <w:r>
              <w:rPr>
                <w:noProof/>
                <w:webHidden/>
              </w:rPr>
              <w:fldChar w:fldCharType="end"/>
            </w:r>
          </w:hyperlink>
        </w:p>
        <w:p w14:paraId="38AFC90B" w14:textId="273BC9CA" w:rsidR="00514939" w:rsidRDefault="00514939">
          <w:pPr>
            <w:pStyle w:val="Sumrio1"/>
            <w:tabs>
              <w:tab w:val="right" w:leader="dot" w:pos="9061"/>
            </w:tabs>
            <w:rPr>
              <w:rFonts w:asciiTheme="minorHAnsi" w:eastAsiaTheme="minorEastAsia" w:hAnsiTheme="minorHAnsi"/>
              <w:noProof/>
              <w:lang w:eastAsia="pt-BR"/>
            </w:rPr>
          </w:pPr>
          <w:hyperlink w:anchor="_Toc230204202" w:history="1">
            <w:r w:rsidRPr="004A0D71">
              <w:rPr>
                <w:rStyle w:val="Hyperlink"/>
                <w:rFonts w:eastAsia="Times New Roman"/>
                <w:noProof/>
                <w:lang w:eastAsia="pt-BR"/>
              </w:rPr>
              <w:t>16. Matriz de Riscos Econômico-Financeiros</w:t>
            </w:r>
            <w:r>
              <w:rPr>
                <w:noProof/>
                <w:webHidden/>
              </w:rPr>
              <w:tab/>
            </w:r>
            <w:r>
              <w:rPr>
                <w:noProof/>
                <w:webHidden/>
              </w:rPr>
              <w:fldChar w:fldCharType="begin"/>
            </w:r>
            <w:r>
              <w:rPr>
                <w:noProof/>
                <w:webHidden/>
              </w:rPr>
              <w:instrText xml:space="preserve"> PAGEREF _Toc230204202 \h </w:instrText>
            </w:r>
            <w:r>
              <w:rPr>
                <w:noProof/>
                <w:webHidden/>
              </w:rPr>
            </w:r>
            <w:r>
              <w:rPr>
                <w:noProof/>
                <w:webHidden/>
              </w:rPr>
              <w:fldChar w:fldCharType="separate"/>
            </w:r>
            <w:r w:rsidR="00B90978">
              <w:rPr>
                <w:noProof/>
                <w:webHidden/>
              </w:rPr>
              <w:t>158</w:t>
            </w:r>
            <w:r>
              <w:rPr>
                <w:noProof/>
                <w:webHidden/>
              </w:rPr>
              <w:fldChar w:fldCharType="end"/>
            </w:r>
          </w:hyperlink>
        </w:p>
        <w:p w14:paraId="4AC06B6F" w14:textId="46E944D0" w:rsidR="00514939" w:rsidRDefault="00514939">
          <w:pPr>
            <w:pStyle w:val="Sumrio2"/>
            <w:tabs>
              <w:tab w:val="right" w:leader="dot" w:pos="9061"/>
            </w:tabs>
            <w:rPr>
              <w:rFonts w:asciiTheme="minorHAnsi" w:eastAsiaTheme="minorEastAsia" w:hAnsiTheme="minorHAnsi"/>
              <w:noProof/>
              <w:lang w:eastAsia="pt-BR"/>
            </w:rPr>
          </w:pPr>
          <w:hyperlink w:anchor="_Toc230204203" w:history="1">
            <w:r w:rsidRPr="004A0D71">
              <w:rPr>
                <w:rStyle w:val="Hyperlink"/>
                <w:rFonts w:eastAsia="Times New Roman"/>
                <w:noProof/>
                <w:lang w:eastAsia="pt-BR"/>
              </w:rPr>
              <w:t>16.1. Finalidade da matriz de riscos</w:t>
            </w:r>
            <w:r>
              <w:rPr>
                <w:noProof/>
                <w:webHidden/>
              </w:rPr>
              <w:tab/>
            </w:r>
            <w:r>
              <w:rPr>
                <w:noProof/>
                <w:webHidden/>
              </w:rPr>
              <w:fldChar w:fldCharType="begin"/>
            </w:r>
            <w:r>
              <w:rPr>
                <w:noProof/>
                <w:webHidden/>
              </w:rPr>
              <w:instrText xml:space="preserve"> PAGEREF _Toc230204203 \h </w:instrText>
            </w:r>
            <w:r>
              <w:rPr>
                <w:noProof/>
                <w:webHidden/>
              </w:rPr>
            </w:r>
            <w:r>
              <w:rPr>
                <w:noProof/>
                <w:webHidden/>
              </w:rPr>
              <w:fldChar w:fldCharType="separate"/>
            </w:r>
            <w:r w:rsidR="00B90978">
              <w:rPr>
                <w:noProof/>
                <w:webHidden/>
              </w:rPr>
              <w:t>158</w:t>
            </w:r>
            <w:r>
              <w:rPr>
                <w:noProof/>
                <w:webHidden/>
              </w:rPr>
              <w:fldChar w:fldCharType="end"/>
            </w:r>
          </w:hyperlink>
        </w:p>
        <w:p w14:paraId="52E66341" w14:textId="22F8F8AE" w:rsidR="00514939" w:rsidRDefault="00514939">
          <w:pPr>
            <w:pStyle w:val="Sumrio2"/>
            <w:tabs>
              <w:tab w:val="right" w:leader="dot" w:pos="9061"/>
            </w:tabs>
            <w:rPr>
              <w:rFonts w:asciiTheme="minorHAnsi" w:eastAsiaTheme="minorEastAsia" w:hAnsiTheme="minorHAnsi"/>
              <w:noProof/>
              <w:lang w:eastAsia="pt-BR"/>
            </w:rPr>
          </w:pPr>
          <w:hyperlink w:anchor="_Toc230204204" w:history="1">
            <w:r w:rsidRPr="004A0D71">
              <w:rPr>
                <w:rStyle w:val="Hyperlink"/>
                <w:rFonts w:eastAsia="Times New Roman"/>
                <w:noProof/>
                <w:lang w:eastAsia="pt-BR"/>
              </w:rPr>
              <w:t>16.2. Princípio geral de alocação de riscos</w:t>
            </w:r>
            <w:r>
              <w:rPr>
                <w:noProof/>
                <w:webHidden/>
              </w:rPr>
              <w:tab/>
            </w:r>
            <w:r>
              <w:rPr>
                <w:noProof/>
                <w:webHidden/>
              </w:rPr>
              <w:fldChar w:fldCharType="begin"/>
            </w:r>
            <w:r>
              <w:rPr>
                <w:noProof/>
                <w:webHidden/>
              </w:rPr>
              <w:instrText xml:space="preserve"> PAGEREF _Toc230204204 \h </w:instrText>
            </w:r>
            <w:r>
              <w:rPr>
                <w:noProof/>
                <w:webHidden/>
              </w:rPr>
            </w:r>
            <w:r>
              <w:rPr>
                <w:noProof/>
                <w:webHidden/>
              </w:rPr>
              <w:fldChar w:fldCharType="separate"/>
            </w:r>
            <w:r w:rsidR="00B90978">
              <w:rPr>
                <w:noProof/>
                <w:webHidden/>
              </w:rPr>
              <w:t>159</w:t>
            </w:r>
            <w:r>
              <w:rPr>
                <w:noProof/>
                <w:webHidden/>
              </w:rPr>
              <w:fldChar w:fldCharType="end"/>
            </w:r>
          </w:hyperlink>
        </w:p>
        <w:p w14:paraId="6B7A9DF6" w14:textId="0702CE4D" w:rsidR="00514939" w:rsidRDefault="00514939">
          <w:pPr>
            <w:pStyle w:val="Sumrio2"/>
            <w:tabs>
              <w:tab w:val="right" w:leader="dot" w:pos="9061"/>
            </w:tabs>
            <w:rPr>
              <w:rFonts w:asciiTheme="minorHAnsi" w:eastAsiaTheme="minorEastAsia" w:hAnsiTheme="minorHAnsi"/>
              <w:noProof/>
              <w:lang w:eastAsia="pt-BR"/>
            </w:rPr>
          </w:pPr>
          <w:hyperlink w:anchor="_Toc230204205" w:history="1">
            <w:r w:rsidRPr="004A0D71">
              <w:rPr>
                <w:rStyle w:val="Hyperlink"/>
                <w:rFonts w:eastAsia="Times New Roman"/>
                <w:noProof/>
                <w:lang w:eastAsia="pt-BR"/>
              </w:rPr>
              <w:t>16.3. Riscos de CAPEX</w:t>
            </w:r>
            <w:r>
              <w:rPr>
                <w:noProof/>
                <w:webHidden/>
              </w:rPr>
              <w:tab/>
            </w:r>
            <w:r>
              <w:rPr>
                <w:noProof/>
                <w:webHidden/>
              </w:rPr>
              <w:fldChar w:fldCharType="begin"/>
            </w:r>
            <w:r>
              <w:rPr>
                <w:noProof/>
                <w:webHidden/>
              </w:rPr>
              <w:instrText xml:space="preserve"> PAGEREF _Toc230204205 \h </w:instrText>
            </w:r>
            <w:r>
              <w:rPr>
                <w:noProof/>
                <w:webHidden/>
              </w:rPr>
            </w:r>
            <w:r>
              <w:rPr>
                <w:noProof/>
                <w:webHidden/>
              </w:rPr>
              <w:fldChar w:fldCharType="separate"/>
            </w:r>
            <w:r w:rsidR="00B90978">
              <w:rPr>
                <w:noProof/>
                <w:webHidden/>
              </w:rPr>
              <w:t>160</w:t>
            </w:r>
            <w:r>
              <w:rPr>
                <w:noProof/>
                <w:webHidden/>
              </w:rPr>
              <w:fldChar w:fldCharType="end"/>
            </w:r>
          </w:hyperlink>
        </w:p>
        <w:p w14:paraId="5A0ACF0A" w14:textId="52B9A3A3" w:rsidR="00514939" w:rsidRDefault="00514939">
          <w:pPr>
            <w:pStyle w:val="Sumrio2"/>
            <w:tabs>
              <w:tab w:val="right" w:leader="dot" w:pos="9061"/>
            </w:tabs>
            <w:rPr>
              <w:rFonts w:asciiTheme="minorHAnsi" w:eastAsiaTheme="minorEastAsia" w:hAnsiTheme="minorHAnsi"/>
              <w:noProof/>
              <w:lang w:eastAsia="pt-BR"/>
            </w:rPr>
          </w:pPr>
          <w:hyperlink w:anchor="_Toc230204206" w:history="1">
            <w:r w:rsidRPr="004A0D71">
              <w:rPr>
                <w:rStyle w:val="Hyperlink"/>
                <w:rFonts w:eastAsia="Times New Roman"/>
                <w:noProof/>
                <w:lang w:eastAsia="pt-BR"/>
              </w:rPr>
              <w:t>16.4. Riscos de OPEX</w:t>
            </w:r>
            <w:r>
              <w:rPr>
                <w:noProof/>
                <w:webHidden/>
              </w:rPr>
              <w:tab/>
            </w:r>
            <w:r>
              <w:rPr>
                <w:noProof/>
                <w:webHidden/>
              </w:rPr>
              <w:fldChar w:fldCharType="begin"/>
            </w:r>
            <w:r>
              <w:rPr>
                <w:noProof/>
                <w:webHidden/>
              </w:rPr>
              <w:instrText xml:space="preserve"> PAGEREF _Toc230204206 \h </w:instrText>
            </w:r>
            <w:r>
              <w:rPr>
                <w:noProof/>
                <w:webHidden/>
              </w:rPr>
            </w:r>
            <w:r>
              <w:rPr>
                <w:noProof/>
                <w:webHidden/>
              </w:rPr>
              <w:fldChar w:fldCharType="separate"/>
            </w:r>
            <w:r w:rsidR="00B90978">
              <w:rPr>
                <w:noProof/>
                <w:webHidden/>
              </w:rPr>
              <w:t>161</w:t>
            </w:r>
            <w:r>
              <w:rPr>
                <w:noProof/>
                <w:webHidden/>
              </w:rPr>
              <w:fldChar w:fldCharType="end"/>
            </w:r>
          </w:hyperlink>
        </w:p>
        <w:p w14:paraId="6BB5A964" w14:textId="1E5E2F35" w:rsidR="00514939" w:rsidRDefault="00514939">
          <w:pPr>
            <w:pStyle w:val="Sumrio2"/>
            <w:tabs>
              <w:tab w:val="right" w:leader="dot" w:pos="9061"/>
            </w:tabs>
            <w:rPr>
              <w:rFonts w:asciiTheme="minorHAnsi" w:eastAsiaTheme="minorEastAsia" w:hAnsiTheme="minorHAnsi"/>
              <w:noProof/>
              <w:lang w:eastAsia="pt-BR"/>
            </w:rPr>
          </w:pPr>
          <w:hyperlink w:anchor="_Toc230204207" w:history="1">
            <w:r w:rsidRPr="004A0D71">
              <w:rPr>
                <w:rStyle w:val="Hyperlink"/>
                <w:rFonts w:eastAsia="Times New Roman"/>
                <w:noProof/>
                <w:lang w:eastAsia="pt-BR"/>
              </w:rPr>
              <w:t>16.5. Riscos das receitas principais</w:t>
            </w:r>
            <w:r>
              <w:rPr>
                <w:noProof/>
                <w:webHidden/>
              </w:rPr>
              <w:tab/>
            </w:r>
            <w:r>
              <w:rPr>
                <w:noProof/>
                <w:webHidden/>
              </w:rPr>
              <w:fldChar w:fldCharType="begin"/>
            </w:r>
            <w:r>
              <w:rPr>
                <w:noProof/>
                <w:webHidden/>
              </w:rPr>
              <w:instrText xml:space="preserve"> PAGEREF _Toc230204207 \h </w:instrText>
            </w:r>
            <w:r>
              <w:rPr>
                <w:noProof/>
                <w:webHidden/>
              </w:rPr>
            </w:r>
            <w:r>
              <w:rPr>
                <w:noProof/>
                <w:webHidden/>
              </w:rPr>
              <w:fldChar w:fldCharType="separate"/>
            </w:r>
            <w:r w:rsidR="00B90978">
              <w:rPr>
                <w:noProof/>
                <w:webHidden/>
              </w:rPr>
              <w:t>161</w:t>
            </w:r>
            <w:r>
              <w:rPr>
                <w:noProof/>
                <w:webHidden/>
              </w:rPr>
              <w:fldChar w:fldCharType="end"/>
            </w:r>
          </w:hyperlink>
        </w:p>
        <w:p w14:paraId="33305DB6" w14:textId="77AB644E" w:rsidR="00514939" w:rsidRDefault="00514939">
          <w:pPr>
            <w:pStyle w:val="Sumrio2"/>
            <w:tabs>
              <w:tab w:val="right" w:leader="dot" w:pos="9061"/>
            </w:tabs>
            <w:rPr>
              <w:rFonts w:asciiTheme="minorHAnsi" w:eastAsiaTheme="minorEastAsia" w:hAnsiTheme="minorHAnsi"/>
              <w:noProof/>
              <w:lang w:eastAsia="pt-BR"/>
            </w:rPr>
          </w:pPr>
          <w:hyperlink w:anchor="_Toc230204208" w:history="1">
            <w:r w:rsidRPr="004A0D71">
              <w:rPr>
                <w:rStyle w:val="Hyperlink"/>
                <w:rFonts w:eastAsia="Times New Roman"/>
                <w:noProof/>
                <w:lang w:eastAsia="pt-BR"/>
              </w:rPr>
              <w:t>16.6. Riscos das receitas acessórias</w:t>
            </w:r>
            <w:r>
              <w:rPr>
                <w:noProof/>
                <w:webHidden/>
              </w:rPr>
              <w:tab/>
            </w:r>
            <w:r>
              <w:rPr>
                <w:noProof/>
                <w:webHidden/>
              </w:rPr>
              <w:fldChar w:fldCharType="begin"/>
            </w:r>
            <w:r>
              <w:rPr>
                <w:noProof/>
                <w:webHidden/>
              </w:rPr>
              <w:instrText xml:space="preserve"> PAGEREF _Toc230204208 \h </w:instrText>
            </w:r>
            <w:r>
              <w:rPr>
                <w:noProof/>
                <w:webHidden/>
              </w:rPr>
            </w:r>
            <w:r>
              <w:rPr>
                <w:noProof/>
                <w:webHidden/>
              </w:rPr>
              <w:fldChar w:fldCharType="separate"/>
            </w:r>
            <w:r w:rsidR="00B90978">
              <w:rPr>
                <w:noProof/>
                <w:webHidden/>
              </w:rPr>
              <w:t>162</w:t>
            </w:r>
            <w:r>
              <w:rPr>
                <w:noProof/>
                <w:webHidden/>
              </w:rPr>
              <w:fldChar w:fldCharType="end"/>
            </w:r>
          </w:hyperlink>
        </w:p>
        <w:p w14:paraId="6187D6AC" w14:textId="34ED12EB" w:rsidR="00514939" w:rsidRDefault="00514939">
          <w:pPr>
            <w:pStyle w:val="Sumrio2"/>
            <w:tabs>
              <w:tab w:val="right" w:leader="dot" w:pos="9061"/>
            </w:tabs>
            <w:rPr>
              <w:rFonts w:asciiTheme="minorHAnsi" w:eastAsiaTheme="minorEastAsia" w:hAnsiTheme="minorHAnsi"/>
              <w:noProof/>
              <w:lang w:eastAsia="pt-BR"/>
            </w:rPr>
          </w:pPr>
          <w:hyperlink w:anchor="_Toc230204209" w:history="1">
            <w:r w:rsidRPr="004A0D71">
              <w:rPr>
                <w:rStyle w:val="Hyperlink"/>
                <w:rFonts w:eastAsia="Times New Roman"/>
                <w:noProof/>
                <w:lang w:eastAsia="pt-BR"/>
              </w:rPr>
              <w:t>16.7. Riscos tecnológicos</w:t>
            </w:r>
            <w:r>
              <w:rPr>
                <w:noProof/>
                <w:webHidden/>
              </w:rPr>
              <w:tab/>
            </w:r>
            <w:r>
              <w:rPr>
                <w:noProof/>
                <w:webHidden/>
              </w:rPr>
              <w:fldChar w:fldCharType="begin"/>
            </w:r>
            <w:r>
              <w:rPr>
                <w:noProof/>
                <w:webHidden/>
              </w:rPr>
              <w:instrText xml:space="preserve"> PAGEREF _Toc230204209 \h </w:instrText>
            </w:r>
            <w:r>
              <w:rPr>
                <w:noProof/>
                <w:webHidden/>
              </w:rPr>
            </w:r>
            <w:r>
              <w:rPr>
                <w:noProof/>
                <w:webHidden/>
              </w:rPr>
              <w:fldChar w:fldCharType="separate"/>
            </w:r>
            <w:r w:rsidR="00B90978">
              <w:rPr>
                <w:noProof/>
                <w:webHidden/>
              </w:rPr>
              <w:t>163</w:t>
            </w:r>
            <w:r>
              <w:rPr>
                <w:noProof/>
                <w:webHidden/>
              </w:rPr>
              <w:fldChar w:fldCharType="end"/>
            </w:r>
          </w:hyperlink>
        </w:p>
        <w:p w14:paraId="3343703B" w14:textId="20365B86" w:rsidR="00514939" w:rsidRDefault="00514939">
          <w:pPr>
            <w:pStyle w:val="Sumrio2"/>
            <w:tabs>
              <w:tab w:val="right" w:leader="dot" w:pos="9061"/>
            </w:tabs>
            <w:rPr>
              <w:rFonts w:asciiTheme="minorHAnsi" w:eastAsiaTheme="minorEastAsia" w:hAnsiTheme="minorHAnsi"/>
              <w:noProof/>
              <w:lang w:eastAsia="pt-BR"/>
            </w:rPr>
          </w:pPr>
          <w:hyperlink w:anchor="_Toc230204210" w:history="1">
            <w:r w:rsidRPr="004A0D71">
              <w:rPr>
                <w:rStyle w:val="Hyperlink"/>
                <w:rFonts w:eastAsia="Times New Roman"/>
                <w:noProof/>
                <w:lang w:eastAsia="pt-BR"/>
              </w:rPr>
              <w:t>16.8. Riscos ambientais e de licenciamento</w:t>
            </w:r>
            <w:r>
              <w:rPr>
                <w:noProof/>
                <w:webHidden/>
              </w:rPr>
              <w:tab/>
            </w:r>
            <w:r>
              <w:rPr>
                <w:noProof/>
                <w:webHidden/>
              </w:rPr>
              <w:fldChar w:fldCharType="begin"/>
            </w:r>
            <w:r>
              <w:rPr>
                <w:noProof/>
                <w:webHidden/>
              </w:rPr>
              <w:instrText xml:space="preserve"> PAGEREF _Toc230204210 \h </w:instrText>
            </w:r>
            <w:r>
              <w:rPr>
                <w:noProof/>
                <w:webHidden/>
              </w:rPr>
            </w:r>
            <w:r>
              <w:rPr>
                <w:noProof/>
                <w:webHidden/>
              </w:rPr>
              <w:fldChar w:fldCharType="separate"/>
            </w:r>
            <w:r w:rsidR="00B90978">
              <w:rPr>
                <w:noProof/>
                <w:webHidden/>
              </w:rPr>
              <w:t>164</w:t>
            </w:r>
            <w:r>
              <w:rPr>
                <w:noProof/>
                <w:webHidden/>
              </w:rPr>
              <w:fldChar w:fldCharType="end"/>
            </w:r>
          </w:hyperlink>
        </w:p>
        <w:p w14:paraId="3D3568EA" w14:textId="28679E96" w:rsidR="00514939" w:rsidRDefault="00514939">
          <w:pPr>
            <w:pStyle w:val="Sumrio2"/>
            <w:tabs>
              <w:tab w:val="right" w:leader="dot" w:pos="9061"/>
            </w:tabs>
            <w:rPr>
              <w:rFonts w:asciiTheme="minorHAnsi" w:eastAsiaTheme="minorEastAsia" w:hAnsiTheme="minorHAnsi"/>
              <w:noProof/>
              <w:lang w:eastAsia="pt-BR"/>
            </w:rPr>
          </w:pPr>
          <w:hyperlink w:anchor="_Toc230204211" w:history="1">
            <w:r w:rsidRPr="004A0D71">
              <w:rPr>
                <w:rStyle w:val="Hyperlink"/>
                <w:rFonts w:eastAsia="Times New Roman"/>
                <w:noProof/>
                <w:lang w:eastAsia="pt-BR"/>
              </w:rPr>
              <w:t>16.9. Riscos regulatórios da energia</w:t>
            </w:r>
            <w:r>
              <w:rPr>
                <w:noProof/>
                <w:webHidden/>
              </w:rPr>
              <w:tab/>
            </w:r>
            <w:r>
              <w:rPr>
                <w:noProof/>
                <w:webHidden/>
              </w:rPr>
              <w:fldChar w:fldCharType="begin"/>
            </w:r>
            <w:r>
              <w:rPr>
                <w:noProof/>
                <w:webHidden/>
              </w:rPr>
              <w:instrText xml:space="preserve"> PAGEREF _Toc230204211 \h </w:instrText>
            </w:r>
            <w:r>
              <w:rPr>
                <w:noProof/>
                <w:webHidden/>
              </w:rPr>
            </w:r>
            <w:r>
              <w:rPr>
                <w:noProof/>
                <w:webHidden/>
              </w:rPr>
              <w:fldChar w:fldCharType="separate"/>
            </w:r>
            <w:r w:rsidR="00B90978">
              <w:rPr>
                <w:noProof/>
                <w:webHidden/>
              </w:rPr>
              <w:t>165</w:t>
            </w:r>
            <w:r>
              <w:rPr>
                <w:noProof/>
                <w:webHidden/>
              </w:rPr>
              <w:fldChar w:fldCharType="end"/>
            </w:r>
          </w:hyperlink>
        </w:p>
        <w:p w14:paraId="4506BEE9" w14:textId="4FFDC556" w:rsidR="00514939" w:rsidRDefault="00514939">
          <w:pPr>
            <w:pStyle w:val="Sumrio2"/>
            <w:tabs>
              <w:tab w:val="right" w:leader="dot" w:pos="9061"/>
            </w:tabs>
            <w:rPr>
              <w:rFonts w:asciiTheme="minorHAnsi" w:eastAsiaTheme="minorEastAsia" w:hAnsiTheme="minorHAnsi"/>
              <w:noProof/>
              <w:lang w:eastAsia="pt-BR"/>
            </w:rPr>
          </w:pPr>
          <w:hyperlink w:anchor="_Toc230204212" w:history="1">
            <w:r w:rsidRPr="004A0D71">
              <w:rPr>
                <w:rStyle w:val="Hyperlink"/>
                <w:rFonts w:eastAsia="Times New Roman"/>
                <w:noProof/>
                <w:lang w:eastAsia="pt-BR"/>
              </w:rPr>
              <w:t>16.10. Riscos de demanda e volume de RSU</w:t>
            </w:r>
            <w:r>
              <w:rPr>
                <w:noProof/>
                <w:webHidden/>
              </w:rPr>
              <w:tab/>
            </w:r>
            <w:r>
              <w:rPr>
                <w:noProof/>
                <w:webHidden/>
              </w:rPr>
              <w:fldChar w:fldCharType="begin"/>
            </w:r>
            <w:r>
              <w:rPr>
                <w:noProof/>
                <w:webHidden/>
              </w:rPr>
              <w:instrText xml:space="preserve"> PAGEREF _Toc230204212 \h </w:instrText>
            </w:r>
            <w:r>
              <w:rPr>
                <w:noProof/>
                <w:webHidden/>
              </w:rPr>
            </w:r>
            <w:r>
              <w:rPr>
                <w:noProof/>
                <w:webHidden/>
              </w:rPr>
              <w:fldChar w:fldCharType="separate"/>
            </w:r>
            <w:r w:rsidR="00B90978">
              <w:rPr>
                <w:noProof/>
                <w:webHidden/>
              </w:rPr>
              <w:t>166</w:t>
            </w:r>
            <w:r>
              <w:rPr>
                <w:noProof/>
                <w:webHidden/>
              </w:rPr>
              <w:fldChar w:fldCharType="end"/>
            </w:r>
          </w:hyperlink>
        </w:p>
        <w:p w14:paraId="2ED6CBAF" w14:textId="68F1AFC1" w:rsidR="00514939" w:rsidRDefault="00514939">
          <w:pPr>
            <w:pStyle w:val="Sumrio2"/>
            <w:tabs>
              <w:tab w:val="right" w:leader="dot" w:pos="9061"/>
            </w:tabs>
            <w:rPr>
              <w:rFonts w:asciiTheme="minorHAnsi" w:eastAsiaTheme="minorEastAsia" w:hAnsiTheme="minorHAnsi"/>
              <w:noProof/>
              <w:lang w:eastAsia="pt-BR"/>
            </w:rPr>
          </w:pPr>
          <w:hyperlink w:anchor="_Toc230204213" w:history="1">
            <w:r w:rsidRPr="004A0D71">
              <w:rPr>
                <w:rStyle w:val="Hyperlink"/>
                <w:rFonts w:eastAsia="Times New Roman"/>
                <w:noProof/>
                <w:lang w:eastAsia="pt-BR"/>
              </w:rPr>
              <w:t>16.11. Riscos de inadimplemento e pagamento</w:t>
            </w:r>
            <w:r>
              <w:rPr>
                <w:noProof/>
                <w:webHidden/>
              </w:rPr>
              <w:tab/>
            </w:r>
            <w:r>
              <w:rPr>
                <w:noProof/>
                <w:webHidden/>
              </w:rPr>
              <w:fldChar w:fldCharType="begin"/>
            </w:r>
            <w:r>
              <w:rPr>
                <w:noProof/>
                <w:webHidden/>
              </w:rPr>
              <w:instrText xml:space="preserve"> PAGEREF _Toc230204213 \h </w:instrText>
            </w:r>
            <w:r>
              <w:rPr>
                <w:noProof/>
                <w:webHidden/>
              </w:rPr>
            </w:r>
            <w:r>
              <w:rPr>
                <w:noProof/>
                <w:webHidden/>
              </w:rPr>
              <w:fldChar w:fldCharType="separate"/>
            </w:r>
            <w:r w:rsidR="00B90978">
              <w:rPr>
                <w:noProof/>
                <w:webHidden/>
              </w:rPr>
              <w:t>166</w:t>
            </w:r>
            <w:r>
              <w:rPr>
                <w:noProof/>
                <w:webHidden/>
              </w:rPr>
              <w:fldChar w:fldCharType="end"/>
            </w:r>
          </w:hyperlink>
        </w:p>
        <w:p w14:paraId="0150C6A7" w14:textId="177C3629" w:rsidR="00514939" w:rsidRDefault="00514939">
          <w:pPr>
            <w:pStyle w:val="Sumrio2"/>
            <w:tabs>
              <w:tab w:val="right" w:leader="dot" w:pos="9061"/>
            </w:tabs>
            <w:rPr>
              <w:rFonts w:asciiTheme="minorHAnsi" w:eastAsiaTheme="minorEastAsia" w:hAnsiTheme="minorHAnsi"/>
              <w:noProof/>
              <w:lang w:eastAsia="pt-BR"/>
            </w:rPr>
          </w:pPr>
          <w:hyperlink w:anchor="_Toc230204214" w:history="1">
            <w:r w:rsidRPr="004A0D71">
              <w:rPr>
                <w:rStyle w:val="Hyperlink"/>
                <w:rFonts w:eastAsia="Times New Roman"/>
                <w:noProof/>
                <w:lang w:eastAsia="pt-BR"/>
              </w:rPr>
              <w:t>16.12. Riscos financeiros</w:t>
            </w:r>
            <w:r>
              <w:rPr>
                <w:noProof/>
                <w:webHidden/>
              </w:rPr>
              <w:tab/>
            </w:r>
            <w:r>
              <w:rPr>
                <w:noProof/>
                <w:webHidden/>
              </w:rPr>
              <w:fldChar w:fldCharType="begin"/>
            </w:r>
            <w:r>
              <w:rPr>
                <w:noProof/>
                <w:webHidden/>
              </w:rPr>
              <w:instrText xml:space="preserve"> PAGEREF _Toc230204214 \h </w:instrText>
            </w:r>
            <w:r>
              <w:rPr>
                <w:noProof/>
                <w:webHidden/>
              </w:rPr>
            </w:r>
            <w:r>
              <w:rPr>
                <w:noProof/>
                <w:webHidden/>
              </w:rPr>
              <w:fldChar w:fldCharType="separate"/>
            </w:r>
            <w:r w:rsidR="00B90978">
              <w:rPr>
                <w:noProof/>
                <w:webHidden/>
              </w:rPr>
              <w:t>167</w:t>
            </w:r>
            <w:r>
              <w:rPr>
                <w:noProof/>
                <w:webHidden/>
              </w:rPr>
              <w:fldChar w:fldCharType="end"/>
            </w:r>
          </w:hyperlink>
        </w:p>
        <w:p w14:paraId="12E1B27D" w14:textId="2D92B33A" w:rsidR="00514939" w:rsidRDefault="00514939">
          <w:pPr>
            <w:pStyle w:val="Sumrio2"/>
            <w:tabs>
              <w:tab w:val="right" w:leader="dot" w:pos="9061"/>
            </w:tabs>
            <w:rPr>
              <w:rFonts w:asciiTheme="minorHAnsi" w:eastAsiaTheme="minorEastAsia" w:hAnsiTheme="minorHAnsi"/>
              <w:noProof/>
              <w:lang w:eastAsia="pt-BR"/>
            </w:rPr>
          </w:pPr>
          <w:hyperlink w:anchor="_Toc230204215" w:history="1">
            <w:r w:rsidRPr="004A0D71">
              <w:rPr>
                <w:rStyle w:val="Hyperlink"/>
                <w:rFonts w:eastAsia="Times New Roman"/>
                <w:noProof/>
                <w:lang w:eastAsia="pt-BR"/>
              </w:rPr>
              <w:t>16.13. Riscos de força maior e caso fortuito</w:t>
            </w:r>
            <w:r>
              <w:rPr>
                <w:noProof/>
                <w:webHidden/>
              </w:rPr>
              <w:tab/>
            </w:r>
            <w:r>
              <w:rPr>
                <w:noProof/>
                <w:webHidden/>
              </w:rPr>
              <w:fldChar w:fldCharType="begin"/>
            </w:r>
            <w:r>
              <w:rPr>
                <w:noProof/>
                <w:webHidden/>
              </w:rPr>
              <w:instrText xml:space="preserve"> PAGEREF _Toc230204215 \h </w:instrText>
            </w:r>
            <w:r>
              <w:rPr>
                <w:noProof/>
                <w:webHidden/>
              </w:rPr>
            </w:r>
            <w:r>
              <w:rPr>
                <w:noProof/>
                <w:webHidden/>
              </w:rPr>
              <w:fldChar w:fldCharType="separate"/>
            </w:r>
            <w:r w:rsidR="00B90978">
              <w:rPr>
                <w:noProof/>
                <w:webHidden/>
              </w:rPr>
              <w:t>168</w:t>
            </w:r>
            <w:r>
              <w:rPr>
                <w:noProof/>
                <w:webHidden/>
              </w:rPr>
              <w:fldChar w:fldCharType="end"/>
            </w:r>
          </w:hyperlink>
        </w:p>
        <w:p w14:paraId="77891344" w14:textId="438D3A97" w:rsidR="00514939" w:rsidRDefault="00514939">
          <w:pPr>
            <w:pStyle w:val="Sumrio2"/>
            <w:tabs>
              <w:tab w:val="right" w:leader="dot" w:pos="9061"/>
            </w:tabs>
            <w:rPr>
              <w:rFonts w:asciiTheme="minorHAnsi" w:eastAsiaTheme="minorEastAsia" w:hAnsiTheme="minorHAnsi"/>
              <w:noProof/>
              <w:lang w:eastAsia="pt-BR"/>
            </w:rPr>
          </w:pPr>
          <w:hyperlink w:anchor="_Toc230204216" w:history="1">
            <w:r w:rsidRPr="004A0D71">
              <w:rPr>
                <w:rStyle w:val="Hyperlink"/>
                <w:rFonts w:eastAsia="Times New Roman"/>
                <w:noProof/>
                <w:lang w:eastAsia="pt-BR"/>
              </w:rPr>
              <w:t>16.14. Síntese da matriz de riscos</w:t>
            </w:r>
            <w:r>
              <w:rPr>
                <w:noProof/>
                <w:webHidden/>
              </w:rPr>
              <w:tab/>
            </w:r>
            <w:r>
              <w:rPr>
                <w:noProof/>
                <w:webHidden/>
              </w:rPr>
              <w:fldChar w:fldCharType="begin"/>
            </w:r>
            <w:r>
              <w:rPr>
                <w:noProof/>
                <w:webHidden/>
              </w:rPr>
              <w:instrText xml:space="preserve"> PAGEREF _Toc230204216 \h </w:instrText>
            </w:r>
            <w:r>
              <w:rPr>
                <w:noProof/>
                <w:webHidden/>
              </w:rPr>
            </w:r>
            <w:r>
              <w:rPr>
                <w:noProof/>
                <w:webHidden/>
              </w:rPr>
              <w:fldChar w:fldCharType="separate"/>
            </w:r>
            <w:r w:rsidR="00B90978">
              <w:rPr>
                <w:noProof/>
                <w:webHidden/>
              </w:rPr>
              <w:t>168</w:t>
            </w:r>
            <w:r>
              <w:rPr>
                <w:noProof/>
                <w:webHidden/>
              </w:rPr>
              <w:fldChar w:fldCharType="end"/>
            </w:r>
          </w:hyperlink>
        </w:p>
        <w:p w14:paraId="60B50356" w14:textId="4E629FC4" w:rsidR="00514939" w:rsidRDefault="00514939">
          <w:pPr>
            <w:pStyle w:val="Sumrio2"/>
            <w:tabs>
              <w:tab w:val="right" w:leader="dot" w:pos="9061"/>
            </w:tabs>
            <w:rPr>
              <w:rFonts w:asciiTheme="minorHAnsi" w:eastAsiaTheme="minorEastAsia" w:hAnsiTheme="minorHAnsi"/>
              <w:noProof/>
              <w:lang w:eastAsia="pt-BR"/>
            </w:rPr>
          </w:pPr>
          <w:hyperlink w:anchor="_Toc230204217" w:history="1">
            <w:r w:rsidRPr="004A0D71">
              <w:rPr>
                <w:rStyle w:val="Hyperlink"/>
                <w:rFonts w:eastAsia="Times New Roman"/>
                <w:noProof/>
                <w:lang w:eastAsia="pt-BR"/>
              </w:rPr>
              <w:t>16.15. Relação entre matriz de riscos e reequilíbrio</w:t>
            </w:r>
            <w:r>
              <w:rPr>
                <w:noProof/>
                <w:webHidden/>
              </w:rPr>
              <w:tab/>
            </w:r>
            <w:r>
              <w:rPr>
                <w:noProof/>
                <w:webHidden/>
              </w:rPr>
              <w:fldChar w:fldCharType="begin"/>
            </w:r>
            <w:r>
              <w:rPr>
                <w:noProof/>
                <w:webHidden/>
              </w:rPr>
              <w:instrText xml:space="preserve"> PAGEREF _Toc230204217 \h </w:instrText>
            </w:r>
            <w:r>
              <w:rPr>
                <w:noProof/>
                <w:webHidden/>
              </w:rPr>
            </w:r>
            <w:r>
              <w:rPr>
                <w:noProof/>
                <w:webHidden/>
              </w:rPr>
              <w:fldChar w:fldCharType="separate"/>
            </w:r>
            <w:r w:rsidR="00B90978">
              <w:rPr>
                <w:noProof/>
                <w:webHidden/>
              </w:rPr>
              <w:t>169</w:t>
            </w:r>
            <w:r>
              <w:rPr>
                <w:noProof/>
                <w:webHidden/>
              </w:rPr>
              <w:fldChar w:fldCharType="end"/>
            </w:r>
          </w:hyperlink>
        </w:p>
        <w:p w14:paraId="1B4DE491" w14:textId="3C8CE290" w:rsidR="00514939" w:rsidRDefault="00514939">
          <w:pPr>
            <w:pStyle w:val="Sumrio2"/>
            <w:tabs>
              <w:tab w:val="right" w:leader="dot" w:pos="9061"/>
            </w:tabs>
            <w:rPr>
              <w:rFonts w:asciiTheme="minorHAnsi" w:eastAsiaTheme="minorEastAsia" w:hAnsiTheme="minorHAnsi"/>
              <w:noProof/>
              <w:lang w:eastAsia="pt-BR"/>
            </w:rPr>
          </w:pPr>
          <w:hyperlink w:anchor="_Toc230204218" w:history="1">
            <w:r w:rsidRPr="004A0D71">
              <w:rPr>
                <w:rStyle w:val="Hyperlink"/>
                <w:rFonts w:eastAsia="Times New Roman"/>
                <w:noProof/>
                <w:lang w:eastAsia="pt-BR"/>
              </w:rPr>
              <w:t>16.16. Cláusula recomendada de interpretação da matriz</w:t>
            </w:r>
            <w:r>
              <w:rPr>
                <w:noProof/>
                <w:webHidden/>
              </w:rPr>
              <w:tab/>
            </w:r>
            <w:r>
              <w:rPr>
                <w:noProof/>
                <w:webHidden/>
              </w:rPr>
              <w:fldChar w:fldCharType="begin"/>
            </w:r>
            <w:r>
              <w:rPr>
                <w:noProof/>
                <w:webHidden/>
              </w:rPr>
              <w:instrText xml:space="preserve"> PAGEREF _Toc230204218 \h </w:instrText>
            </w:r>
            <w:r>
              <w:rPr>
                <w:noProof/>
                <w:webHidden/>
              </w:rPr>
            </w:r>
            <w:r>
              <w:rPr>
                <w:noProof/>
                <w:webHidden/>
              </w:rPr>
              <w:fldChar w:fldCharType="separate"/>
            </w:r>
            <w:r w:rsidR="00B90978">
              <w:rPr>
                <w:noProof/>
                <w:webHidden/>
              </w:rPr>
              <w:t>170</w:t>
            </w:r>
            <w:r>
              <w:rPr>
                <w:noProof/>
                <w:webHidden/>
              </w:rPr>
              <w:fldChar w:fldCharType="end"/>
            </w:r>
          </w:hyperlink>
        </w:p>
        <w:p w14:paraId="16465EDA" w14:textId="3B6EF3B9" w:rsidR="00514939" w:rsidRDefault="00514939">
          <w:pPr>
            <w:pStyle w:val="Sumrio2"/>
            <w:tabs>
              <w:tab w:val="right" w:leader="dot" w:pos="9061"/>
            </w:tabs>
            <w:rPr>
              <w:rFonts w:asciiTheme="minorHAnsi" w:eastAsiaTheme="minorEastAsia" w:hAnsiTheme="minorHAnsi"/>
              <w:noProof/>
              <w:lang w:eastAsia="pt-BR"/>
            </w:rPr>
          </w:pPr>
          <w:hyperlink w:anchor="_Toc230204219" w:history="1">
            <w:r w:rsidRPr="004A0D71">
              <w:rPr>
                <w:rStyle w:val="Hyperlink"/>
                <w:rFonts w:eastAsia="Times New Roman"/>
                <w:noProof/>
                <w:lang w:eastAsia="pt-BR"/>
              </w:rPr>
              <w:t>16.17. Conclusão do tópico</w:t>
            </w:r>
            <w:r>
              <w:rPr>
                <w:noProof/>
                <w:webHidden/>
              </w:rPr>
              <w:tab/>
            </w:r>
            <w:r>
              <w:rPr>
                <w:noProof/>
                <w:webHidden/>
              </w:rPr>
              <w:fldChar w:fldCharType="begin"/>
            </w:r>
            <w:r>
              <w:rPr>
                <w:noProof/>
                <w:webHidden/>
              </w:rPr>
              <w:instrText xml:space="preserve"> PAGEREF _Toc230204219 \h </w:instrText>
            </w:r>
            <w:r>
              <w:rPr>
                <w:noProof/>
                <w:webHidden/>
              </w:rPr>
            </w:r>
            <w:r>
              <w:rPr>
                <w:noProof/>
                <w:webHidden/>
              </w:rPr>
              <w:fldChar w:fldCharType="separate"/>
            </w:r>
            <w:r w:rsidR="00B90978">
              <w:rPr>
                <w:noProof/>
                <w:webHidden/>
              </w:rPr>
              <w:t>170</w:t>
            </w:r>
            <w:r>
              <w:rPr>
                <w:noProof/>
                <w:webHidden/>
              </w:rPr>
              <w:fldChar w:fldCharType="end"/>
            </w:r>
          </w:hyperlink>
        </w:p>
        <w:p w14:paraId="24B1924F" w14:textId="5FE5473C" w:rsidR="00514939" w:rsidRDefault="00514939">
          <w:pPr>
            <w:pStyle w:val="Sumrio1"/>
            <w:tabs>
              <w:tab w:val="right" w:leader="dot" w:pos="9061"/>
            </w:tabs>
            <w:rPr>
              <w:rFonts w:asciiTheme="minorHAnsi" w:eastAsiaTheme="minorEastAsia" w:hAnsiTheme="minorHAnsi"/>
              <w:noProof/>
              <w:lang w:eastAsia="pt-BR"/>
            </w:rPr>
          </w:pPr>
          <w:hyperlink w:anchor="_Toc230204220" w:history="1">
            <w:r w:rsidRPr="004A0D71">
              <w:rPr>
                <w:rStyle w:val="Hyperlink"/>
                <w:rFonts w:eastAsia="Times New Roman"/>
                <w:noProof/>
                <w:lang w:eastAsia="pt-BR"/>
              </w:rPr>
              <w:t>17. Reequilíbrio Econômico-Financeiro e Mecanismos de Recomposição</w:t>
            </w:r>
            <w:r>
              <w:rPr>
                <w:noProof/>
                <w:webHidden/>
              </w:rPr>
              <w:tab/>
            </w:r>
            <w:r>
              <w:rPr>
                <w:noProof/>
                <w:webHidden/>
              </w:rPr>
              <w:fldChar w:fldCharType="begin"/>
            </w:r>
            <w:r>
              <w:rPr>
                <w:noProof/>
                <w:webHidden/>
              </w:rPr>
              <w:instrText xml:space="preserve"> PAGEREF _Toc230204220 \h </w:instrText>
            </w:r>
            <w:r>
              <w:rPr>
                <w:noProof/>
                <w:webHidden/>
              </w:rPr>
            </w:r>
            <w:r>
              <w:rPr>
                <w:noProof/>
                <w:webHidden/>
              </w:rPr>
              <w:fldChar w:fldCharType="separate"/>
            </w:r>
            <w:r w:rsidR="00B90978">
              <w:rPr>
                <w:noProof/>
                <w:webHidden/>
              </w:rPr>
              <w:t>172</w:t>
            </w:r>
            <w:r>
              <w:rPr>
                <w:noProof/>
                <w:webHidden/>
              </w:rPr>
              <w:fldChar w:fldCharType="end"/>
            </w:r>
          </w:hyperlink>
        </w:p>
        <w:p w14:paraId="4B46B49E" w14:textId="3D5C2BA0" w:rsidR="00514939" w:rsidRDefault="00514939">
          <w:pPr>
            <w:pStyle w:val="Sumrio2"/>
            <w:tabs>
              <w:tab w:val="right" w:leader="dot" w:pos="9061"/>
            </w:tabs>
            <w:rPr>
              <w:rFonts w:asciiTheme="minorHAnsi" w:eastAsiaTheme="minorEastAsia" w:hAnsiTheme="minorHAnsi"/>
              <w:noProof/>
              <w:lang w:eastAsia="pt-BR"/>
            </w:rPr>
          </w:pPr>
          <w:hyperlink w:anchor="_Toc230204221" w:history="1">
            <w:r w:rsidRPr="004A0D71">
              <w:rPr>
                <w:rStyle w:val="Hyperlink"/>
                <w:rFonts w:eastAsia="Times New Roman"/>
                <w:noProof/>
                <w:lang w:eastAsia="pt-BR"/>
              </w:rPr>
              <w:t>17.1. Finalidade do reequilíbrio econômico-financeiro</w:t>
            </w:r>
            <w:r>
              <w:rPr>
                <w:noProof/>
                <w:webHidden/>
              </w:rPr>
              <w:tab/>
            </w:r>
            <w:r>
              <w:rPr>
                <w:noProof/>
                <w:webHidden/>
              </w:rPr>
              <w:fldChar w:fldCharType="begin"/>
            </w:r>
            <w:r>
              <w:rPr>
                <w:noProof/>
                <w:webHidden/>
              </w:rPr>
              <w:instrText xml:space="preserve"> PAGEREF _Toc230204221 \h </w:instrText>
            </w:r>
            <w:r>
              <w:rPr>
                <w:noProof/>
                <w:webHidden/>
              </w:rPr>
            </w:r>
            <w:r>
              <w:rPr>
                <w:noProof/>
                <w:webHidden/>
              </w:rPr>
              <w:fldChar w:fldCharType="separate"/>
            </w:r>
            <w:r w:rsidR="00B90978">
              <w:rPr>
                <w:noProof/>
                <w:webHidden/>
              </w:rPr>
              <w:t>172</w:t>
            </w:r>
            <w:r>
              <w:rPr>
                <w:noProof/>
                <w:webHidden/>
              </w:rPr>
              <w:fldChar w:fldCharType="end"/>
            </w:r>
          </w:hyperlink>
        </w:p>
        <w:p w14:paraId="728BFC05" w14:textId="398067C1" w:rsidR="00514939" w:rsidRDefault="00514939">
          <w:pPr>
            <w:pStyle w:val="Sumrio2"/>
            <w:tabs>
              <w:tab w:val="right" w:leader="dot" w:pos="9061"/>
            </w:tabs>
            <w:rPr>
              <w:rFonts w:asciiTheme="minorHAnsi" w:eastAsiaTheme="minorEastAsia" w:hAnsiTheme="minorHAnsi"/>
              <w:noProof/>
              <w:lang w:eastAsia="pt-BR"/>
            </w:rPr>
          </w:pPr>
          <w:hyperlink w:anchor="_Toc230204222" w:history="1">
            <w:r w:rsidRPr="004A0D71">
              <w:rPr>
                <w:rStyle w:val="Hyperlink"/>
                <w:rFonts w:eastAsia="Times New Roman"/>
                <w:noProof/>
                <w:lang w:eastAsia="pt-BR"/>
              </w:rPr>
              <w:t>17.2. Eventos que não devem gerar reequilíbrio automático</w:t>
            </w:r>
            <w:r>
              <w:rPr>
                <w:noProof/>
                <w:webHidden/>
              </w:rPr>
              <w:tab/>
            </w:r>
            <w:r>
              <w:rPr>
                <w:noProof/>
                <w:webHidden/>
              </w:rPr>
              <w:fldChar w:fldCharType="begin"/>
            </w:r>
            <w:r>
              <w:rPr>
                <w:noProof/>
                <w:webHidden/>
              </w:rPr>
              <w:instrText xml:space="preserve"> PAGEREF _Toc230204222 \h </w:instrText>
            </w:r>
            <w:r>
              <w:rPr>
                <w:noProof/>
                <w:webHidden/>
              </w:rPr>
            </w:r>
            <w:r>
              <w:rPr>
                <w:noProof/>
                <w:webHidden/>
              </w:rPr>
              <w:fldChar w:fldCharType="separate"/>
            </w:r>
            <w:r w:rsidR="00B90978">
              <w:rPr>
                <w:noProof/>
                <w:webHidden/>
              </w:rPr>
              <w:t>173</w:t>
            </w:r>
            <w:r>
              <w:rPr>
                <w:noProof/>
                <w:webHidden/>
              </w:rPr>
              <w:fldChar w:fldCharType="end"/>
            </w:r>
          </w:hyperlink>
        </w:p>
        <w:p w14:paraId="7F5037DC" w14:textId="749DB329" w:rsidR="00514939" w:rsidRDefault="00514939">
          <w:pPr>
            <w:pStyle w:val="Sumrio2"/>
            <w:tabs>
              <w:tab w:val="right" w:leader="dot" w:pos="9061"/>
            </w:tabs>
            <w:rPr>
              <w:rFonts w:asciiTheme="minorHAnsi" w:eastAsiaTheme="minorEastAsia" w:hAnsiTheme="minorHAnsi"/>
              <w:noProof/>
              <w:lang w:eastAsia="pt-BR"/>
            </w:rPr>
          </w:pPr>
          <w:hyperlink w:anchor="_Toc230204223" w:history="1">
            <w:r w:rsidRPr="004A0D71">
              <w:rPr>
                <w:rStyle w:val="Hyperlink"/>
                <w:rFonts w:eastAsia="Times New Roman"/>
                <w:noProof/>
                <w:lang w:eastAsia="pt-BR"/>
              </w:rPr>
              <w:t>17.3. Eventos que podem ensejar reequilíbrio</w:t>
            </w:r>
            <w:r>
              <w:rPr>
                <w:noProof/>
                <w:webHidden/>
              </w:rPr>
              <w:tab/>
            </w:r>
            <w:r>
              <w:rPr>
                <w:noProof/>
                <w:webHidden/>
              </w:rPr>
              <w:fldChar w:fldCharType="begin"/>
            </w:r>
            <w:r>
              <w:rPr>
                <w:noProof/>
                <w:webHidden/>
              </w:rPr>
              <w:instrText xml:space="preserve"> PAGEREF _Toc230204223 \h </w:instrText>
            </w:r>
            <w:r>
              <w:rPr>
                <w:noProof/>
                <w:webHidden/>
              </w:rPr>
            </w:r>
            <w:r>
              <w:rPr>
                <w:noProof/>
                <w:webHidden/>
              </w:rPr>
              <w:fldChar w:fldCharType="separate"/>
            </w:r>
            <w:r w:rsidR="00B90978">
              <w:rPr>
                <w:noProof/>
                <w:webHidden/>
              </w:rPr>
              <w:t>174</w:t>
            </w:r>
            <w:r>
              <w:rPr>
                <w:noProof/>
                <w:webHidden/>
              </w:rPr>
              <w:fldChar w:fldCharType="end"/>
            </w:r>
          </w:hyperlink>
        </w:p>
        <w:p w14:paraId="437BF06D" w14:textId="4E4E3CF0" w:rsidR="00514939" w:rsidRDefault="00514939">
          <w:pPr>
            <w:pStyle w:val="Sumrio2"/>
            <w:tabs>
              <w:tab w:val="right" w:leader="dot" w:pos="9061"/>
            </w:tabs>
            <w:rPr>
              <w:rFonts w:asciiTheme="minorHAnsi" w:eastAsiaTheme="minorEastAsia" w:hAnsiTheme="minorHAnsi"/>
              <w:noProof/>
              <w:lang w:eastAsia="pt-BR"/>
            </w:rPr>
          </w:pPr>
          <w:hyperlink w:anchor="_Toc230204224" w:history="1">
            <w:r w:rsidRPr="004A0D71">
              <w:rPr>
                <w:rStyle w:val="Hyperlink"/>
                <w:rFonts w:eastAsia="Times New Roman"/>
                <w:noProof/>
                <w:lang w:eastAsia="pt-BR"/>
              </w:rPr>
              <w:t>17.4. Relação entre reequilíbrio e matriz de riscos</w:t>
            </w:r>
            <w:r>
              <w:rPr>
                <w:noProof/>
                <w:webHidden/>
              </w:rPr>
              <w:tab/>
            </w:r>
            <w:r>
              <w:rPr>
                <w:noProof/>
                <w:webHidden/>
              </w:rPr>
              <w:fldChar w:fldCharType="begin"/>
            </w:r>
            <w:r>
              <w:rPr>
                <w:noProof/>
                <w:webHidden/>
              </w:rPr>
              <w:instrText xml:space="preserve"> PAGEREF _Toc230204224 \h </w:instrText>
            </w:r>
            <w:r>
              <w:rPr>
                <w:noProof/>
                <w:webHidden/>
              </w:rPr>
            </w:r>
            <w:r>
              <w:rPr>
                <w:noProof/>
                <w:webHidden/>
              </w:rPr>
              <w:fldChar w:fldCharType="separate"/>
            </w:r>
            <w:r w:rsidR="00B90978">
              <w:rPr>
                <w:noProof/>
                <w:webHidden/>
              </w:rPr>
              <w:t>175</w:t>
            </w:r>
            <w:r>
              <w:rPr>
                <w:noProof/>
                <w:webHidden/>
              </w:rPr>
              <w:fldChar w:fldCharType="end"/>
            </w:r>
          </w:hyperlink>
        </w:p>
        <w:p w14:paraId="04C36908" w14:textId="3D497E8D" w:rsidR="00514939" w:rsidRDefault="00514939">
          <w:pPr>
            <w:pStyle w:val="Sumrio2"/>
            <w:tabs>
              <w:tab w:val="right" w:leader="dot" w:pos="9061"/>
            </w:tabs>
            <w:rPr>
              <w:rFonts w:asciiTheme="minorHAnsi" w:eastAsiaTheme="minorEastAsia" w:hAnsiTheme="minorHAnsi"/>
              <w:noProof/>
              <w:lang w:eastAsia="pt-BR"/>
            </w:rPr>
          </w:pPr>
          <w:hyperlink w:anchor="_Toc230204225" w:history="1">
            <w:r w:rsidRPr="004A0D71">
              <w:rPr>
                <w:rStyle w:val="Hyperlink"/>
                <w:rFonts w:eastAsia="Times New Roman"/>
                <w:noProof/>
                <w:lang w:eastAsia="pt-BR"/>
              </w:rPr>
              <w:t>17.5. Reequilíbrio e receitas principais</w:t>
            </w:r>
            <w:r>
              <w:rPr>
                <w:noProof/>
                <w:webHidden/>
              </w:rPr>
              <w:tab/>
            </w:r>
            <w:r>
              <w:rPr>
                <w:noProof/>
                <w:webHidden/>
              </w:rPr>
              <w:fldChar w:fldCharType="begin"/>
            </w:r>
            <w:r>
              <w:rPr>
                <w:noProof/>
                <w:webHidden/>
              </w:rPr>
              <w:instrText xml:space="preserve"> PAGEREF _Toc230204225 \h </w:instrText>
            </w:r>
            <w:r>
              <w:rPr>
                <w:noProof/>
                <w:webHidden/>
              </w:rPr>
            </w:r>
            <w:r>
              <w:rPr>
                <w:noProof/>
                <w:webHidden/>
              </w:rPr>
              <w:fldChar w:fldCharType="separate"/>
            </w:r>
            <w:r w:rsidR="00B90978">
              <w:rPr>
                <w:noProof/>
                <w:webHidden/>
              </w:rPr>
              <w:t>176</w:t>
            </w:r>
            <w:r>
              <w:rPr>
                <w:noProof/>
                <w:webHidden/>
              </w:rPr>
              <w:fldChar w:fldCharType="end"/>
            </w:r>
          </w:hyperlink>
        </w:p>
        <w:p w14:paraId="57A10CCE" w14:textId="632FC252" w:rsidR="00514939" w:rsidRDefault="00514939">
          <w:pPr>
            <w:pStyle w:val="Sumrio2"/>
            <w:tabs>
              <w:tab w:val="right" w:leader="dot" w:pos="9061"/>
            </w:tabs>
            <w:rPr>
              <w:rFonts w:asciiTheme="minorHAnsi" w:eastAsiaTheme="minorEastAsia" w:hAnsiTheme="minorHAnsi"/>
              <w:noProof/>
              <w:lang w:eastAsia="pt-BR"/>
            </w:rPr>
          </w:pPr>
          <w:hyperlink w:anchor="_Toc230204226" w:history="1">
            <w:r w:rsidRPr="004A0D71">
              <w:rPr>
                <w:rStyle w:val="Hyperlink"/>
                <w:rFonts w:eastAsia="Times New Roman"/>
                <w:noProof/>
                <w:lang w:eastAsia="pt-BR"/>
              </w:rPr>
              <w:t>17.6. Reequilíbrio e receitas acessórias</w:t>
            </w:r>
            <w:r>
              <w:rPr>
                <w:noProof/>
                <w:webHidden/>
              </w:rPr>
              <w:tab/>
            </w:r>
            <w:r>
              <w:rPr>
                <w:noProof/>
                <w:webHidden/>
              </w:rPr>
              <w:fldChar w:fldCharType="begin"/>
            </w:r>
            <w:r>
              <w:rPr>
                <w:noProof/>
                <w:webHidden/>
              </w:rPr>
              <w:instrText xml:space="preserve"> PAGEREF _Toc230204226 \h </w:instrText>
            </w:r>
            <w:r>
              <w:rPr>
                <w:noProof/>
                <w:webHidden/>
              </w:rPr>
            </w:r>
            <w:r>
              <w:rPr>
                <w:noProof/>
                <w:webHidden/>
              </w:rPr>
              <w:fldChar w:fldCharType="separate"/>
            </w:r>
            <w:r w:rsidR="00B90978">
              <w:rPr>
                <w:noProof/>
                <w:webHidden/>
              </w:rPr>
              <w:t>176</w:t>
            </w:r>
            <w:r>
              <w:rPr>
                <w:noProof/>
                <w:webHidden/>
              </w:rPr>
              <w:fldChar w:fldCharType="end"/>
            </w:r>
          </w:hyperlink>
        </w:p>
        <w:p w14:paraId="58751DD1" w14:textId="11F7FB38" w:rsidR="00514939" w:rsidRDefault="00514939">
          <w:pPr>
            <w:pStyle w:val="Sumrio2"/>
            <w:tabs>
              <w:tab w:val="right" w:leader="dot" w:pos="9061"/>
            </w:tabs>
            <w:rPr>
              <w:rFonts w:asciiTheme="minorHAnsi" w:eastAsiaTheme="minorEastAsia" w:hAnsiTheme="minorHAnsi"/>
              <w:noProof/>
              <w:lang w:eastAsia="pt-BR"/>
            </w:rPr>
          </w:pPr>
          <w:hyperlink w:anchor="_Toc230204227" w:history="1">
            <w:r w:rsidRPr="004A0D71">
              <w:rPr>
                <w:rStyle w:val="Hyperlink"/>
                <w:rFonts w:eastAsia="Times New Roman"/>
                <w:noProof/>
                <w:lang w:eastAsia="pt-BR"/>
              </w:rPr>
              <w:t>17.7. Mecanismos possíveis de recomposição</w:t>
            </w:r>
            <w:r>
              <w:rPr>
                <w:noProof/>
                <w:webHidden/>
              </w:rPr>
              <w:tab/>
            </w:r>
            <w:r>
              <w:rPr>
                <w:noProof/>
                <w:webHidden/>
              </w:rPr>
              <w:fldChar w:fldCharType="begin"/>
            </w:r>
            <w:r>
              <w:rPr>
                <w:noProof/>
                <w:webHidden/>
              </w:rPr>
              <w:instrText xml:space="preserve"> PAGEREF _Toc230204227 \h </w:instrText>
            </w:r>
            <w:r>
              <w:rPr>
                <w:noProof/>
                <w:webHidden/>
              </w:rPr>
            </w:r>
            <w:r>
              <w:rPr>
                <w:noProof/>
                <w:webHidden/>
              </w:rPr>
              <w:fldChar w:fldCharType="separate"/>
            </w:r>
            <w:r w:rsidR="00B90978">
              <w:rPr>
                <w:noProof/>
                <w:webHidden/>
              </w:rPr>
              <w:t>177</w:t>
            </w:r>
            <w:r>
              <w:rPr>
                <w:noProof/>
                <w:webHidden/>
              </w:rPr>
              <w:fldChar w:fldCharType="end"/>
            </w:r>
          </w:hyperlink>
        </w:p>
        <w:p w14:paraId="2005B2BE" w14:textId="0AE079D5" w:rsidR="00514939" w:rsidRDefault="00514939">
          <w:pPr>
            <w:pStyle w:val="Sumrio2"/>
            <w:tabs>
              <w:tab w:val="right" w:leader="dot" w:pos="9061"/>
            </w:tabs>
            <w:rPr>
              <w:rFonts w:asciiTheme="minorHAnsi" w:eastAsiaTheme="minorEastAsia" w:hAnsiTheme="minorHAnsi"/>
              <w:noProof/>
              <w:lang w:eastAsia="pt-BR"/>
            </w:rPr>
          </w:pPr>
          <w:hyperlink w:anchor="_Toc230204228" w:history="1">
            <w:r w:rsidRPr="004A0D71">
              <w:rPr>
                <w:rStyle w:val="Hyperlink"/>
                <w:rFonts w:eastAsia="Times New Roman"/>
                <w:noProof/>
                <w:lang w:eastAsia="pt-BR"/>
              </w:rPr>
              <w:t>17.8. Procedimento para solicitação de reequilíbrio</w:t>
            </w:r>
            <w:r>
              <w:rPr>
                <w:noProof/>
                <w:webHidden/>
              </w:rPr>
              <w:tab/>
            </w:r>
            <w:r>
              <w:rPr>
                <w:noProof/>
                <w:webHidden/>
              </w:rPr>
              <w:fldChar w:fldCharType="begin"/>
            </w:r>
            <w:r>
              <w:rPr>
                <w:noProof/>
                <w:webHidden/>
              </w:rPr>
              <w:instrText xml:space="preserve"> PAGEREF _Toc230204228 \h </w:instrText>
            </w:r>
            <w:r>
              <w:rPr>
                <w:noProof/>
                <w:webHidden/>
              </w:rPr>
            </w:r>
            <w:r>
              <w:rPr>
                <w:noProof/>
                <w:webHidden/>
              </w:rPr>
              <w:fldChar w:fldCharType="separate"/>
            </w:r>
            <w:r w:rsidR="00B90978">
              <w:rPr>
                <w:noProof/>
                <w:webHidden/>
              </w:rPr>
              <w:t>178</w:t>
            </w:r>
            <w:r>
              <w:rPr>
                <w:noProof/>
                <w:webHidden/>
              </w:rPr>
              <w:fldChar w:fldCharType="end"/>
            </w:r>
          </w:hyperlink>
        </w:p>
        <w:p w14:paraId="15A6F85F" w14:textId="24318CD2" w:rsidR="00514939" w:rsidRDefault="00514939">
          <w:pPr>
            <w:pStyle w:val="Sumrio2"/>
            <w:tabs>
              <w:tab w:val="right" w:leader="dot" w:pos="9061"/>
            </w:tabs>
            <w:rPr>
              <w:rFonts w:asciiTheme="minorHAnsi" w:eastAsiaTheme="minorEastAsia" w:hAnsiTheme="minorHAnsi"/>
              <w:noProof/>
              <w:lang w:eastAsia="pt-BR"/>
            </w:rPr>
          </w:pPr>
          <w:hyperlink w:anchor="_Toc230204229" w:history="1">
            <w:r w:rsidRPr="004A0D71">
              <w:rPr>
                <w:rStyle w:val="Hyperlink"/>
                <w:rFonts w:eastAsia="Times New Roman"/>
                <w:noProof/>
                <w:lang w:eastAsia="pt-BR"/>
              </w:rPr>
              <w:t>17.9. Documentos mínimos para pleito de reequilíbrio</w:t>
            </w:r>
            <w:r>
              <w:rPr>
                <w:noProof/>
                <w:webHidden/>
              </w:rPr>
              <w:tab/>
            </w:r>
            <w:r>
              <w:rPr>
                <w:noProof/>
                <w:webHidden/>
              </w:rPr>
              <w:fldChar w:fldCharType="begin"/>
            </w:r>
            <w:r>
              <w:rPr>
                <w:noProof/>
                <w:webHidden/>
              </w:rPr>
              <w:instrText xml:space="preserve"> PAGEREF _Toc230204229 \h </w:instrText>
            </w:r>
            <w:r>
              <w:rPr>
                <w:noProof/>
                <w:webHidden/>
              </w:rPr>
            </w:r>
            <w:r>
              <w:rPr>
                <w:noProof/>
                <w:webHidden/>
              </w:rPr>
              <w:fldChar w:fldCharType="separate"/>
            </w:r>
            <w:r w:rsidR="00B90978">
              <w:rPr>
                <w:noProof/>
                <w:webHidden/>
              </w:rPr>
              <w:t>179</w:t>
            </w:r>
            <w:r>
              <w:rPr>
                <w:noProof/>
                <w:webHidden/>
              </w:rPr>
              <w:fldChar w:fldCharType="end"/>
            </w:r>
          </w:hyperlink>
        </w:p>
        <w:p w14:paraId="419303B7" w14:textId="7CA3F2D2" w:rsidR="00514939" w:rsidRDefault="00514939">
          <w:pPr>
            <w:pStyle w:val="Sumrio2"/>
            <w:tabs>
              <w:tab w:val="right" w:leader="dot" w:pos="9061"/>
            </w:tabs>
            <w:rPr>
              <w:rFonts w:asciiTheme="minorHAnsi" w:eastAsiaTheme="minorEastAsia" w:hAnsiTheme="minorHAnsi"/>
              <w:noProof/>
              <w:lang w:eastAsia="pt-BR"/>
            </w:rPr>
          </w:pPr>
          <w:hyperlink w:anchor="_Toc230204230" w:history="1">
            <w:r w:rsidRPr="004A0D71">
              <w:rPr>
                <w:rStyle w:val="Hyperlink"/>
                <w:rFonts w:eastAsia="Times New Roman"/>
                <w:noProof/>
                <w:lang w:eastAsia="pt-BR"/>
              </w:rPr>
              <w:t>17.10. Reequilíbrio, reajuste e revisão ordinária</w:t>
            </w:r>
            <w:r>
              <w:rPr>
                <w:noProof/>
                <w:webHidden/>
              </w:rPr>
              <w:tab/>
            </w:r>
            <w:r>
              <w:rPr>
                <w:noProof/>
                <w:webHidden/>
              </w:rPr>
              <w:fldChar w:fldCharType="begin"/>
            </w:r>
            <w:r>
              <w:rPr>
                <w:noProof/>
                <w:webHidden/>
              </w:rPr>
              <w:instrText xml:space="preserve"> PAGEREF _Toc230204230 \h </w:instrText>
            </w:r>
            <w:r>
              <w:rPr>
                <w:noProof/>
                <w:webHidden/>
              </w:rPr>
            </w:r>
            <w:r>
              <w:rPr>
                <w:noProof/>
                <w:webHidden/>
              </w:rPr>
              <w:fldChar w:fldCharType="separate"/>
            </w:r>
            <w:r w:rsidR="00B90978">
              <w:rPr>
                <w:noProof/>
                <w:webHidden/>
              </w:rPr>
              <w:t>179</w:t>
            </w:r>
            <w:r>
              <w:rPr>
                <w:noProof/>
                <w:webHidden/>
              </w:rPr>
              <w:fldChar w:fldCharType="end"/>
            </w:r>
          </w:hyperlink>
        </w:p>
        <w:p w14:paraId="40026DF4" w14:textId="056C70B3" w:rsidR="00514939" w:rsidRDefault="00514939">
          <w:pPr>
            <w:pStyle w:val="Sumrio2"/>
            <w:tabs>
              <w:tab w:val="right" w:leader="dot" w:pos="9061"/>
            </w:tabs>
            <w:rPr>
              <w:rFonts w:asciiTheme="minorHAnsi" w:eastAsiaTheme="minorEastAsia" w:hAnsiTheme="minorHAnsi"/>
              <w:noProof/>
              <w:lang w:eastAsia="pt-BR"/>
            </w:rPr>
          </w:pPr>
          <w:hyperlink w:anchor="_Toc230204231" w:history="1">
            <w:r w:rsidRPr="004A0D71">
              <w:rPr>
                <w:rStyle w:val="Hyperlink"/>
                <w:rFonts w:eastAsia="Times New Roman"/>
                <w:noProof/>
                <w:lang w:eastAsia="pt-BR"/>
              </w:rPr>
              <w:t>17.11. Reequilíbrio e financiamento</w:t>
            </w:r>
            <w:r>
              <w:rPr>
                <w:noProof/>
                <w:webHidden/>
              </w:rPr>
              <w:tab/>
            </w:r>
            <w:r>
              <w:rPr>
                <w:noProof/>
                <w:webHidden/>
              </w:rPr>
              <w:fldChar w:fldCharType="begin"/>
            </w:r>
            <w:r>
              <w:rPr>
                <w:noProof/>
                <w:webHidden/>
              </w:rPr>
              <w:instrText xml:space="preserve"> PAGEREF _Toc230204231 \h </w:instrText>
            </w:r>
            <w:r>
              <w:rPr>
                <w:noProof/>
                <w:webHidden/>
              </w:rPr>
            </w:r>
            <w:r>
              <w:rPr>
                <w:noProof/>
                <w:webHidden/>
              </w:rPr>
              <w:fldChar w:fldCharType="separate"/>
            </w:r>
            <w:r w:rsidR="00B90978">
              <w:rPr>
                <w:noProof/>
                <w:webHidden/>
              </w:rPr>
              <w:t>180</w:t>
            </w:r>
            <w:r>
              <w:rPr>
                <w:noProof/>
                <w:webHidden/>
              </w:rPr>
              <w:fldChar w:fldCharType="end"/>
            </w:r>
          </w:hyperlink>
        </w:p>
        <w:p w14:paraId="384107C0" w14:textId="396FCACD" w:rsidR="00514939" w:rsidRDefault="00514939">
          <w:pPr>
            <w:pStyle w:val="Sumrio2"/>
            <w:tabs>
              <w:tab w:val="right" w:leader="dot" w:pos="9061"/>
            </w:tabs>
            <w:rPr>
              <w:rFonts w:asciiTheme="minorHAnsi" w:eastAsiaTheme="minorEastAsia" w:hAnsiTheme="minorHAnsi"/>
              <w:noProof/>
              <w:lang w:eastAsia="pt-BR"/>
            </w:rPr>
          </w:pPr>
          <w:hyperlink w:anchor="_Toc230204232" w:history="1">
            <w:r w:rsidRPr="004A0D71">
              <w:rPr>
                <w:rStyle w:val="Hyperlink"/>
                <w:rFonts w:eastAsia="Times New Roman"/>
                <w:noProof/>
                <w:lang w:eastAsia="pt-BR"/>
              </w:rPr>
              <w:t>17.12. Reequilíbrio e controle externo</w:t>
            </w:r>
            <w:r>
              <w:rPr>
                <w:noProof/>
                <w:webHidden/>
              </w:rPr>
              <w:tab/>
            </w:r>
            <w:r>
              <w:rPr>
                <w:noProof/>
                <w:webHidden/>
              </w:rPr>
              <w:fldChar w:fldCharType="begin"/>
            </w:r>
            <w:r>
              <w:rPr>
                <w:noProof/>
                <w:webHidden/>
              </w:rPr>
              <w:instrText xml:space="preserve"> PAGEREF _Toc230204232 \h </w:instrText>
            </w:r>
            <w:r>
              <w:rPr>
                <w:noProof/>
                <w:webHidden/>
              </w:rPr>
            </w:r>
            <w:r>
              <w:rPr>
                <w:noProof/>
                <w:webHidden/>
              </w:rPr>
              <w:fldChar w:fldCharType="separate"/>
            </w:r>
            <w:r w:rsidR="00B90978">
              <w:rPr>
                <w:noProof/>
                <w:webHidden/>
              </w:rPr>
              <w:t>180</w:t>
            </w:r>
            <w:r>
              <w:rPr>
                <w:noProof/>
                <w:webHidden/>
              </w:rPr>
              <w:fldChar w:fldCharType="end"/>
            </w:r>
          </w:hyperlink>
        </w:p>
        <w:p w14:paraId="31D32FFC" w14:textId="46446C78" w:rsidR="00514939" w:rsidRDefault="00514939">
          <w:pPr>
            <w:pStyle w:val="Sumrio2"/>
            <w:tabs>
              <w:tab w:val="right" w:leader="dot" w:pos="9061"/>
            </w:tabs>
            <w:rPr>
              <w:rFonts w:asciiTheme="minorHAnsi" w:eastAsiaTheme="minorEastAsia" w:hAnsiTheme="minorHAnsi"/>
              <w:noProof/>
              <w:lang w:eastAsia="pt-BR"/>
            </w:rPr>
          </w:pPr>
          <w:hyperlink w:anchor="_Toc230204233" w:history="1">
            <w:r w:rsidRPr="004A0D71">
              <w:rPr>
                <w:rStyle w:val="Hyperlink"/>
                <w:rFonts w:eastAsia="Times New Roman"/>
                <w:noProof/>
                <w:lang w:eastAsia="pt-BR"/>
              </w:rPr>
              <w:t>17.13. Cláusula recomendada sobre reequilíbrio</w:t>
            </w:r>
            <w:r>
              <w:rPr>
                <w:noProof/>
                <w:webHidden/>
              </w:rPr>
              <w:tab/>
            </w:r>
            <w:r>
              <w:rPr>
                <w:noProof/>
                <w:webHidden/>
              </w:rPr>
              <w:fldChar w:fldCharType="begin"/>
            </w:r>
            <w:r>
              <w:rPr>
                <w:noProof/>
                <w:webHidden/>
              </w:rPr>
              <w:instrText xml:space="preserve"> PAGEREF _Toc230204233 \h </w:instrText>
            </w:r>
            <w:r>
              <w:rPr>
                <w:noProof/>
                <w:webHidden/>
              </w:rPr>
            </w:r>
            <w:r>
              <w:rPr>
                <w:noProof/>
                <w:webHidden/>
              </w:rPr>
              <w:fldChar w:fldCharType="separate"/>
            </w:r>
            <w:r w:rsidR="00B90978">
              <w:rPr>
                <w:noProof/>
                <w:webHidden/>
              </w:rPr>
              <w:t>181</w:t>
            </w:r>
            <w:r>
              <w:rPr>
                <w:noProof/>
                <w:webHidden/>
              </w:rPr>
              <w:fldChar w:fldCharType="end"/>
            </w:r>
          </w:hyperlink>
        </w:p>
        <w:p w14:paraId="0DE4AB38" w14:textId="4E7D28D0" w:rsidR="00514939" w:rsidRDefault="00514939">
          <w:pPr>
            <w:pStyle w:val="Sumrio2"/>
            <w:tabs>
              <w:tab w:val="right" w:leader="dot" w:pos="9061"/>
            </w:tabs>
            <w:rPr>
              <w:rFonts w:asciiTheme="minorHAnsi" w:eastAsiaTheme="minorEastAsia" w:hAnsiTheme="minorHAnsi"/>
              <w:noProof/>
              <w:lang w:eastAsia="pt-BR"/>
            </w:rPr>
          </w:pPr>
          <w:hyperlink w:anchor="_Toc230204234" w:history="1">
            <w:r w:rsidRPr="004A0D71">
              <w:rPr>
                <w:rStyle w:val="Hyperlink"/>
                <w:rFonts w:eastAsia="Times New Roman"/>
                <w:noProof/>
                <w:lang w:eastAsia="pt-BR"/>
              </w:rPr>
              <w:t>17.14. Conclusão do tópico</w:t>
            </w:r>
            <w:r>
              <w:rPr>
                <w:noProof/>
                <w:webHidden/>
              </w:rPr>
              <w:tab/>
            </w:r>
            <w:r>
              <w:rPr>
                <w:noProof/>
                <w:webHidden/>
              </w:rPr>
              <w:fldChar w:fldCharType="begin"/>
            </w:r>
            <w:r>
              <w:rPr>
                <w:noProof/>
                <w:webHidden/>
              </w:rPr>
              <w:instrText xml:space="preserve"> PAGEREF _Toc230204234 \h </w:instrText>
            </w:r>
            <w:r>
              <w:rPr>
                <w:noProof/>
                <w:webHidden/>
              </w:rPr>
            </w:r>
            <w:r>
              <w:rPr>
                <w:noProof/>
                <w:webHidden/>
              </w:rPr>
              <w:fldChar w:fldCharType="separate"/>
            </w:r>
            <w:r w:rsidR="00B90978">
              <w:rPr>
                <w:noProof/>
                <w:webHidden/>
              </w:rPr>
              <w:t>181</w:t>
            </w:r>
            <w:r>
              <w:rPr>
                <w:noProof/>
                <w:webHidden/>
              </w:rPr>
              <w:fldChar w:fldCharType="end"/>
            </w:r>
          </w:hyperlink>
        </w:p>
        <w:p w14:paraId="18894090" w14:textId="6111E0AF" w:rsidR="00514939" w:rsidRDefault="00514939">
          <w:pPr>
            <w:pStyle w:val="Sumrio1"/>
            <w:tabs>
              <w:tab w:val="right" w:leader="dot" w:pos="9061"/>
            </w:tabs>
            <w:rPr>
              <w:rFonts w:asciiTheme="minorHAnsi" w:eastAsiaTheme="minorEastAsia" w:hAnsiTheme="minorHAnsi"/>
              <w:noProof/>
              <w:lang w:eastAsia="pt-BR"/>
            </w:rPr>
          </w:pPr>
          <w:hyperlink w:anchor="_Toc230204235" w:history="1">
            <w:r w:rsidRPr="004A0D71">
              <w:rPr>
                <w:rStyle w:val="Hyperlink"/>
                <w:rFonts w:eastAsia="Times New Roman"/>
                <w:noProof/>
                <w:lang w:eastAsia="pt-BR"/>
              </w:rPr>
              <w:t>18. Conclusão de Viabilidade, Bancabilidade e Defensabilidade da PPP</w:t>
            </w:r>
            <w:r>
              <w:rPr>
                <w:noProof/>
                <w:webHidden/>
              </w:rPr>
              <w:tab/>
            </w:r>
            <w:r>
              <w:rPr>
                <w:noProof/>
                <w:webHidden/>
              </w:rPr>
              <w:fldChar w:fldCharType="begin"/>
            </w:r>
            <w:r>
              <w:rPr>
                <w:noProof/>
                <w:webHidden/>
              </w:rPr>
              <w:instrText xml:space="preserve"> PAGEREF _Toc230204235 \h </w:instrText>
            </w:r>
            <w:r>
              <w:rPr>
                <w:noProof/>
                <w:webHidden/>
              </w:rPr>
            </w:r>
            <w:r>
              <w:rPr>
                <w:noProof/>
                <w:webHidden/>
              </w:rPr>
              <w:fldChar w:fldCharType="separate"/>
            </w:r>
            <w:r w:rsidR="00B90978">
              <w:rPr>
                <w:noProof/>
                <w:webHidden/>
              </w:rPr>
              <w:t>183</w:t>
            </w:r>
            <w:r>
              <w:rPr>
                <w:noProof/>
                <w:webHidden/>
              </w:rPr>
              <w:fldChar w:fldCharType="end"/>
            </w:r>
          </w:hyperlink>
        </w:p>
        <w:p w14:paraId="647E9726" w14:textId="51387C45" w:rsidR="00514939" w:rsidRDefault="00514939">
          <w:pPr>
            <w:pStyle w:val="Sumrio2"/>
            <w:tabs>
              <w:tab w:val="right" w:leader="dot" w:pos="9061"/>
            </w:tabs>
            <w:rPr>
              <w:rFonts w:asciiTheme="minorHAnsi" w:eastAsiaTheme="minorEastAsia" w:hAnsiTheme="minorHAnsi"/>
              <w:noProof/>
              <w:lang w:eastAsia="pt-BR"/>
            </w:rPr>
          </w:pPr>
          <w:hyperlink w:anchor="_Toc230204236" w:history="1">
            <w:r w:rsidRPr="004A0D71">
              <w:rPr>
                <w:rStyle w:val="Hyperlink"/>
                <w:rFonts w:eastAsia="Times New Roman"/>
                <w:noProof/>
                <w:lang w:eastAsia="pt-BR"/>
              </w:rPr>
              <w:t>18.1. Síntese dos principais números da modelagem</w:t>
            </w:r>
            <w:r>
              <w:rPr>
                <w:noProof/>
                <w:webHidden/>
              </w:rPr>
              <w:tab/>
            </w:r>
            <w:r>
              <w:rPr>
                <w:noProof/>
                <w:webHidden/>
              </w:rPr>
              <w:fldChar w:fldCharType="begin"/>
            </w:r>
            <w:r>
              <w:rPr>
                <w:noProof/>
                <w:webHidden/>
              </w:rPr>
              <w:instrText xml:space="preserve"> PAGEREF _Toc230204236 \h </w:instrText>
            </w:r>
            <w:r>
              <w:rPr>
                <w:noProof/>
                <w:webHidden/>
              </w:rPr>
            </w:r>
            <w:r>
              <w:rPr>
                <w:noProof/>
                <w:webHidden/>
              </w:rPr>
              <w:fldChar w:fldCharType="separate"/>
            </w:r>
            <w:r w:rsidR="00B90978">
              <w:rPr>
                <w:noProof/>
                <w:webHidden/>
              </w:rPr>
              <w:t>183</w:t>
            </w:r>
            <w:r>
              <w:rPr>
                <w:noProof/>
                <w:webHidden/>
              </w:rPr>
              <w:fldChar w:fldCharType="end"/>
            </w:r>
          </w:hyperlink>
        </w:p>
        <w:p w14:paraId="6779678A" w14:textId="62702D21" w:rsidR="00514939" w:rsidRDefault="00514939">
          <w:pPr>
            <w:pStyle w:val="Sumrio2"/>
            <w:tabs>
              <w:tab w:val="right" w:leader="dot" w:pos="9061"/>
            </w:tabs>
            <w:rPr>
              <w:rFonts w:asciiTheme="minorHAnsi" w:eastAsiaTheme="minorEastAsia" w:hAnsiTheme="minorHAnsi"/>
              <w:noProof/>
              <w:lang w:eastAsia="pt-BR"/>
            </w:rPr>
          </w:pPr>
          <w:hyperlink w:anchor="_Toc230204237" w:history="1">
            <w:r w:rsidRPr="004A0D71">
              <w:rPr>
                <w:rStyle w:val="Hyperlink"/>
                <w:rFonts w:eastAsia="Times New Roman"/>
                <w:noProof/>
                <w:lang w:eastAsia="pt-BR"/>
              </w:rPr>
              <w:t>18.2. Viabilidade no cenário mínimo contratual</w:t>
            </w:r>
            <w:r>
              <w:rPr>
                <w:noProof/>
                <w:webHidden/>
              </w:rPr>
              <w:tab/>
            </w:r>
            <w:r>
              <w:rPr>
                <w:noProof/>
                <w:webHidden/>
              </w:rPr>
              <w:fldChar w:fldCharType="begin"/>
            </w:r>
            <w:r>
              <w:rPr>
                <w:noProof/>
                <w:webHidden/>
              </w:rPr>
              <w:instrText xml:space="preserve"> PAGEREF _Toc230204237 \h </w:instrText>
            </w:r>
            <w:r>
              <w:rPr>
                <w:noProof/>
                <w:webHidden/>
              </w:rPr>
            </w:r>
            <w:r>
              <w:rPr>
                <w:noProof/>
                <w:webHidden/>
              </w:rPr>
              <w:fldChar w:fldCharType="separate"/>
            </w:r>
            <w:r w:rsidR="00B90978">
              <w:rPr>
                <w:noProof/>
                <w:webHidden/>
              </w:rPr>
              <w:t>184</w:t>
            </w:r>
            <w:r>
              <w:rPr>
                <w:noProof/>
                <w:webHidden/>
              </w:rPr>
              <w:fldChar w:fldCharType="end"/>
            </w:r>
          </w:hyperlink>
        </w:p>
        <w:p w14:paraId="37861810" w14:textId="4710FCA6" w:rsidR="00514939" w:rsidRDefault="00514939">
          <w:pPr>
            <w:pStyle w:val="Sumrio2"/>
            <w:tabs>
              <w:tab w:val="right" w:leader="dot" w:pos="9061"/>
            </w:tabs>
            <w:rPr>
              <w:rFonts w:asciiTheme="minorHAnsi" w:eastAsiaTheme="minorEastAsia" w:hAnsiTheme="minorHAnsi"/>
              <w:noProof/>
              <w:lang w:eastAsia="pt-BR"/>
            </w:rPr>
          </w:pPr>
          <w:hyperlink w:anchor="_Toc230204238" w:history="1">
            <w:r w:rsidRPr="004A0D71">
              <w:rPr>
                <w:rStyle w:val="Hyperlink"/>
                <w:rFonts w:eastAsia="Times New Roman"/>
                <w:noProof/>
                <w:lang w:eastAsia="pt-BR"/>
              </w:rPr>
              <w:t>18.3. Viabilidade no cenário ampliado com receitas acessórias</w:t>
            </w:r>
            <w:r>
              <w:rPr>
                <w:noProof/>
                <w:webHidden/>
              </w:rPr>
              <w:tab/>
            </w:r>
            <w:r>
              <w:rPr>
                <w:noProof/>
                <w:webHidden/>
              </w:rPr>
              <w:fldChar w:fldCharType="begin"/>
            </w:r>
            <w:r>
              <w:rPr>
                <w:noProof/>
                <w:webHidden/>
              </w:rPr>
              <w:instrText xml:space="preserve"> PAGEREF _Toc230204238 \h </w:instrText>
            </w:r>
            <w:r>
              <w:rPr>
                <w:noProof/>
                <w:webHidden/>
              </w:rPr>
            </w:r>
            <w:r>
              <w:rPr>
                <w:noProof/>
                <w:webHidden/>
              </w:rPr>
              <w:fldChar w:fldCharType="separate"/>
            </w:r>
            <w:r w:rsidR="00B90978">
              <w:rPr>
                <w:noProof/>
                <w:webHidden/>
              </w:rPr>
              <w:t>185</w:t>
            </w:r>
            <w:r>
              <w:rPr>
                <w:noProof/>
                <w:webHidden/>
              </w:rPr>
              <w:fldChar w:fldCharType="end"/>
            </w:r>
          </w:hyperlink>
        </w:p>
        <w:p w14:paraId="2E55EC1D" w14:textId="6A4F1BEC" w:rsidR="00514939" w:rsidRDefault="00514939">
          <w:pPr>
            <w:pStyle w:val="Sumrio2"/>
            <w:tabs>
              <w:tab w:val="right" w:leader="dot" w:pos="9061"/>
            </w:tabs>
            <w:rPr>
              <w:rFonts w:asciiTheme="minorHAnsi" w:eastAsiaTheme="minorEastAsia" w:hAnsiTheme="minorHAnsi"/>
              <w:noProof/>
              <w:lang w:eastAsia="pt-BR"/>
            </w:rPr>
          </w:pPr>
          <w:hyperlink w:anchor="_Toc230204239" w:history="1">
            <w:r w:rsidRPr="004A0D71">
              <w:rPr>
                <w:rStyle w:val="Hyperlink"/>
                <w:rFonts w:eastAsia="Times New Roman"/>
                <w:noProof/>
                <w:lang w:eastAsia="pt-BR"/>
              </w:rPr>
              <w:t>18.4. Vantajosidade econômica municipal</w:t>
            </w:r>
            <w:r>
              <w:rPr>
                <w:noProof/>
                <w:webHidden/>
              </w:rPr>
              <w:tab/>
            </w:r>
            <w:r>
              <w:rPr>
                <w:noProof/>
                <w:webHidden/>
              </w:rPr>
              <w:fldChar w:fldCharType="begin"/>
            </w:r>
            <w:r>
              <w:rPr>
                <w:noProof/>
                <w:webHidden/>
              </w:rPr>
              <w:instrText xml:space="preserve"> PAGEREF _Toc230204239 \h </w:instrText>
            </w:r>
            <w:r>
              <w:rPr>
                <w:noProof/>
                <w:webHidden/>
              </w:rPr>
            </w:r>
            <w:r>
              <w:rPr>
                <w:noProof/>
                <w:webHidden/>
              </w:rPr>
              <w:fldChar w:fldCharType="separate"/>
            </w:r>
            <w:r w:rsidR="00B90978">
              <w:rPr>
                <w:noProof/>
                <w:webHidden/>
              </w:rPr>
              <w:t>185</w:t>
            </w:r>
            <w:r>
              <w:rPr>
                <w:noProof/>
                <w:webHidden/>
              </w:rPr>
              <w:fldChar w:fldCharType="end"/>
            </w:r>
          </w:hyperlink>
        </w:p>
        <w:p w14:paraId="314FE742" w14:textId="2D56C7F7" w:rsidR="00514939" w:rsidRDefault="00514939">
          <w:pPr>
            <w:pStyle w:val="Sumrio2"/>
            <w:tabs>
              <w:tab w:val="right" w:leader="dot" w:pos="9061"/>
            </w:tabs>
            <w:rPr>
              <w:rFonts w:asciiTheme="minorHAnsi" w:eastAsiaTheme="minorEastAsia" w:hAnsiTheme="minorHAnsi"/>
              <w:noProof/>
              <w:lang w:eastAsia="pt-BR"/>
            </w:rPr>
          </w:pPr>
          <w:hyperlink w:anchor="_Toc230204240" w:history="1">
            <w:r w:rsidRPr="004A0D71">
              <w:rPr>
                <w:rStyle w:val="Hyperlink"/>
                <w:rFonts w:eastAsia="Times New Roman"/>
                <w:noProof/>
                <w:lang w:eastAsia="pt-BR"/>
              </w:rPr>
              <w:t>18.5. Bancabilidade do projeto</w:t>
            </w:r>
            <w:r>
              <w:rPr>
                <w:noProof/>
                <w:webHidden/>
              </w:rPr>
              <w:tab/>
            </w:r>
            <w:r>
              <w:rPr>
                <w:noProof/>
                <w:webHidden/>
              </w:rPr>
              <w:fldChar w:fldCharType="begin"/>
            </w:r>
            <w:r>
              <w:rPr>
                <w:noProof/>
                <w:webHidden/>
              </w:rPr>
              <w:instrText xml:space="preserve"> PAGEREF _Toc230204240 \h </w:instrText>
            </w:r>
            <w:r>
              <w:rPr>
                <w:noProof/>
                <w:webHidden/>
              </w:rPr>
            </w:r>
            <w:r>
              <w:rPr>
                <w:noProof/>
                <w:webHidden/>
              </w:rPr>
              <w:fldChar w:fldCharType="separate"/>
            </w:r>
            <w:r w:rsidR="00B90978">
              <w:rPr>
                <w:noProof/>
                <w:webHidden/>
              </w:rPr>
              <w:t>186</w:t>
            </w:r>
            <w:r>
              <w:rPr>
                <w:noProof/>
                <w:webHidden/>
              </w:rPr>
              <w:fldChar w:fldCharType="end"/>
            </w:r>
          </w:hyperlink>
        </w:p>
        <w:p w14:paraId="616796D5" w14:textId="03A2D72B" w:rsidR="00514939" w:rsidRDefault="00514939">
          <w:pPr>
            <w:pStyle w:val="Sumrio2"/>
            <w:tabs>
              <w:tab w:val="right" w:leader="dot" w:pos="9061"/>
            </w:tabs>
            <w:rPr>
              <w:rFonts w:asciiTheme="minorHAnsi" w:eastAsiaTheme="minorEastAsia" w:hAnsiTheme="minorHAnsi"/>
              <w:noProof/>
              <w:lang w:eastAsia="pt-BR"/>
            </w:rPr>
          </w:pPr>
          <w:hyperlink w:anchor="_Toc230204241" w:history="1">
            <w:r w:rsidRPr="004A0D71">
              <w:rPr>
                <w:rStyle w:val="Hyperlink"/>
                <w:rFonts w:eastAsia="Times New Roman"/>
                <w:noProof/>
                <w:lang w:eastAsia="pt-BR"/>
              </w:rPr>
              <w:t>18.6. Defensabilidade perante banca avaliadora e órgãos de controle</w:t>
            </w:r>
            <w:r>
              <w:rPr>
                <w:noProof/>
                <w:webHidden/>
              </w:rPr>
              <w:tab/>
            </w:r>
            <w:r>
              <w:rPr>
                <w:noProof/>
                <w:webHidden/>
              </w:rPr>
              <w:fldChar w:fldCharType="begin"/>
            </w:r>
            <w:r>
              <w:rPr>
                <w:noProof/>
                <w:webHidden/>
              </w:rPr>
              <w:instrText xml:space="preserve"> PAGEREF _Toc230204241 \h </w:instrText>
            </w:r>
            <w:r>
              <w:rPr>
                <w:noProof/>
                <w:webHidden/>
              </w:rPr>
            </w:r>
            <w:r>
              <w:rPr>
                <w:noProof/>
                <w:webHidden/>
              </w:rPr>
              <w:fldChar w:fldCharType="separate"/>
            </w:r>
            <w:r w:rsidR="00B90978">
              <w:rPr>
                <w:noProof/>
                <w:webHidden/>
              </w:rPr>
              <w:t>187</w:t>
            </w:r>
            <w:r>
              <w:rPr>
                <w:noProof/>
                <w:webHidden/>
              </w:rPr>
              <w:fldChar w:fldCharType="end"/>
            </w:r>
          </w:hyperlink>
        </w:p>
        <w:p w14:paraId="5E124AA2" w14:textId="42F0E996" w:rsidR="00514939" w:rsidRDefault="00514939">
          <w:pPr>
            <w:pStyle w:val="Sumrio2"/>
            <w:tabs>
              <w:tab w:val="right" w:leader="dot" w:pos="9061"/>
            </w:tabs>
            <w:rPr>
              <w:rFonts w:asciiTheme="minorHAnsi" w:eastAsiaTheme="minorEastAsia" w:hAnsiTheme="minorHAnsi"/>
              <w:noProof/>
              <w:lang w:eastAsia="pt-BR"/>
            </w:rPr>
          </w:pPr>
          <w:hyperlink w:anchor="_Toc230204242" w:history="1">
            <w:r w:rsidRPr="004A0D71">
              <w:rPr>
                <w:rStyle w:val="Hyperlink"/>
                <w:rFonts w:eastAsia="Times New Roman"/>
                <w:noProof/>
                <w:lang w:eastAsia="pt-BR"/>
              </w:rPr>
              <w:t>18.7. Pontos críticos que devem permanecer no edital e contrato</w:t>
            </w:r>
            <w:r>
              <w:rPr>
                <w:noProof/>
                <w:webHidden/>
              </w:rPr>
              <w:tab/>
            </w:r>
            <w:r>
              <w:rPr>
                <w:noProof/>
                <w:webHidden/>
              </w:rPr>
              <w:fldChar w:fldCharType="begin"/>
            </w:r>
            <w:r>
              <w:rPr>
                <w:noProof/>
                <w:webHidden/>
              </w:rPr>
              <w:instrText xml:space="preserve"> PAGEREF _Toc230204242 \h </w:instrText>
            </w:r>
            <w:r>
              <w:rPr>
                <w:noProof/>
                <w:webHidden/>
              </w:rPr>
            </w:r>
            <w:r>
              <w:rPr>
                <w:noProof/>
                <w:webHidden/>
              </w:rPr>
              <w:fldChar w:fldCharType="separate"/>
            </w:r>
            <w:r w:rsidR="00B90978">
              <w:rPr>
                <w:noProof/>
                <w:webHidden/>
              </w:rPr>
              <w:t>188</w:t>
            </w:r>
            <w:r>
              <w:rPr>
                <w:noProof/>
                <w:webHidden/>
              </w:rPr>
              <w:fldChar w:fldCharType="end"/>
            </w:r>
          </w:hyperlink>
        </w:p>
        <w:p w14:paraId="7EC62035" w14:textId="7559DD28" w:rsidR="00514939" w:rsidRDefault="00514939">
          <w:pPr>
            <w:pStyle w:val="Sumrio2"/>
            <w:tabs>
              <w:tab w:val="right" w:leader="dot" w:pos="9061"/>
            </w:tabs>
            <w:rPr>
              <w:rFonts w:asciiTheme="minorHAnsi" w:eastAsiaTheme="minorEastAsia" w:hAnsiTheme="minorHAnsi"/>
              <w:noProof/>
              <w:lang w:eastAsia="pt-BR"/>
            </w:rPr>
          </w:pPr>
          <w:hyperlink w:anchor="_Toc230204243" w:history="1">
            <w:r w:rsidRPr="004A0D71">
              <w:rPr>
                <w:rStyle w:val="Hyperlink"/>
                <w:rFonts w:eastAsia="Times New Roman"/>
                <w:noProof/>
                <w:lang w:eastAsia="pt-BR"/>
              </w:rPr>
              <w:t>18.8. Conclusão final da viabilidade</w:t>
            </w:r>
            <w:r>
              <w:rPr>
                <w:noProof/>
                <w:webHidden/>
              </w:rPr>
              <w:tab/>
            </w:r>
            <w:r>
              <w:rPr>
                <w:noProof/>
                <w:webHidden/>
              </w:rPr>
              <w:fldChar w:fldCharType="begin"/>
            </w:r>
            <w:r>
              <w:rPr>
                <w:noProof/>
                <w:webHidden/>
              </w:rPr>
              <w:instrText xml:space="preserve"> PAGEREF _Toc230204243 \h </w:instrText>
            </w:r>
            <w:r>
              <w:rPr>
                <w:noProof/>
                <w:webHidden/>
              </w:rPr>
            </w:r>
            <w:r>
              <w:rPr>
                <w:noProof/>
                <w:webHidden/>
              </w:rPr>
              <w:fldChar w:fldCharType="separate"/>
            </w:r>
            <w:r w:rsidR="00B90978">
              <w:rPr>
                <w:noProof/>
                <w:webHidden/>
              </w:rPr>
              <w:t>189</w:t>
            </w:r>
            <w:r>
              <w:rPr>
                <w:noProof/>
                <w:webHidden/>
              </w:rPr>
              <w:fldChar w:fldCharType="end"/>
            </w:r>
          </w:hyperlink>
        </w:p>
        <w:p w14:paraId="11CE9F05" w14:textId="1D367A31" w:rsidR="00514939" w:rsidRDefault="00514939">
          <w:pPr>
            <w:pStyle w:val="Sumrio1"/>
            <w:tabs>
              <w:tab w:val="right" w:leader="dot" w:pos="9061"/>
            </w:tabs>
            <w:rPr>
              <w:rFonts w:asciiTheme="minorHAnsi" w:eastAsiaTheme="minorEastAsia" w:hAnsiTheme="minorHAnsi"/>
              <w:noProof/>
              <w:lang w:eastAsia="pt-BR"/>
            </w:rPr>
          </w:pPr>
          <w:hyperlink w:anchor="_Toc230204244" w:history="1">
            <w:r w:rsidRPr="004A0D71">
              <w:rPr>
                <w:rStyle w:val="Hyperlink"/>
                <w:rFonts w:eastAsia="Times New Roman"/>
                <w:noProof/>
                <w:lang w:eastAsia="pt-BR"/>
              </w:rPr>
              <w:t>19. Diretrizes para Edital, Licitação e Propostas dos Concorrentes</w:t>
            </w:r>
            <w:r>
              <w:rPr>
                <w:noProof/>
                <w:webHidden/>
              </w:rPr>
              <w:tab/>
            </w:r>
            <w:r>
              <w:rPr>
                <w:noProof/>
                <w:webHidden/>
              </w:rPr>
              <w:fldChar w:fldCharType="begin"/>
            </w:r>
            <w:r>
              <w:rPr>
                <w:noProof/>
                <w:webHidden/>
              </w:rPr>
              <w:instrText xml:space="preserve"> PAGEREF _Toc230204244 \h </w:instrText>
            </w:r>
            <w:r>
              <w:rPr>
                <w:noProof/>
                <w:webHidden/>
              </w:rPr>
            </w:r>
            <w:r>
              <w:rPr>
                <w:noProof/>
                <w:webHidden/>
              </w:rPr>
              <w:fldChar w:fldCharType="separate"/>
            </w:r>
            <w:r w:rsidR="00B90978">
              <w:rPr>
                <w:noProof/>
                <w:webHidden/>
              </w:rPr>
              <w:t>190</w:t>
            </w:r>
            <w:r>
              <w:rPr>
                <w:noProof/>
                <w:webHidden/>
              </w:rPr>
              <w:fldChar w:fldCharType="end"/>
            </w:r>
          </w:hyperlink>
        </w:p>
        <w:p w14:paraId="3EB74FC5" w14:textId="18CADF1D" w:rsidR="00514939" w:rsidRDefault="00514939">
          <w:pPr>
            <w:pStyle w:val="Sumrio2"/>
            <w:tabs>
              <w:tab w:val="right" w:leader="dot" w:pos="9061"/>
            </w:tabs>
            <w:rPr>
              <w:rFonts w:asciiTheme="minorHAnsi" w:eastAsiaTheme="minorEastAsia" w:hAnsiTheme="minorHAnsi"/>
              <w:noProof/>
              <w:lang w:eastAsia="pt-BR"/>
            </w:rPr>
          </w:pPr>
          <w:hyperlink w:anchor="_Toc230204245" w:history="1">
            <w:r w:rsidRPr="004A0D71">
              <w:rPr>
                <w:rStyle w:val="Hyperlink"/>
                <w:rFonts w:eastAsia="Times New Roman"/>
                <w:noProof/>
                <w:lang w:eastAsia="pt-BR"/>
              </w:rPr>
              <w:t>19.1. Princípios para estruturação do edital</w:t>
            </w:r>
            <w:r>
              <w:rPr>
                <w:noProof/>
                <w:webHidden/>
              </w:rPr>
              <w:tab/>
            </w:r>
            <w:r>
              <w:rPr>
                <w:noProof/>
                <w:webHidden/>
              </w:rPr>
              <w:fldChar w:fldCharType="begin"/>
            </w:r>
            <w:r>
              <w:rPr>
                <w:noProof/>
                <w:webHidden/>
              </w:rPr>
              <w:instrText xml:space="preserve"> PAGEREF _Toc230204245 \h </w:instrText>
            </w:r>
            <w:r>
              <w:rPr>
                <w:noProof/>
                <w:webHidden/>
              </w:rPr>
            </w:r>
            <w:r>
              <w:rPr>
                <w:noProof/>
                <w:webHidden/>
              </w:rPr>
              <w:fldChar w:fldCharType="separate"/>
            </w:r>
            <w:r w:rsidR="00B90978">
              <w:rPr>
                <w:noProof/>
                <w:webHidden/>
              </w:rPr>
              <w:t>190</w:t>
            </w:r>
            <w:r>
              <w:rPr>
                <w:noProof/>
                <w:webHidden/>
              </w:rPr>
              <w:fldChar w:fldCharType="end"/>
            </w:r>
          </w:hyperlink>
        </w:p>
        <w:p w14:paraId="197C00F3" w14:textId="19F7F4FA" w:rsidR="00514939" w:rsidRDefault="00514939">
          <w:pPr>
            <w:pStyle w:val="Sumrio2"/>
            <w:tabs>
              <w:tab w:val="right" w:leader="dot" w:pos="9061"/>
            </w:tabs>
            <w:rPr>
              <w:rFonts w:asciiTheme="minorHAnsi" w:eastAsiaTheme="minorEastAsia" w:hAnsiTheme="minorHAnsi"/>
              <w:noProof/>
              <w:lang w:eastAsia="pt-BR"/>
            </w:rPr>
          </w:pPr>
          <w:hyperlink w:anchor="_Toc230204246" w:history="1">
            <w:r w:rsidRPr="004A0D71">
              <w:rPr>
                <w:rStyle w:val="Hyperlink"/>
                <w:rFonts w:eastAsia="Times New Roman"/>
                <w:noProof/>
                <w:lang w:eastAsia="pt-BR"/>
              </w:rPr>
              <w:t>19.2. Exigências mínimas da proposta técnica</w:t>
            </w:r>
            <w:r>
              <w:rPr>
                <w:noProof/>
                <w:webHidden/>
              </w:rPr>
              <w:tab/>
            </w:r>
            <w:r>
              <w:rPr>
                <w:noProof/>
                <w:webHidden/>
              </w:rPr>
              <w:fldChar w:fldCharType="begin"/>
            </w:r>
            <w:r>
              <w:rPr>
                <w:noProof/>
                <w:webHidden/>
              </w:rPr>
              <w:instrText xml:space="preserve"> PAGEREF _Toc230204246 \h </w:instrText>
            </w:r>
            <w:r>
              <w:rPr>
                <w:noProof/>
                <w:webHidden/>
              </w:rPr>
            </w:r>
            <w:r>
              <w:rPr>
                <w:noProof/>
                <w:webHidden/>
              </w:rPr>
              <w:fldChar w:fldCharType="separate"/>
            </w:r>
            <w:r w:rsidR="00B90978">
              <w:rPr>
                <w:noProof/>
                <w:webHidden/>
              </w:rPr>
              <w:t>191</w:t>
            </w:r>
            <w:r>
              <w:rPr>
                <w:noProof/>
                <w:webHidden/>
              </w:rPr>
              <w:fldChar w:fldCharType="end"/>
            </w:r>
          </w:hyperlink>
        </w:p>
        <w:p w14:paraId="453D2F96" w14:textId="6DE72533" w:rsidR="00514939" w:rsidRDefault="00514939">
          <w:pPr>
            <w:pStyle w:val="Sumrio2"/>
            <w:tabs>
              <w:tab w:val="right" w:leader="dot" w:pos="9061"/>
            </w:tabs>
            <w:rPr>
              <w:rFonts w:asciiTheme="minorHAnsi" w:eastAsiaTheme="minorEastAsia" w:hAnsiTheme="minorHAnsi"/>
              <w:noProof/>
              <w:lang w:eastAsia="pt-BR"/>
            </w:rPr>
          </w:pPr>
          <w:hyperlink w:anchor="_Toc230204247" w:history="1">
            <w:r w:rsidRPr="004A0D71">
              <w:rPr>
                <w:rStyle w:val="Hyperlink"/>
                <w:rFonts w:eastAsia="Times New Roman"/>
                <w:noProof/>
                <w:lang w:eastAsia="pt-BR"/>
              </w:rPr>
              <w:t>19.3. Exigências sobre tecnologia e fornecedor</w:t>
            </w:r>
            <w:r>
              <w:rPr>
                <w:noProof/>
                <w:webHidden/>
              </w:rPr>
              <w:tab/>
            </w:r>
            <w:r>
              <w:rPr>
                <w:noProof/>
                <w:webHidden/>
              </w:rPr>
              <w:fldChar w:fldCharType="begin"/>
            </w:r>
            <w:r>
              <w:rPr>
                <w:noProof/>
                <w:webHidden/>
              </w:rPr>
              <w:instrText xml:space="preserve"> PAGEREF _Toc230204247 \h </w:instrText>
            </w:r>
            <w:r>
              <w:rPr>
                <w:noProof/>
                <w:webHidden/>
              </w:rPr>
            </w:r>
            <w:r>
              <w:rPr>
                <w:noProof/>
                <w:webHidden/>
              </w:rPr>
              <w:fldChar w:fldCharType="separate"/>
            </w:r>
            <w:r w:rsidR="00B90978">
              <w:rPr>
                <w:noProof/>
                <w:webHidden/>
              </w:rPr>
              <w:t>192</w:t>
            </w:r>
            <w:r>
              <w:rPr>
                <w:noProof/>
                <w:webHidden/>
              </w:rPr>
              <w:fldChar w:fldCharType="end"/>
            </w:r>
          </w:hyperlink>
        </w:p>
        <w:p w14:paraId="57576801" w14:textId="0D745C9E" w:rsidR="00514939" w:rsidRDefault="00514939">
          <w:pPr>
            <w:pStyle w:val="Sumrio2"/>
            <w:tabs>
              <w:tab w:val="right" w:leader="dot" w:pos="9061"/>
            </w:tabs>
            <w:rPr>
              <w:rFonts w:asciiTheme="minorHAnsi" w:eastAsiaTheme="minorEastAsia" w:hAnsiTheme="minorHAnsi"/>
              <w:noProof/>
              <w:lang w:eastAsia="pt-BR"/>
            </w:rPr>
          </w:pPr>
          <w:hyperlink w:anchor="_Toc230204248" w:history="1">
            <w:r w:rsidRPr="004A0D71">
              <w:rPr>
                <w:rStyle w:val="Hyperlink"/>
                <w:rFonts w:eastAsia="Times New Roman"/>
                <w:noProof/>
                <w:lang w:eastAsia="pt-BR"/>
              </w:rPr>
              <w:t>19.4. Diretrizes para proposta econômico-financeira</w:t>
            </w:r>
            <w:r>
              <w:rPr>
                <w:noProof/>
                <w:webHidden/>
              </w:rPr>
              <w:tab/>
            </w:r>
            <w:r>
              <w:rPr>
                <w:noProof/>
                <w:webHidden/>
              </w:rPr>
              <w:fldChar w:fldCharType="begin"/>
            </w:r>
            <w:r>
              <w:rPr>
                <w:noProof/>
                <w:webHidden/>
              </w:rPr>
              <w:instrText xml:space="preserve"> PAGEREF _Toc230204248 \h </w:instrText>
            </w:r>
            <w:r>
              <w:rPr>
                <w:noProof/>
                <w:webHidden/>
              </w:rPr>
            </w:r>
            <w:r>
              <w:rPr>
                <w:noProof/>
                <w:webHidden/>
              </w:rPr>
              <w:fldChar w:fldCharType="separate"/>
            </w:r>
            <w:r w:rsidR="00B90978">
              <w:rPr>
                <w:noProof/>
                <w:webHidden/>
              </w:rPr>
              <w:t>192</w:t>
            </w:r>
            <w:r>
              <w:rPr>
                <w:noProof/>
                <w:webHidden/>
              </w:rPr>
              <w:fldChar w:fldCharType="end"/>
            </w:r>
          </w:hyperlink>
        </w:p>
        <w:p w14:paraId="4F3DD863" w14:textId="7BC209F7" w:rsidR="00514939" w:rsidRDefault="00514939">
          <w:pPr>
            <w:pStyle w:val="Sumrio2"/>
            <w:tabs>
              <w:tab w:val="right" w:leader="dot" w:pos="9061"/>
            </w:tabs>
            <w:rPr>
              <w:rFonts w:asciiTheme="minorHAnsi" w:eastAsiaTheme="minorEastAsia" w:hAnsiTheme="minorHAnsi"/>
              <w:noProof/>
              <w:lang w:eastAsia="pt-BR"/>
            </w:rPr>
          </w:pPr>
          <w:hyperlink w:anchor="_Toc230204249" w:history="1">
            <w:r w:rsidRPr="004A0D71">
              <w:rPr>
                <w:rStyle w:val="Hyperlink"/>
                <w:rFonts w:eastAsia="Times New Roman"/>
                <w:noProof/>
                <w:lang w:eastAsia="pt-BR"/>
              </w:rPr>
              <w:t>19.5. Critérios de julgamento recomendáveis</w:t>
            </w:r>
            <w:r>
              <w:rPr>
                <w:noProof/>
                <w:webHidden/>
              </w:rPr>
              <w:tab/>
            </w:r>
            <w:r>
              <w:rPr>
                <w:noProof/>
                <w:webHidden/>
              </w:rPr>
              <w:fldChar w:fldCharType="begin"/>
            </w:r>
            <w:r>
              <w:rPr>
                <w:noProof/>
                <w:webHidden/>
              </w:rPr>
              <w:instrText xml:space="preserve"> PAGEREF _Toc230204249 \h </w:instrText>
            </w:r>
            <w:r>
              <w:rPr>
                <w:noProof/>
                <w:webHidden/>
              </w:rPr>
            </w:r>
            <w:r>
              <w:rPr>
                <w:noProof/>
                <w:webHidden/>
              </w:rPr>
              <w:fldChar w:fldCharType="separate"/>
            </w:r>
            <w:r w:rsidR="00B90978">
              <w:rPr>
                <w:noProof/>
                <w:webHidden/>
              </w:rPr>
              <w:t>193</w:t>
            </w:r>
            <w:r>
              <w:rPr>
                <w:noProof/>
                <w:webHidden/>
              </w:rPr>
              <w:fldChar w:fldCharType="end"/>
            </w:r>
          </w:hyperlink>
        </w:p>
        <w:p w14:paraId="12A328A2" w14:textId="08CC4D08" w:rsidR="00514939" w:rsidRDefault="00514939">
          <w:pPr>
            <w:pStyle w:val="Sumrio2"/>
            <w:tabs>
              <w:tab w:val="right" w:leader="dot" w:pos="9061"/>
            </w:tabs>
            <w:rPr>
              <w:rFonts w:asciiTheme="minorHAnsi" w:eastAsiaTheme="minorEastAsia" w:hAnsiTheme="minorHAnsi"/>
              <w:noProof/>
              <w:lang w:eastAsia="pt-BR"/>
            </w:rPr>
          </w:pPr>
          <w:hyperlink w:anchor="_Toc230204250" w:history="1">
            <w:r w:rsidRPr="004A0D71">
              <w:rPr>
                <w:rStyle w:val="Hyperlink"/>
                <w:rFonts w:eastAsia="Times New Roman"/>
                <w:noProof/>
                <w:lang w:eastAsia="pt-BR"/>
              </w:rPr>
              <w:t>19.6. Pontos que não devem ser deixados em aberto</w:t>
            </w:r>
            <w:r>
              <w:rPr>
                <w:noProof/>
                <w:webHidden/>
              </w:rPr>
              <w:tab/>
            </w:r>
            <w:r>
              <w:rPr>
                <w:noProof/>
                <w:webHidden/>
              </w:rPr>
              <w:fldChar w:fldCharType="begin"/>
            </w:r>
            <w:r>
              <w:rPr>
                <w:noProof/>
                <w:webHidden/>
              </w:rPr>
              <w:instrText xml:space="preserve"> PAGEREF _Toc230204250 \h </w:instrText>
            </w:r>
            <w:r>
              <w:rPr>
                <w:noProof/>
                <w:webHidden/>
              </w:rPr>
            </w:r>
            <w:r>
              <w:rPr>
                <w:noProof/>
                <w:webHidden/>
              </w:rPr>
              <w:fldChar w:fldCharType="separate"/>
            </w:r>
            <w:r w:rsidR="00B90978">
              <w:rPr>
                <w:noProof/>
                <w:webHidden/>
              </w:rPr>
              <w:t>194</w:t>
            </w:r>
            <w:r>
              <w:rPr>
                <w:noProof/>
                <w:webHidden/>
              </w:rPr>
              <w:fldChar w:fldCharType="end"/>
            </w:r>
          </w:hyperlink>
        </w:p>
        <w:p w14:paraId="185A7A17" w14:textId="2DA7BA22" w:rsidR="00514939" w:rsidRDefault="00514939">
          <w:pPr>
            <w:pStyle w:val="Sumrio2"/>
            <w:tabs>
              <w:tab w:val="right" w:leader="dot" w:pos="9061"/>
            </w:tabs>
            <w:rPr>
              <w:rFonts w:asciiTheme="minorHAnsi" w:eastAsiaTheme="minorEastAsia" w:hAnsiTheme="minorHAnsi"/>
              <w:noProof/>
              <w:lang w:eastAsia="pt-BR"/>
            </w:rPr>
          </w:pPr>
          <w:hyperlink w:anchor="_Toc230204251" w:history="1">
            <w:r w:rsidRPr="004A0D71">
              <w:rPr>
                <w:rStyle w:val="Hyperlink"/>
                <w:rFonts w:eastAsia="Times New Roman"/>
                <w:noProof/>
                <w:lang w:eastAsia="pt-BR"/>
              </w:rPr>
              <w:t>19.7. Diretrizes sobre receitas acessórias na licitação</w:t>
            </w:r>
            <w:r>
              <w:rPr>
                <w:noProof/>
                <w:webHidden/>
              </w:rPr>
              <w:tab/>
            </w:r>
            <w:r>
              <w:rPr>
                <w:noProof/>
                <w:webHidden/>
              </w:rPr>
              <w:fldChar w:fldCharType="begin"/>
            </w:r>
            <w:r>
              <w:rPr>
                <w:noProof/>
                <w:webHidden/>
              </w:rPr>
              <w:instrText xml:space="preserve"> PAGEREF _Toc230204251 \h </w:instrText>
            </w:r>
            <w:r>
              <w:rPr>
                <w:noProof/>
                <w:webHidden/>
              </w:rPr>
            </w:r>
            <w:r>
              <w:rPr>
                <w:noProof/>
                <w:webHidden/>
              </w:rPr>
              <w:fldChar w:fldCharType="separate"/>
            </w:r>
            <w:r w:rsidR="00B90978">
              <w:rPr>
                <w:noProof/>
                <w:webHidden/>
              </w:rPr>
              <w:t>195</w:t>
            </w:r>
            <w:r>
              <w:rPr>
                <w:noProof/>
                <w:webHidden/>
              </w:rPr>
              <w:fldChar w:fldCharType="end"/>
            </w:r>
          </w:hyperlink>
        </w:p>
        <w:p w14:paraId="620A7069" w14:textId="089A3640" w:rsidR="00514939" w:rsidRDefault="00514939">
          <w:pPr>
            <w:pStyle w:val="Sumrio2"/>
            <w:tabs>
              <w:tab w:val="right" w:leader="dot" w:pos="9061"/>
            </w:tabs>
            <w:rPr>
              <w:rFonts w:asciiTheme="minorHAnsi" w:eastAsiaTheme="minorEastAsia" w:hAnsiTheme="minorHAnsi"/>
              <w:noProof/>
              <w:lang w:eastAsia="pt-BR"/>
            </w:rPr>
          </w:pPr>
          <w:hyperlink w:anchor="_Toc230204252" w:history="1">
            <w:r w:rsidRPr="004A0D71">
              <w:rPr>
                <w:rStyle w:val="Hyperlink"/>
                <w:rFonts w:eastAsia="Times New Roman"/>
                <w:noProof/>
                <w:lang w:eastAsia="pt-BR"/>
              </w:rPr>
              <w:t>19.8. Diretrizes sobre garantias</w:t>
            </w:r>
            <w:r>
              <w:rPr>
                <w:noProof/>
                <w:webHidden/>
              </w:rPr>
              <w:tab/>
            </w:r>
            <w:r>
              <w:rPr>
                <w:noProof/>
                <w:webHidden/>
              </w:rPr>
              <w:fldChar w:fldCharType="begin"/>
            </w:r>
            <w:r>
              <w:rPr>
                <w:noProof/>
                <w:webHidden/>
              </w:rPr>
              <w:instrText xml:space="preserve"> PAGEREF _Toc230204252 \h </w:instrText>
            </w:r>
            <w:r>
              <w:rPr>
                <w:noProof/>
                <w:webHidden/>
              </w:rPr>
            </w:r>
            <w:r>
              <w:rPr>
                <w:noProof/>
                <w:webHidden/>
              </w:rPr>
              <w:fldChar w:fldCharType="separate"/>
            </w:r>
            <w:r w:rsidR="00B90978">
              <w:rPr>
                <w:noProof/>
                <w:webHidden/>
              </w:rPr>
              <w:t>195</w:t>
            </w:r>
            <w:r>
              <w:rPr>
                <w:noProof/>
                <w:webHidden/>
              </w:rPr>
              <w:fldChar w:fldCharType="end"/>
            </w:r>
          </w:hyperlink>
        </w:p>
        <w:p w14:paraId="458764DB" w14:textId="27078F8B" w:rsidR="00514939" w:rsidRDefault="00514939">
          <w:pPr>
            <w:pStyle w:val="Sumrio2"/>
            <w:tabs>
              <w:tab w:val="right" w:leader="dot" w:pos="9061"/>
            </w:tabs>
            <w:rPr>
              <w:rFonts w:asciiTheme="minorHAnsi" w:eastAsiaTheme="minorEastAsia" w:hAnsiTheme="minorHAnsi"/>
              <w:noProof/>
              <w:lang w:eastAsia="pt-BR"/>
            </w:rPr>
          </w:pPr>
          <w:hyperlink w:anchor="_Toc230204253" w:history="1">
            <w:r w:rsidRPr="004A0D71">
              <w:rPr>
                <w:rStyle w:val="Hyperlink"/>
                <w:rFonts w:eastAsia="Times New Roman"/>
                <w:noProof/>
                <w:lang w:eastAsia="pt-BR"/>
              </w:rPr>
              <w:t>19.9. Diretrizes sobre demonstração de exequibilidade</w:t>
            </w:r>
            <w:r>
              <w:rPr>
                <w:noProof/>
                <w:webHidden/>
              </w:rPr>
              <w:tab/>
            </w:r>
            <w:r>
              <w:rPr>
                <w:noProof/>
                <w:webHidden/>
              </w:rPr>
              <w:fldChar w:fldCharType="begin"/>
            </w:r>
            <w:r>
              <w:rPr>
                <w:noProof/>
                <w:webHidden/>
              </w:rPr>
              <w:instrText xml:space="preserve"> PAGEREF _Toc230204253 \h </w:instrText>
            </w:r>
            <w:r>
              <w:rPr>
                <w:noProof/>
                <w:webHidden/>
              </w:rPr>
            </w:r>
            <w:r>
              <w:rPr>
                <w:noProof/>
                <w:webHidden/>
              </w:rPr>
              <w:fldChar w:fldCharType="separate"/>
            </w:r>
            <w:r w:rsidR="00B90978">
              <w:rPr>
                <w:noProof/>
                <w:webHidden/>
              </w:rPr>
              <w:t>196</w:t>
            </w:r>
            <w:r>
              <w:rPr>
                <w:noProof/>
                <w:webHidden/>
              </w:rPr>
              <w:fldChar w:fldCharType="end"/>
            </w:r>
          </w:hyperlink>
        </w:p>
        <w:p w14:paraId="7634F0EF" w14:textId="60479670" w:rsidR="00514939" w:rsidRDefault="00514939">
          <w:pPr>
            <w:pStyle w:val="Sumrio2"/>
            <w:tabs>
              <w:tab w:val="right" w:leader="dot" w:pos="9061"/>
            </w:tabs>
            <w:rPr>
              <w:rFonts w:asciiTheme="minorHAnsi" w:eastAsiaTheme="minorEastAsia" w:hAnsiTheme="minorHAnsi"/>
              <w:noProof/>
              <w:lang w:eastAsia="pt-BR"/>
            </w:rPr>
          </w:pPr>
          <w:hyperlink w:anchor="_Toc230204254" w:history="1">
            <w:r w:rsidRPr="004A0D71">
              <w:rPr>
                <w:rStyle w:val="Hyperlink"/>
                <w:rFonts w:eastAsia="Times New Roman"/>
                <w:noProof/>
                <w:lang w:eastAsia="pt-BR"/>
              </w:rPr>
              <w:t>19.10. Conclusão do tópico</w:t>
            </w:r>
            <w:r>
              <w:rPr>
                <w:noProof/>
                <w:webHidden/>
              </w:rPr>
              <w:tab/>
            </w:r>
            <w:r>
              <w:rPr>
                <w:noProof/>
                <w:webHidden/>
              </w:rPr>
              <w:fldChar w:fldCharType="begin"/>
            </w:r>
            <w:r>
              <w:rPr>
                <w:noProof/>
                <w:webHidden/>
              </w:rPr>
              <w:instrText xml:space="preserve"> PAGEREF _Toc230204254 \h </w:instrText>
            </w:r>
            <w:r>
              <w:rPr>
                <w:noProof/>
                <w:webHidden/>
              </w:rPr>
            </w:r>
            <w:r>
              <w:rPr>
                <w:noProof/>
                <w:webHidden/>
              </w:rPr>
              <w:fldChar w:fldCharType="separate"/>
            </w:r>
            <w:r w:rsidR="00B90978">
              <w:rPr>
                <w:noProof/>
                <w:webHidden/>
              </w:rPr>
              <w:t>196</w:t>
            </w:r>
            <w:r>
              <w:rPr>
                <w:noProof/>
                <w:webHidden/>
              </w:rPr>
              <w:fldChar w:fldCharType="end"/>
            </w:r>
          </w:hyperlink>
        </w:p>
        <w:p w14:paraId="680BF6AF" w14:textId="3B309B2F" w:rsidR="00514939" w:rsidRDefault="00514939">
          <w:pPr>
            <w:pStyle w:val="Sumrio1"/>
            <w:tabs>
              <w:tab w:val="right" w:leader="dot" w:pos="9061"/>
            </w:tabs>
            <w:rPr>
              <w:rFonts w:asciiTheme="minorHAnsi" w:eastAsiaTheme="minorEastAsia" w:hAnsiTheme="minorHAnsi"/>
              <w:noProof/>
              <w:lang w:eastAsia="pt-BR"/>
            </w:rPr>
          </w:pPr>
          <w:hyperlink w:anchor="_Toc230204255" w:history="1">
            <w:r w:rsidRPr="004A0D71">
              <w:rPr>
                <w:rStyle w:val="Hyperlink"/>
                <w:rFonts w:eastAsia="Times New Roman"/>
                <w:noProof/>
                <w:lang w:eastAsia="pt-BR"/>
              </w:rPr>
              <w:t>Anexos Recomendados</w:t>
            </w:r>
            <w:r>
              <w:rPr>
                <w:noProof/>
                <w:webHidden/>
              </w:rPr>
              <w:tab/>
            </w:r>
            <w:r>
              <w:rPr>
                <w:noProof/>
                <w:webHidden/>
              </w:rPr>
              <w:fldChar w:fldCharType="begin"/>
            </w:r>
            <w:r>
              <w:rPr>
                <w:noProof/>
                <w:webHidden/>
              </w:rPr>
              <w:instrText xml:space="preserve"> PAGEREF _Toc230204255 \h </w:instrText>
            </w:r>
            <w:r>
              <w:rPr>
                <w:noProof/>
                <w:webHidden/>
              </w:rPr>
            </w:r>
            <w:r>
              <w:rPr>
                <w:noProof/>
                <w:webHidden/>
              </w:rPr>
              <w:fldChar w:fldCharType="separate"/>
            </w:r>
            <w:r w:rsidR="00B90978">
              <w:rPr>
                <w:noProof/>
                <w:webHidden/>
              </w:rPr>
              <w:t>198</w:t>
            </w:r>
            <w:r>
              <w:rPr>
                <w:noProof/>
                <w:webHidden/>
              </w:rPr>
              <w:fldChar w:fldCharType="end"/>
            </w:r>
          </w:hyperlink>
        </w:p>
        <w:p w14:paraId="2E038D23" w14:textId="64F753E5" w:rsidR="00514939" w:rsidRDefault="00514939">
          <w:pPr>
            <w:pStyle w:val="Sumrio1"/>
            <w:tabs>
              <w:tab w:val="right" w:leader="dot" w:pos="9061"/>
            </w:tabs>
            <w:rPr>
              <w:rFonts w:asciiTheme="minorHAnsi" w:eastAsiaTheme="minorEastAsia" w:hAnsiTheme="minorHAnsi"/>
              <w:noProof/>
              <w:lang w:eastAsia="pt-BR"/>
            </w:rPr>
          </w:pPr>
          <w:hyperlink w:anchor="_Toc230204256" w:history="1">
            <w:r w:rsidRPr="004A0D71">
              <w:rPr>
                <w:rStyle w:val="Hyperlink"/>
                <w:rFonts w:eastAsia="Times New Roman"/>
                <w:noProof/>
                <w:lang w:eastAsia="pt-BR"/>
              </w:rPr>
              <w:t>Anexo I — Quadro Consolidado de Premissas e Indicadores</w:t>
            </w:r>
            <w:r>
              <w:rPr>
                <w:noProof/>
                <w:webHidden/>
              </w:rPr>
              <w:tab/>
            </w:r>
            <w:r>
              <w:rPr>
                <w:noProof/>
                <w:webHidden/>
              </w:rPr>
              <w:fldChar w:fldCharType="begin"/>
            </w:r>
            <w:r>
              <w:rPr>
                <w:noProof/>
                <w:webHidden/>
              </w:rPr>
              <w:instrText xml:space="preserve"> PAGEREF _Toc230204256 \h </w:instrText>
            </w:r>
            <w:r>
              <w:rPr>
                <w:noProof/>
                <w:webHidden/>
              </w:rPr>
            </w:r>
            <w:r>
              <w:rPr>
                <w:noProof/>
                <w:webHidden/>
              </w:rPr>
              <w:fldChar w:fldCharType="separate"/>
            </w:r>
            <w:r w:rsidR="00B90978">
              <w:rPr>
                <w:noProof/>
                <w:webHidden/>
              </w:rPr>
              <w:t>198</w:t>
            </w:r>
            <w:r>
              <w:rPr>
                <w:noProof/>
                <w:webHidden/>
              </w:rPr>
              <w:fldChar w:fldCharType="end"/>
            </w:r>
          </w:hyperlink>
        </w:p>
        <w:p w14:paraId="594A5154" w14:textId="49C44F27" w:rsidR="00514939" w:rsidRDefault="00514939">
          <w:pPr>
            <w:pStyle w:val="Sumrio1"/>
            <w:tabs>
              <w:tab w:val="right" w:leader="dot" w:pos="9061"/>
            </w:tabs>
            <w:rPr>
              <w:rFonts w:asciiTheme="minorHAnsi" w:eastAsiaTheme="minorEastAsia" w:hAnsiTheme="minorHAnsi"/>
              <w:noProof/>
              <w:lang w:eastAsia="pt-BR"/>
            </w:rPr>
          </w:pPr>
          <w:hyperlink w:anchor="_Toc230204257" w:history="1">
            <w:r w:rsidRPr="004A0D71">
              <w:rPr>
                <w:rStyle w:val="Hyperlink"/>
                <w:rFonts w:eastAsia="Times New Roman"/>
                <w:noProof/>
                <w:lang w:eastAsia="pt-BR"/>
              </w:rPr>
              <w:t>Anexo II — Memórias de Cálculo</w:t>
            </w:r>
            <w:r>
              <w:rPr>
                <w:noProof/>
                <w:webHidden/>
              </w:rPr>
              <w:tab/>
            </w:r>
            <w:r>
              <w:rPr>
                <w:noProof/>
                <w:webHidden/>
              </w:rPr>
              <w:fldChar w:fldCharType="begin"/>
            </w:r>
            <w:r>
              <w:rPr>
                <w:noProof/>
                <w:webHidden/>
              </w:rPr>
              <w:instrText xml:space="preserve"> PAGEREF _Toc230204257 \h </w:instrText>
            </w:r>
            <w:r>
              <w:rPr>
                <w:noProof/>
                <w:webHidden/>
              </w:rPr>
            </w:r>
            <w:r>
              <w:rPr>
                <w:noProof/>
                <w:webHidden/>
              </w:rPr>
              <w:fldChar w:fldCharType="separate"/>
            </w:r>
            <w:r w:rsidR="00B90978">
              <w:rPr>
                <w:noProof/>
                <w:webHidden/>
              </w:rPr>
              <w:t>200</w:t>
            </w:r>
            <w:r>
              <w:rPr>
                <w:noProof/>
                <w:webHidden/>
              </w:rPr>
              <w:fldChar w:fldCharType="end"/>
            </w:r>
          </w:hyperlink>
        </w:p>
        <w:p w14:paraId="131EE6A6" w14:textId="011216E7" w:rsidR="00514939" w:rsidRDefault="00514939">
          <w:pPr>
            <w:pStyle w:val="Sumrio1"/>
            <w:tabs>
              <w:tab w:val="right" w:leader="dot" w:pos="9061"/>
            </w:tabs>
            <w:rPr>
              <w:rFonts w:asciiTheme="minorHAnsi" w:eastAsiaTheme="minorEastAsia" w:hAnsiTheme="minorHAnsi"/>
              <w:noProof/>
              <w:lang w:eastAsia="pt-BR"/>
            </w:rPr>
          </w:pPr>
          <w:hyperlink w:anchor="_Toc230204258" w:history="1">
            <w:r w:rsidRPr="004A0D71">
              <w:rPr>
                <w:rStyle w:val="Hyperlink"/>
                <w:rFonts w:eastAsia="Times New Roman"/>
                <w:noProof/>
                <w:lang w:eastAsia="pt-BR"/>
              </w:rPr>
              <w:t>Anexo III — Checklist de Defensabilidade perante Banca, TC e MP</w:t>
            </w:r>
            <w:r>
              <w:rPr>
                <w:noProof/>
                <w:webHidden/>
              </w:rPr>
              <w:tab/>
            </w:r>
            <w:r>
              <w:rPr>
                <w:noProof/>
                <w:webHidden/>
              </w:rPr>
              <w:fldChar w:fldCharType="begin"/>
            </w:r>
            <w:r>
              <w:rPr>
                <w:noProof/>
                <w:webHidden/>
              </w:rPr>
              <w:instrText xml:space="preserve"> PAGEREF _Toc230204258 \h </w:instrText>
            </w:r>
            <w:r>
              <w:rPr>
                <w:noProof/>
                <w:webHidden/>
              </w:rPr>
            </w:r>
            <w:r>
              <w:rPr>
                <w:noProof/>
                <w:webHidden/>
              </w:rPr>
              <w:fldChar w:fldCharType="separate"/>
            </w:r>
            <w:r w:rsidR="00B90978">
              <w:rPr>
                <w:noProof/>
                <w:webHidden/>
              </w:rPr>
              <w:t>202</w:t>
            </w:r>
            <w:r>
              <w:rPr>
                <w:noProof/>
                <w:webHidden/>
              </w:rPr>
              <w:fldChar w:fldCharType="end"/>
            </w:r>
          </w:hyperlink>
        </w:p>
        <w:p w14:paraId="23832DB2" w14:textId="1E0598E2" w:rsidR="00514939" w:rsidRDefault="00514939">
          <w:pPr>
            <w:pStyle w:val="Sumrio1"/>
            <w:tabs>
              <w:tab w:val="right" w:leader="dot" w:pos="9061"/>
            </w:tabs>
            <w:rPr>
              <w:rFonts w:asciiTheme="minorHAnsi" w:eastAsiaTheme="minorEastAsia" w:hAnsiTheme="minorHAnsi"/>
              <w:noProof/>
              <w:lang w:eastAsia="pt-BR"/>
            </w:rPr>
          </w:pPr>
          <w:hyperlink w:anchor="_Toc230204259" w:history="1">
            <w:r w:rsidRPr="004A0D71">
              <w:rPr>
                <w:rStyle w:val="Hyperlink"/>
                <w:rFonts w:eastAsia="Times New Roman"/>
                <w:noProof/>
                <w:lang w:eastAsia="pt-BR"/>
              </w:rPr>
              <w:t>Anexo IV — Recomendações para Ajuste Final da Planilha</w:t>
            </w:r>
            <w:r>
              <w:rPr>
                <w:noProof/>
                <w:webHidden/>
              </w:rPr>
              <w:tab/>
            </w:r>
            <w:r>
              <w:rPr>
                <w:noProof/>
                <w:webHidden/>
              </w:rPr>
              <w:fldChar w:fldCharType="begin"/>
            </w:r>
            <w:r>
              <w:rPr>
                <w:noProof/>
                <w:webHidden/>
              </w:rPr>
              <w:instrText xml:space="preserve"> PAGEREF _Toc230204259 \h </w:instrText>
            </w:r>
            <w:r>
              <w:rPr>
                <w:noProof/>
                <w:webHidden/>
              </w:rPr>
            </w:r>
            <w:r>
              <w:rPr>
                <w:noProof/>
                <w:webHidden/>
              </w:rPr>
              <w:fldChar w:fldCharType="separate"/>
            </w:r>
            <w:r w:rsidR="00B90978">
              <w:rPr>
                <w:noProof/>
                <w:webHidden/>
              </w:rPr>
              <w:t>204</w:t>
            </w:r>
            <w:r>
              <w:rPr>
                <w:noProof/>
                <w:webHidden/>
              </w:rPr>
              <w:fldChar w:fldCharType="end"/>
            </w:r>
          </w:hyperlink>
        </w:p>
        <w:p w14:paraId="7A7CD2C3" w14:textId="01AA036F" w:rsidR="00514939" w:rsidRDefault="00514939">
          <w:pPr>
            <w:pStyle w:val="Sumrio1"/>
            <w:tabs>
              <w:tab w:val="right" w:leader="dot" w:pos="9061"/>
            </w:tabs>
            <w:rPr>
              <w:rFonts w:asciiTheme="minorHAnsi" w:eastAsiaTheme="minorEastAsia" w:hAnsiTheme="minorHAnsi"/>
              <w:noProof/>
              <w:lang w:eastAsia="pt-BR"/>
            </w:rPr>
          </w:pPr>
          <w:hyperlink w:anchor="_Toc230204260" w:history="1">
            <w:r w:rsidRPr="004A0D71">
              <w:rPr>
                <w:rStyle w:val="Hyperlink"/>
                <w:rFonts w:eastAsia="Times New Roman"/>
                <w:noProof/>
                <w:lang w:eastAsia="pt-BR"/>
              </w:rPr>
              <w:t>Anexo V — Quadro de Alertas e Pontos de Atenção</w:t>
            </w:r>
            <w:r>
              <w:rPr>
                <w:noProof/>
                <w:webHidden/>
              </w:rPr>
              <w:tab/>
            </w:r>
            <w:r>
              <w:rPr>
                <w:noProof/>
                <w:webHidden/>
              </w:rPr>
              <w:fldChar w:fldCharType="begin"/>
            </w:r>
            <w:r>
              <w:rPr>
                <w:noProof/>
                <w:webHidden/>
              </w:rPr>
              <w:instrText xml:space="preserve"> PAGEREF _Toc230204260 \h </w:instrText>
            </w:r>
            <w:r>
              <w:rPr>
                <w:noProof/>
                <w:webHidden/>
              </w:rPr>
            </w:r>
            <w:r>
              <w:rPr>
                <w:noProof/>
                <w:webHidden/>
              </w:rPr>
              <w:fldChar w:fldCharType="separate"/>
            </w:r>
            <w:r w:rsidR="00B90978">
              <w:rPr>
                <w:noProof/>
                <w:webHidden/>
              </w:rPr>
              <w:t>205</w:t>
            </w:r>
            <w:r>
              <w:rPr>
                <w:noProof/>
                <w:webHidden/>
              </w:rPr>
              <w:fldChar w:fldCharType="end"/>
            </w:r>
          </w:hyperlink>
        </w:p>
        <w:p w14:paraId="21AE7F86" w14:textId="61388E38" w:rsidR="00514939" w:rsidRDefault="00514939">
          <w:pPr>
            <w:pStyle w:val="Sumrio1"/>
            <w:tabs>
              <w:tab w:val="right" w:leader="dot" w:pos="9061"/>
            </w:tabs>
            <w:rPr>
              <w:rFonts w:asciiTheme="minorHAnsi" w:eastAsiaTheme="minorEastAsia" w:hAnsiTheme="minorHAnsi"/>
              <w:noProof/>
              <w:lang w:eastAsia="pt-BR"/>
            </w:rPr>
          </w:pPr>
          <w:hyperlink w:anchor="_Toc230204261" w:history="1">
            <w:r w:rsidRPr="004A0D71">
              <w:rPr>
                <w:rStyle w:val="Hyperlink"/>
                <w:rFonts w:eastAsia="Times New Roman"/>
                <w:noProof/>
                <w:lang w:eastAsia="pt-BR"/>
              </w:rPr>
              <w:t>Fechamento Geral do Caderno</w:t>
            </w:r>
            <w:r>
              <w:rPr>
                <w:noProof/>
                <w:webHidden/>
              </w:rPr>
              <w:tab/>
            </w:r>
            <w:r>
              <w:rPr>
                <w:noProof/>
                <w:webHidden/>
              </w:rPr>
              <w:fldChar w:fldCharType="begin"/>
            </w:r>
            <w:r>
              <w:rPr>
                <w:noProof/>
                <w:webHidden/>
              </w:rPr>
              <w:instrText xml:space="preserve"> PAGEREF _Toc230204261 \h </w:instrText>
            </w:r>
            <w:r>
              <w:rPr>
                <w:noProof/>
                <w:webHidden/>
              </w:rPr>
            </w:r>
            <w:r>
              <w:rPr>
                <w:noProof/>
                <w:webHidden/>
              </w:rPr>
              <w:fldChar w:fldCharType="separate"/>
            </w:r>
            <w:r w:rsidR="00B90978">
              <w:rPr>
                <w:noProof/>
                <w:webHidden/>
              </w:rPr>
              <w:t>207</w:t>
            </w:r>
            <w:r>
              <w:rPr>
                <w:noProof/>
                <w:webHidden/>
              </w:rPr>
              <w:fldChar w:fldCharType="end"/>
            </w:r>
          </w:hyperlink>
        </w:p>
        <w:p w14:paraId="7F39B251" w14:textId="3E5EF4BF" w:rsidR="005578CF" w:rsidRDefault="005578CF">
          <w:r>
            <w:rPr>
              <w:b/>
              <w:bCs/>
            </w:rPr>
            <w:fldChar w:fldCharType="end"/>
          </w:r>
        </w:p>
      </w:sdtContent>
    </w:sdt>
    <w:p w14:paraId="6516A275" w14:textId="77777777" w:rsidR="00563E8B" w:rsidRDefault="00563E8B" w:rsidP="00D05860">
      <w:pPr>
        <w:pStyle w:val="Ttulo1"/>
        <w:ind w:left="0"/>
        <w:sectPr w:rsidR="00563E8B" w:rsidSect="00D05860">
          <w:headerReference w:type="default" r:id="rId9"/>
          <w:footerReference w:type="default" r:id="rId10"/>
          <w:pgSz w:w="11906" w:h="16838"/>
          <w:pgMar w:top="1701" w:right="1134" w:bottom="1134" w:left="1701" w:header="709" w:footer="709" w:gutter="0"/>
          <w:cols w:space="708"/>
          <w:titlePg/>
          <w:docGrid w:linePitch="360"/>
        </w:sectPr>
      </w:pPr>
      <w:bookmarkStart w:id="1" w:name="_Toc230204003"/>
    </w:p>
    <w:p w14:paraId="61519A45" w14:textId="721E3CC7" w:rsidR="00CF7ABE" w:rsidRPr="00B74E01" w:rsidRDefault="00CF7ABE" w:rsidP="00B74E01">
      <w:pPr>
        <w:pStyle w:val="Ttulo1"/>
      </w:pPr>
      <w:r w:rsidRPr="00B74E01">
        <w:lastRenderedPageBreak/>
        <w:t>1. Apresentação do Caderno Econômico-Financeiro</w:t>
      </w:r>
      <w:bookmarkEnd w:id="1"/>
    </w:p>
    <w:p w14:paraId="12984035"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O presente Caderno Econômico-Financeiro integra a estruturação da Parceria Público-Privada destinada à implantação, operação e manutenção de planta industrial para destinação/tratamento de resíduos sólidos urbanos — RSU, associada à disponibilização de capacidade energética renovável ao Município e à possibilidade de exploração de receitas acessórias pela futura Sociedade de Propósito Específico — SPE.</w:t>
      </w:r>
    </w:p>
    <w:p w14:paraId="75E3DD62"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O objetivo deste caderno é apresentar as premissas, números, critérios, riscos, receitas, custos, investimentos, estrutura de financiamento, garantias e indicadores necessários à avaliação da viabilidade econômico-financeira da PPP.</w:t>
      </w:r>
    </w:p>
    <w:p w14:paraId="41B0F848"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modelagem aqui apresentada não deve ser compreendida como mera planilha de receitas e despesas. Trata-se de instrumento técnico de suporte à decisão pública, à análise de vantajosidade, à futura licitação, à avaliação de financiadores e à defesa do projeto perante banca avaliadora, Tribunal de Contas, Ministério Público e demais órgãos de controle.</w:t>
      </w:r>
    </w:p>
    <w:p w14:paraId="3D31A96A"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O caderno busca demonstrar, com clareza e prudência, que a PPP proposta não se limita à contratação de serviço de destinação de resíduos. O projeto organiza uma solução integrada, envolvendo:</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676"/>
        <w:gridCol w:w="7385"/>
      </w:tblGrid>
      <w:tr w:rsidR="00CF7ABE" w:rsidRPr="00B74E01" w14:paraId="18446D4C" w14:textId="77777777" w:rsidTr="0058413D">
        <w:trPr>
          <w:tblHeader/>
          <w:tblCellSpacing w:w="15" w:type="dxa"/>
        </w:trPr>
        <w:tc>
          <w:tcPr>
            <w:tcW w:w="0" w:type="auto"/>
            <w:vAlign w:val="center"/>
            <w:hideMark/>
          </w:tcPr>
          <w:p w14:paraId="353D1762" w14:textId="77777777" w:rsidR="00CF7ABE" w:rsidRPr="00B74E01" w:rsidRDefault="00CF7ABE" w:rsidP="00B74E01">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Dimensão</w:t>
            </w:r>
          </w:p>
        </w:tc>
        <w:tc>
          <w:tcPr>
            <w:tcW w:w="0" w:type="auto"/>
            <w:vAlign w:val="center"/>
            <w:hideMark/>
          </w:tcPr>
          <w:p w14:paraId="03B6D635" w14:textId="77777777" w:rsidR="00CF7ABE" w:rsidRPr="00B74E01" w:rsidRDefault="00CF7ABE" w:rsidP="00B74E01">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Conteúdo</w:t>
            </w:r>
          </w:p>
        </w:tc>
      </w:tr>
      <w:tr w:rsidR="00CF7ABE" w:rsidRPr="00B74E01" w14:paraId="31CE6DD8" w14:textId="77777777" w:rsidTr="0058413D">
        <w:trPr>
          <w:tblCellSpacing w:w="15" w:type="dxa"/>
        </w:trPr>
        <w:tc>
          <w:tcPr>
            <w:tcW w:w="0" w:type="auto"/>
            <w:vAlign w:val="center"/>
            <w:hideMark/>
          </w:tcPr>
          <w:p w14:paraId="1421BF60" w14:textId="77777777" w:rsidR="00CF7ABE" w:rsidRPr="00B74E01" w:rsidRDefault="00CF7ABE" w:rsidP="00B74E0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Ambiental</w:t>
            </w:r>
          </w:p>
        </w:tc>
        <w:tc>
          <w:tcPr>
            <w:tcW w:w="0" w:type="auto"/>
            <w:vAlign w:val="center"/>
            <w:hideMark/>
          </w:tcPr>
          <w:p w14:paraId="6DB77347" w14:textId="77777777" w:rsidR="00CF7ABE" w:rsidRPr="00B74E01" w:rsidRDefault="00CF7ABE" w:rsidP="00B74E0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Destinação/tratamento de RSU com solução industrial e fiscalizável</w:t>
            </w:r>
          </w:p>
        </w:tc>
      </w:tr>
      <w:tr w:rsidR="00CF7ABE" w:rsidRPr="00B74E01" w14:paraId="2293DC2E" w14:textId="77777777" w:rsidTr="0058413D">
        <w:trPr>
          <w:tblCellSpacing w:w="15" w:type="dxa"/>
        </w:trPr>
        <w:tc>
          <w:tcPr>
            <w:tcW w:w="0" w:type="auto"/>
            <w:vAlign w:val="center"/>
            <w:hideMark/>
          </w:tcPr>
          <w:p w14:paraId="5758C578" w14:textId="77777777" w:rsidR="00CF7ABE" w:rsidRPr="00B74E01" w:rsidRDefault="00CF7ABE" w:rsidP="00B74E0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Energética</w:t>
            </w:r>
          </w:p>
        </w:tc>
        <w:tc>
          <w:tcPr>
            <w:tcW w:w="0" w:type="auto"/>
            <w:vAlign w:val="center"/>
            <w:hideMark/>
          </w:tcPr>
          <w:p w14:paraId="039C69CF" w14:textId="77777777" w:rsidR="00CF7ABE" w:rsidRPr="00B74E01" w:rsidRDefault="00CF7ABE" w:rsidP="00B74E0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Disponibilização de capacidade energética renovável ao Município</w:t>
            </w:r>
          </w:p>
        </w:tc>
      </w:tr>
      <w:tr w:rsidR="00CF7ABE" w:rsidRPr="00B74E01" w14:paraId="17E073ED" w14:textId="77777777" w:rsidTr="0058413D">
        <w:trPr>
          <w:tblCellSpacing w:w="15" w:type="dxa"/>
        </w:trPr>
        <w:tc>
          <w:tcPr>
            <w:tcW w:w="0" w:type="auto"/>
            <w:vAlign w:val="center"/>
            <w:hideMark/>
          </w:tcPr>
          <w:p w14:paraId="1D728A1C" w14:textId="77777777" w:rsidR="00CF7ABE" w:rsidRPr="00B74E01" w:rsidRDefault="00CF7ABE" w:rsidP="00B74E0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Econômica</w:t>
            </w:r>
          </w:p>
        </w:tc>
        <w:tc>
          <w:tcPr>
            <w:tcW w:w="0" w:type="auto"/>
            <w:vAlign w:val="center"/>
            <w:hideMark/>
          </w:tcPr>
          <w:p w14:paraId="4E290CE4" w14:textId="77777777" w:rsidR="00CF7ABE" w:rsidRPr="00B74E01" w:rsidRDefault="00CF7ABE" w:rsidP="00B74E0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Reorganização de despesas públicas existentes e geração de valor</w:t>
            </w:r>
          </w:p>
        </w:tc>
      </w:tr>
      <w:tr w:rsidR="00CF7ABE" w:rsidRPr="00B74E01" w14:paraId="19A23B0E" w14:textId="77777777" w:rsidTr="0058413D">
        <w:trPr>
          <w:tblCellSpacing w:w="15" w:type="dxa"/>
        </w:trPr>
        <w:tc>
          <w:tcPr>
            <w:tcW w:w="0" w:type="auto"/>
            <w:vAlign w:val="center"/>
            <w:hideMark/>
          </w:tcPr>
          <w:p w14:paraId="18CC108F" w14:textId="77777777" w:rsidR="00CF7ABE" w:rsidRPr="00B74E01" w:rsidRDefault="00CF7ABE" w:rsidP="00B74E0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Financeira</w:t>
            </w:r>
          </w:p>
        </w:tc>
        <w:tc>
          <w:tcPr>
            <w:tcW w:w="0" w:type="auto"/>
            <w:vAlign w:val="center"/>
            <w:hideMark/>
          </w:tcPr>
          <w:p w14:paraId="67A40009" w14:textId="77777777" w:rsidR="00CF7ABE" w:rsidRPr="00B74E01" w:rsidRDefault="00CF7ABE" w:rsidP="00B74E0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Estruturação de receitas, custos, financiamento e garantias</w:t>
            </w:r>
          </w:p>
        </w:tc>
      </w:tr>
      <w:tr w:rsidR="00CF7ABE" w:rsidRPr="00B74E01" w14:paraId="5BF350B7" w14:textId="77777777" w:rsidTr="0058413D">
        <w:trPr>
          <w:tblCellSpacing w:w="15" w:type="dxa"/>
        </w:trPr>
        <w:tc>
          <w:tcPr>
            <w:tcW w:w="0" w:type="auto"/>
            <w:vAlign w:val="center"/>
            <w:hideMark/>
          </w:tcPr>
          <w:p w14:paraId="7FC03D22" w14:textId="77777777" w:rsidR="00CF7ABE" w:rsidRPr="00B74E01" w:rsidRDefault="00CF7ABE" w:rsidP="00B74E0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Institucional</w:t>
            </w:r>
          </w:p>
        </w:tc>
        <w:tc>
          <w:tcPr>
            <w:tcW w:w="0" w:type="auto"/>
            <w:vAlign w:val="center"/>
            <w:hideMark/>
          </w:tcPr>
          <w:p w14:paraId="0CF63246" w14:textId="77777777" w:rsidR="00CF7ABE" w:rsidRPr="00B74E01" w:rsidRDefault="00CF7ABE" w:rsidP="00B74E0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Redução de passivos, melhoria de governança e controle</w:t>
            </w:r>
          </w:p>
        </w:tc>
      </w:tr>
      <w:tr w:rsidR="00CF7ABE" w:rsidRPr="00B74E01" w14:paraId="4DA0A68E" w14:textId="77777777" w:rsidTr="0058413D">
        <w:trPr>
          <w:tblCellSpacing w:w="15" w:type="dxa"/>
        </w:trPr>
        <w:tc>
          <w:tcPr>
            <w:tcW w:w="0" w:type="auto"/>
            <w:vAlign w:val="center"/>
            <w:hideMark/>
          </w:tcPr>
          <w:p w14:paraId="206C598B" w14:textId="77777777" w:rsidR="00CF7ABE" w:rsidRPr="00B74E01" w:rsidRDefault="00CF7ABE" w:rsidP="00B74E0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Tecnológica</w:t>
            </w:r>
          </w:p>
        </w:tc>
        <w:tc>
          <w:tcPr>
            <w:tcW w:w="0" w:type="auto"/>
            <w:vAlign w:val="center"/>
            <w:hideMark/>
          </w:tcPr>
          <w:p w14:paraId="77B3F3E6" w14:textId="77777777" w:rsidR="00CF7ABE" w:rsidRPr="00B74E01" w:rsidRDefault="00CF7ABE" w:rsidP="00B74E0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Implantação de infraestrutura industrial com aproveitamento energético</w:t>
            </w:r>
          </w:p>
        </w:tc>
      </w:tr>
      <w:tr w:rsidR="00CF7ABE" w:rsidRPr="00B74E01" w14:paraId="17F553E6" w14:textId="77777777" w:rsidTr="0058413D">
        <w:trPr>
          <w:tblCellSpacing w:w="15" w:type="dxa"/>
        </w:trPr>
        <w:tc>
          <w:tcPr>
            <w:tcW w:w="0" w:type="auto"/>
            <w:vAlign w:val="center"/>
            <w:hideMark/>
          </w:tcPr>
          <w:p w14:paraId="272273EC" w14:textId="77777777" w:rsidR="00CF7ABE" w:rsidRPr="00B74E01" w:rsidRDefault="00CF7ABE" w:rsidP="00B74E0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lastRenderedPageBreak/>
              <w:t>Social e pública</w:t>
            </w:r>
          </w:p>
        </w:tc>
        <w:tc>
          <w:tcPr>
            <w:tcW w:w="0" w:type="auto"/>
            <w:vAlign w:val="center"/>
            <w:hideMark/>
          </w:tcPr>
          <w:p w14:paraId="6FC5F282" w14:textId="77777777" w:rsidR="00CF7ABE" w:rsidRPr="00B74E01" w:rsidRDefault="00CF7ABE" w:rsidP="00B74E0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Potencial fortalecimento do Fundo Municipal de Meio Ambiente e Tecnologia Pública</w:t>
            </w:r>
          </w:p>
        </w:tc>
      </w:tr>
    </w:tbl>
    <w:p w14:paraId="39A05CF8"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análise foi estruturada de forma a separar receitas principais e receitas acessórias, evitando que receitas potenciais de mercado sejam confundidas com receitas contratualmente garantidas pelo Município.</w:t>
      </w:r>
    </w:p>
    <w:p w14:paraId="581B7BB2"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Essa separação é essencial para a </w:t>
      </w:r>
      <w:proofErr w:type="spellStart"/>
      <w:r w:rsidRPr="00B74E01">
        <w:rPr>
          <w:rFonts w:eastAsia="Times New Roman" w:cs="Arial"/>
          <w:kern w:val="0"/>
          <w:lang w:eastAsia="pt-BR"/>
          <w14:ligatures w14:val="none"/>
        </w:rPr>
        <w:t>defensabilidade</w:t>
      </w:r>
      <w:proofErr w:type="spellEnd"/>
      <w:r w:rsidRPr="00B74E01">
        <w:rPr>
          <w:rFonts w:eastAsia="Times New Roman" w:cs="Arial"/>
          <w:kern w:val="0"/>
          <w:lang w:eastAsia="pt-BR"/>
          <w14:ligatures w14:val="none"/>
        </w:rPr>
        <w:t xml:space="preserve"> da PPP. As receitas principais constituem a base mínima da concessão e devem ser mensuráveis, recorrentes e protegidas por garantias adequadas. As receitas acessórias, embora relevantes para a atratividade do projeto, dependem de mercado, qualidade de subprodutos, certificação, compradores, logística, regulação e capacidade empresarial da SPE.</w:t>
      </w:r>
    </w:p>
    <w:p w14:paraId="31654131"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O caderno também adota abordagem prudente quanto à </w:t>
      </w:r>
      <w:proofErr w:type="spellStart"/>
      <w:r w:rsidRPr="00B74E01">
        <w:rPr>
          <w:rFonts w:eastAsia="Times New Roman" w:cs="Arial"/>
          <w:kern w:val="0"/>
          <w:lang w:eastAsia="pt-BR"/>
          <w14:ligatures w14:val="none"/>
        </w:rPr>
        <w:t>bancabilidade</w:t>
      </w:r>
      <w:proofErr w:type="spellEnd"/>
      <w:r w:rsidRPr="00B74E01">
        <w:rPr>
          <w:rFonts w:eastAsia="Times New Roman" w:cs="Arial"/>
          <w:kern w:val="0"/>
          <w:lang w:eastAsia="pt-BR"/>
          <w14:ligatures w14:val="none"/>
        </w:rPr>
        <w:t>. A viabilidade não deve depender de promessas excessivamente otimistas, mas de premissas auditáveis, matriz de riscos clara, garantias proporcionais, análise de sensibilidade e mecanismos adequados de recomposição contratual.</w:t>
      </w:r>
    </w:p>
    <w:p w14:paraId="1482D35D"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diretriz central deste documento é simples: não basta que a modelagem pareça rentável em planilha; ela precisa resistir à crítica técnica, jurídica, financeira e institucional.</w:t>
      </w:r>
    </w:p>
    <w:p w14:paraId="79F35319" w14:textId="20B22ADB" w:rsidR="00CF7ABE" w:rsidRDefault="00CF7ABE" w:rsidP="00B74E01">
      <w:pPr>
        <w:spacing w:after="0" w:line="360" w:lineRule="auto"/>
        <w:ind w:firstLine="709"/>
        <w:jc w:val="both"/>
        <w:rPr>
          <w:rFonts w:eastAsia="Times New Roman" w:cs="Arial"/>
          <w:kern w:val="0"/>
          <w:lang w:eastAsia="pt-BR"/>
          <w14:ligatures w14:val="none"/>
        </w:rPr>
      </w:pPr>
    </w:p>
    <w:p w14:paraId="4B79050E" w14:textId="77777777" w:rsidR="00B74E01" w:rsidRDefault="00B74E01" w:rsidP="00B74E01">
      <w:pPr>
        <w:spacing w:after="0" w:line="360" w:lineRule="auto"/>
        <w:ind w:firstLine="709"/>
        <w:jc w:val="both"/>
        <w:rPr>
          <w:rFonts w:eastAsia="Times New Roman" w:cs="Arial"/>
          <w:kern w:val="0"/>
          <w:lang w:eastAsia="pt-BR"/>
          <w14:ligatures w14:val="none"/>
        </w:rPr>
      </w:pPr>
    </w:p>
    <w:p w14:paraId="7F73936B" w14:textId="77777777" w:rsidR="00B74E01" w:rsidRDefault="00B74E01" w:rsidP="00B74E01">
      <w:pPr>
        <w:spacing w:after="0" w:line="360" w:lineRule="auto"/>
        <w:ind w:firstLine="709"/>
        <w:jc w:val="both"/>
        <w:rPr>
          <w:rFonts w:eastAsia="Times New Roman" w:cs="Arial"/>
          <w:kern w:val="0"/>
          <w:lang w:eastAsia="pt-BR"/>
          <w14:ligatures w14:val="none"/>
        </w:rPr>
      </w:pPr>
    </w:p>
    <w:p w14:paraId="55DB5EC9" w14:textId="77777777" w:rsidR="00B74E01" w:rsidRDefault="00B74E01" w:rsidP="00B74E01">
      <w:pPr>
        <w:spacing w:after="0" w:line="360" w:lineRule="auto"/>
        <w:ind w:firstLine="709"/>
        <w:jc w:val="both"/>
        <w:rPr>
          <w:rFonts w:eastAsia="Times New Roman" w:cs="Arial"/>
          <w:kern w:val="0"/>
          <w:lang w:eastAsia="pt-BR"/>
          <w14:ligatures w14:val="none"/>
        </w:rPr>
      </w:pPr>
    </w:p>
    <w:p w14:paraId="5DBAA75F" w14:textId="77777777" w:rsidR="00B74E01" w:rsidRDefault="00B74E01" w:rsidP="00B74E01">
      <w:pPr>
        <w:spacing w:after="0" w:line="360" w:lineRule="auto"/>
        <w:ind w:firstLine="709"/>
        <w:jc w:val="both"/>
        <w:rPr>
          <w:rFonts w:eastAsia="Times New Roman" w:cs="Arial"/>
          <w:kern w:val="0"/>
          <w:lang w:eastAsia="pt-BR"/>
          <w14:ligatures w14:val="none"/>
        </w:rPr>
      </w:pPr>
    </w:p>
    <w:p w14:paraId="7A6324F4" w14:textId="77777777" w:rsidR="00B74E01" w:rsidRDefault="00B74E01" w:rsidP="00B74E01">
      <w:pPr>
        <w:spacing w:after="0" w:line="360" w:lineRule="auto"/>
        <w:ind w:firstLine="709"/>
        <w:jc w:val="both"/>
        <w:rPr>
          <w:rFonts w:eastAsia="Times New Roman" w:cs="Arial"/>
          <w:kern w:val="0"/>
          <w:lang w:eastAsia="pt-BR"/>
          <w14:ligatures w14:val="none"/>
        </w:rPr>
      </w:pPr>
    </w:p>
    <w:p w14:paraId="7D755EBA" w14:textId="77777777" w:rsidR="00B74E01" w:rsidRDefault="00B74E01" w:rsidP="00B74E01">
      <w:pPr>
        <w:spacing w:after="0" w:line="360" w:lineRule="auto"/>
        <w:ind w:firstLine="709"/>
        <w:jc w:val="both"/>
        <w:rPr>
          <w:rFonts w:eastAsia="Times New Roman" w:cs="Arial"/>
          <w:kern w:val="0"/>
          <w:lang w:eastAsia="pt-BR"/>
          <w14:ligatures w14:val="none"/>
        </w:rPr>
      </w:pPr>
    </w:p>
    <w:p w14:paraId="52208078" w14:textId="77777777" w:rsidR="00B74E01" w:rsidRDefault="00B74E01" w:rsidP="00B74E01">
      <w:pPr>
        <w:spacing w:after="0" w:line="360" w:lineRule="auto"/>
        <w:ind w:firstLine="709"/>
        <w:jc w:val="both"/>
        <w:rPr>
          <w:rFonts w:eastAsia="Times New Roman" w:cs="Arial"/>
          <w:kern w:val="0"/>
          <w:lang w:eastAsia="pt-BR"/>
          <w14:ligatures w14:val="none"/>
        </w:rPr>
      </w:pPr>
    </w:p>
    <w:p w14:paraId="0357F079" w14:textId="77777777" w:rsidR="00B74E01" w:rsidRDefault="00B74E01" w:rsidP="00B74E01">
      <w:pPr>
        <w:spacing w:after="0" w:line="360" w:lineRule="auto"/>
        <w:ind w:firstLine="709"/>
        <w:jc w:val="both"/>
        <w:rPr>
          <w:rFonts w:eastAsia="Times New Roman" w:cs="Arial"/>
          <w:kern w:val="0"/>
          <w:lang w:eastAsia="pt-BR"/>
          <w14:ligatures w14:val="none"/>
        </w:rPr>
      </w:pPr>
    </w:p>
    <w:p w14:paraId="267A95DE" w14:textId="77777777" w:rsidR="00B74E01" w:rsidRDefault="00B74E01" w:rsidP="00B74E01">
      <w:pPr>
        <w:spacing w:after="0" w:line="360" w:lineRule="auto"/>
        <w:ind w:firstLine="709"/>
        <w:jc w:val="both"/>
        <w:rPr>
          <w:rFonts w:eastAsia="Times New Roman" w:cs="Arial"/>
          <w:kern w:val="0"/>
          <w:lang w:eastAsia="pt-BR"/>
          <w14:ligatures w14:val="none"/>
        </w:rPr>
      </w:pPr>
    </w:p>
    <w:p w14:paraId="06C7EEC1" w14:textId="77777777" w:rsidR="00CF7ABE" w:rsidRPr="00B74E01" w:rsidRDefault="00CF7ABE" w:rsidP="00B74E01">
      <w:pPr>
        <w:pStyle w:val="Ttulo1"/>
      </w:pPr>
      <w:bookmarkStart w:id="2" w:name="_Toc230204004"/>
      <w:r w:rsidRPr="00B74E01">
        <w:lastRenderedPageBreak/>
        <w:t>2. Objeto Econômico da PPP</w:t>
      </w:r>
      <w:bookmarkEnd w:id="2"/>
    </w:p>
    <w:p w14:paraId="3F1F2194"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O objeto econômico da presente PPP consiste na estruturação de uma solução integrada para implantação, operação e manutenção de planta industrial destinada ao recebimento, tratamento e destinação de resíduos sólidos urbanos — RSU, com integração à disponibilização de capacidade energética renovável ao Município e possibilidade de exploração de receitas acessórias pela SPE.</w:t>
      </w:r>
    </w:p>
    <w:p w14:paraId="2857FED6"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Sob a ótica econômico-financeira, o projeto não deve ser entendido como simples contratação de uma unidade de processamento de resíduos. Trata-se de uma infraestrutura pública de longo prazo, implantada e operada por agente privado, mediante regime contratual que combina investimento, operação, desempenho, receitas principais, receitas acessórias, garantias e matriz de riscos.</w:t>
      </w:r>
    </w:p>
    <w:p w14:paraId="52D829F0"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O objeto econômico da PPP envolve dois núcleos principais: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089"/>
        <w:gridCol w:w="6972"/>
      </w:tblGrid>
      <w:tr w:rsidR="00CF7ABE" w:rsidRPr="00B74E01" w14:paraId="6489A6D4" w14:textId="77777777" w:rsidTr="0058413D">
        <w:trPr>
          <w:tblHeader/>
          <w:tblCellSpacing w:w="15" w:type="dxa"/>
        </w:trPr>
        <w:tc>
          <w:tcPr>
            <w:tcW w:w="0" w:type="auto"/>
            <w:vAlign w:val="center"/>
            <w:hideMark/>
          </w:tcPr>
          <w:p w14:paraId="49CDBFFE" w14:textId="77777777" w:rsidR="00CF7ABE" w:rsidRPr="00B74E01" w:rsidRDefault="00CF7ABE" w:rsidP="00B74E01">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Núcleo</w:t>
            </w:r>
          </w:p>
        </w:tc>
        <w:tc>
          <w:tcPr>
            <w:tcW w:w="0" w:type="auto"/>
            <w:vAlign w:val="center"/>
            <w:hideMark/>
          </w:tcPr>
          <w:p w14:paraId="754B4B03" w14:textId="77777777" w:rsidR="00CF7ABE" w:rsidRPr="00B74E01" w:rsidRDefault="00CF7ABE" w:rsidP="00B74E01">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Descrição</w:t>
            </w:r>
          </w:p>
        </w:tc>
      </w:tr>
      <w:tr w:rsidR="00CF7ABE" w:rsidRPr="00B74E01" w14:paraId="3BEA33D3" w14:textId="77777777" w:rsidTr="0058413D">
        <w:trPr>
          <w:tblCellSpacing w:w="15" w:type="dxa"/>
        </w:trPr>
        <w:tc>
          <w:tcPr>
            <w:tcW w:w="0" w:type="auto"/>
            <w:vAlign w:val="center"/>
            <w:hideMark/>
          </w:tcPr>
          <w:p w14:paraId="0FD1ECDC" w14:textId="77777777" w:rsidR="00CF7ABE" w:rsidRPr="00B74E01" w:rsidRDefault="00CF7ABE" w:rsidP="00B74E0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Núcleo principal da concessão</w:t>
            </w:r>
          </w:p>
        </w:tc>
        <w:tc>
          <w:tcPr>
            <w:tcW w:w="0" w:type="auto"/>
            <w:vAlign w:val="center"/>
            <w:hideMark/>
          </w:tcPr>
          <w:p w14:paraId="03785F3C" w14:textId="77777777" w:rsidR="00CF7ABE" w:rsidRPr="00B74E01" w:rsidRDefault="00CF7ABE" w:rsidP="00B74E0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Destinação/tratamento de RSU e disponibilização de capacidade energética renovável ao Município</w:t>
            </w:r>
          </w:p>
        </w:tc>
      </w:tr>
      <w:tr w:rsidR="00CF7ABE" w:rsidRPr="00B74E01" w14:paraId="447F0FC0" w14:textId="77777777" w:rsidTr="0058413D">
        <w:trPr>
          <w:tblCellSpacing w:w="15" w:type="dxa"/>
        </w:trPr>
        <w:tc>
          <w:tcPr>
            <w:tcW w:w="0" w:type="auto"/>
            <w:vAlign w:val="center"/>
            <w:hideMark/>
          </w:tcPr>
          <w:p w14:paraId="22D2F3E1" w14:textId="77777777" w:rsidR="00CF7ABE" w:rsidRPr="00B74E01" w:rsidRDefault="00CF7ABE" w:rsidP="00B74E0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Núcleo acessório</w:t>
            </w:r>
          </w:p>
        </w:tc>
        <w:tc>
          <w:tcPr>
            <w:tcW w:w="0" w:type="auto"/>
            <w:vAlign w:val="center"/>
            <w:hideMark/>
          </w:tcPr>
          <w:p w14:paraId="11E2CA7E" w14:textId="77777777" w:rsidR="00CF7ABE" w:rsidRPr="00B74E01" w:rsidRDefault="00CF7ABE" w:rsidP="00B74E0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Exploração econômica de subprodutos, créditos ambientais, materiais recuperáveis e outros ativos compatíveis com o contrato</w:t>
            </w:r>
          </w:p>
        </w:tc>
      </w:tr>
    </w:tbl>
    <w:p w14:paraId="598C19A2"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modelagem parte da premissa de que o Município já possui duas obrigações/despesas relevantes: a necessidade de dar destinação adequada ao RSU e o pagamento recorrente de energia elétrica. A PPP busca reorganizar essas duas frentes em uma solução contratual integrada.</w:t>
      </w:r>
    </w:p>
    <w:p w14:paraId="6EC0305E"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Nesse sentido, o projeto procura converter uma obrigação ambiental em infraestrutura produtiva, combinando tratamento de resíduos, aproveitamento energético, investimento privado e potencial de geração de receitas acessórias.</w:t>
      </w:r>
    </w:p>
    <w:p w14:paraId="5E0C8227"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 SPE será responsável pela implantação, operação, manutenção e desempenho da planta, assumindo os riscos ordinários de CAPEX, OPEX, tecnologia, </w:t>
      </w:r>
      <w:r w:rsidRPr="00B74E01">
        <w:rPr>
          <w:rFonts w:eastAsia="Times New Roman" w:cs="Arial"/>
          <w:kern w:val="0"/>
          <w:lang w:eastAsia="pt-BR"/>
          <w14:ligatures w14:val="none"/>
        </w:rPr>
        <w:lastRenderedPageBreak/>
        <w:t>operação, manutenção, financiamento, qualidade dos subprodutos e receitas acessórias.</w:t>
      </w:r>
    </w:p>
    <w:p w14:paraId="20EA03B0"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Ao Município caberá assegurar as condições contratuais necessárias à execução da PPP, incluindo a remuneração das receitas principais devidas, a disponibilização da área, a fiscalização do contrato e a estruturação de garantias adequadas ao fluxo de pagamento.</w:t>
      </w:r>
    </w:p>
    <w:p w14:paraId="63E8C078" w14:textId="732CA6BD" w:rsidR="00B74E01" w:rsidRPr="00B74E01" w:rsidRDefault="00CF7ABE" w:rsidP="00B74E01">
      <w:pPr>
        <w:pStyle w:val="Ttulo2"/>
      </w:pPr>
      <w:bookmarkStart w:id="3" w:name="_Toc230204005"/>
      <w:r w:rsidRPr="00B74E01">
        <w:t>2.1. Componentes econômicos do objeto</w:t>
      </w:r>
      <w:bookmarkEnd w:id="3"/>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405"/>
        <w:gridCol w:w="5656"/>
      </w:tblGrid>
      <w:tr w:rsidR="00CF7ABE" w:rsidRPr="00B74E01" w14:paraId="68D3815D" w14:textId="77777777" w:rsidTr="0058413D">
        <w:trPr>
          <w:tblHeader/>
          <w:tblCellSpacing w:w="15" w:type="dxa"/>
        </w:trPr>
        <w:tc>
          <w:tcPr>
            <w:tcW w:w="0" w:type="auto"/>
            <w:vAlign w:val="center"/>
            <w:hideMark/>
          </w:tcPr>
          <w:p w14:paraId="6AF967B6" w14:textId="77777777" w:rsidR="00CF7ABE" w:rsidRPr="00B74E01" w:rsidRDefault="00CF7ABE" w:rsidP="00B74E01">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Componente</w:t>
            </w:r>
          </w:p>
        </w:tc>
        <w:tc>
          <w:tcPr>
            <w:tcW w:w="0" w:type="auto"/>
            <w:vAlign w:val="center"/>
            <w:hideMark/>
          </w:tcPr>
          <w:p w14:paraId="7D0CA2EE" w14:textId="77777777" w:rsidR="00CF7ABE" w:rsidRPr="00B74E01" w:rsidRDefault="00CF7ABE" w:rsidP="00B74E01">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Tratamento econômico</w:t>
            </w:r>
          </w:p>
        </w:tc>
      </w:tr>
      <w:tr w:rsidR="00CF7ABE" w:rsidRPr="00B74E01" w14:paraId="4F3A43E4" w14:textId="77777777" w:rsidTr="0058413D">
        <w:trPr>
          <w:tblCellSpacing w:w="15" w:type="dxa"/>
        </w:trPr>
        <w:tc>
          <w:tcPr>
            <w:tcW w:w="0" w:type="auto"/>
            <w:vAlign w:val="center"/>
            <w:hideMark/>
          </w:tcPr>
          <w:p w14:paraId="1516C533" w14:textId="77777777" w:rsidR="00CF7ABE" w:rsidRPr="00B74E01" w:rsidRDefault="00CF7ABE" w:rsidP="00B74E0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Recebimento e tratamento de RSU</w:t>
            </w:r>
          </w:p>
        </w:tc>
        <w:tc>
          <w:tcPr>
            <w:tcW w:w="0" w:type="auto"/>
            <w:vAlign w:val="center"/>
            <w:hideMark/>
          </w:tcPr>
          <w:p w14:paraId="2597E509" w14:textId="77777777" w:rsidR="00CF7ABE" w:rsidRPr="00B74E01" w:rsidRDefault="00CF7ABE" w:rsidP="00B74E0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 principal da SPE</w:t>
            </w:r>
          </w:p>
        </w:tc>
      </w:tr>
      <w:tr w:rsidR="00CF7ABE" w:rsidRPr="00B74E01" w14:paraId="496C58F5" w14:textId="77777777" w:rsidTr="0058413D">
        <w:trPr>
          <w:tblCellSpacing w:w="15" w:type="dxa"/>
        </w:trPr>
        <w:tc>
          <w:tcPr>
            <w:tcW w:w="0" w:type="auto"/>
            <w:vAlign w:val="center"/>
            <w:hideMark/>
          </w:tcPr>
          <w:p w14:paraId="094B4F75" w14:textId="77777777" w:rsidR="00CF7ABE" w:rsidRPr="00B74E01" w:rsidRDefault="00CF7ABE" w:rsidP="00B74E0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Quantidade mínima contratada</w:t>
            </w:r>
          </w:p>
        </w:tc>
        <w:tc>
          <w:tcPr>
            <w:tcW w:w="0" w:type="auto"/>
            <w:vAlign w:val="center"/>
            <w:hideMark/>
          </w:tcPr>
          <w:p w14:paraId="2933F5E0" w14:textId="77777777" w:rsidR="00CF7ABE" w:rsidRPr="00B74E01" w:rsidRDefault="00CF7ABE" w:rsidP="00B74E0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80 t/dia, como base mínima faturável</w:t>
            </w:r>
          </w:p>
        </w:tc>
      </w:tr>
      <w:tr w:rsidR="00CF7ABE" w:rsidRPr="00B74E01" w14:paraId="6F8ECC90" w14:textId="77777777" w:rsidTr="0058413D">
        <w:trPr>
          <w:tblCellSpacing w:w="15" w:type="dxa"/>
        </w:trPr>
        <w:tc>
          <w:tcPr>
            <w:tcW w:w="0" w:type="auto"/>
            <w:vAlign w:val="center"/>
            <w:hideMark/>
          </w:tcPr>
          <w:p w14:paraId="5C9D8CE3" w14:textId="77777777" w:rsidR="00CF7ABE" w:rsidRPr="00B74E01" w:rsidRDefault="00CF7ABE" w:rsidP="00B74E0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Disponibilização energética</w:t>
            </w:r>
          </w:p>
        </w:tc>
        <w:tc>
          <w:tcPr>
            <w:tcW w:w="0" w:type="auto"/>
            <w:vAlign w:val="center"/>
            <w:hideMark/>
          </w:tcPr>
          <w:p w14:paraId="2332D129" w14:textId="77777777" w:rsidR="00CF7ABE" w:rsidRPr="00B74E01" w:rsidRDefault="00CF7ABE" w:rsidP="00B74E0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 principal da SPE</w:t>
            </w:r>
          </w:p>
        </w:tc>
      </w:tr>
      <w:tr w:rsidR="00CF7ABE" w:rsidRPr="00B74E01" w14:paraId="6C1A21A9" w14:textId="77777777" w:rsidTr="0058413D">
        <w:trPr>
          <w:tblCellSpacing w:w="15" w:type="dxa"/>
        </w:trPr>
        <w:tc>
          <w:tcPr>
            <w:tcW w:w="0" w:type="auto"/>
            <w:vAlign w:val="center"/>
            <w:hideMark/>
          </w:tcPr>
          <w:p w14:paraId="544A92C4" w14:textId="77777777" w:rsidR="00CF7ABE" w:rsidRPr="00B74E01" w:rsidRDefault="00CF7ABE" w:rsidP="00B74E0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Economia energética municipal</w:t>
            </w:r>
          </w:p>
        </w:tc>
        <w:tc>
          <w:tcPr>
            <w:tcW w:w="0" w:type="auto"/>
            <w:vAlign w:val="center"/>
            <w:hideMark/>
          </w:tcPr>
          <w:p w14:paraId="4BED5D1E" w14:textId="77777777" w:rsidR="00CF7ABE" w:rsidRPr="00B74E01" w:rsidRDefault="00CF7ABE" w:rsidP="00B74E0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Vetor de vantajosidade pública</w:t>
            </w:r>
          </w:p>
        </w:tc>
      </w:tr>
      <w:tr w:rsidR="00CF7ABE" w:rsidRPr="00B74E01" w14:paraId="04891BF7" w14:textId="77777777" w:rsidTr="0058413D">
        <w:trPr>
          <w:tblCellSpacing w:w="15" w:type="dxa"/>
        </w:trPr>
        <w:tc>
          <w:tcPr>
            <w:tcW w:w="0" w:type="auto"/>
            <w:vAlign w:val="center"/>
            <w:hideMark/>
          </w:tcPr>
          <w:p w14:paraId="418A4176" w14:textId="77777777" w:rsidR="00CF7ABE" w:rsidRPr="00B74E01" w:rsidRDefault="00CF7ABE" w:rsidP="00B74E01">
            <w:pPr>
              <w:spacing w:after="0" w:line="360" w:lineRule="auto"/>
              <w:rPr>
                <w:rFonts w:eastAsia="Times New Roman" w:cs="Arial"/>
                <w:kern w:val="0"/>
                <w:lang w:eastAsia="pt-BR"/>
                <w14:ligatures w14:val="none"/>
              </w:rPr>
            </w:pPr>
            <w:proofErr w:type="spellStart"/>
            <w:r w:rsidRPr="00B74E01">
              <w:rPr>
                <w:rFonts w:eastAsia="Times New Roman" w:cs="Arial"/>
                <w:kern w:val="0"/>
                <w:lang w:eastAsia="pt-BR"/>
                <w14:ligatures w14:val="none"/>
              </w:rPr>
              <w:t>Biochar</w:t>
            </w:r>
            <w:proofErr w:type="spellEnd"/>
            <w:r w:rsidRPr="00B74E01">
              <w:rPr>
                <w:rFonts w:eastAsia="Times New Roman" w:cs="Arial"/>
                <w:kern w:val="0"/>
                <w:lang w:eastAsia="pt-BR"/>
                <w14:ligatures w14:val="none"/>
              </w:rPr>
              <w:t>/material carbonáceo</w:t>
            </w:r>
          </w:p>
        </w:tc>
        <w:tc>
          <w:tcPr>
            <w:tcW w:w="0" w:type="auto"/>
            <w:vAlign w:val="center"/>
            <w:hideMark/>
          </w:tcPr>
          <w:p w14:paraId="6FFE2973" w14:textId="77777777" w:rsidR="00CF7ABE" w:rsidRPr="00B74E01" w:rsidRDefault="00CF7ABE" w:rsidP="00B74E0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 acessória potencial</w:t>
            </w:r>
          </w:p>
        </w:tc>
      </w:tr>
      <w:tr w:rsidR="00CF7ABE" w:rsidRPr="00B74E01" w14:paraId="2486FAEB" w14:textId="77777777" w:rsidTr="0058413D">
        <w:trPr>
          <w:tblCellSpacing w:w="15" w:type="dxa"/>
        </w:trPr>
        <w:tc>
          <w:tcPr>
            <w:tcW w:w="0" w:type="auto"/>
            <w:vAlign w:val="center"/>
            <w:hideMark/>
          </w:tcPr>
          <w:p w14:paraId="1B027786" w14:textId="77777777" w:rsidR="00CF7ABE" w:rsidRPr="00B74E01" w:rsidRDefault="00CF7ABE" w:rsidP="00B74E0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 xml:space="preserve">Óleo </w:t>
            </w:r>
            <w:proofErr w:type="spellStart"/>
            <w:r w:rsidRPr="00B74E01">
              <w:rPr>
                <w:rFonts w:eastAsia="Times New Roman" w:cs="Arial"/>
                <w:kern w:val="0"/>
                <w:lang w:eastAsia="pt-BR"/>
                <w14:ligatures w14:val="none"/>
              </w:rPr>
              <w:t>pirolítico</w:t>
            </w:r>
            <w:proofErr w:type="spellEnd"/>
            <w:r w:rsidRPr="00B74E01">
              <w:rPr>
                <w:rFonts w:eastAsia="Times New Roman" w:cs="Arial"/>
                <w:kern w:val="0"/>
                <w:lang w:eastAsia="pt-BR"/>
                <w14:ligatures w14:val="none"/>
              </w:rPr>
              <w:t>/extrato líquido</w:t>
            </w:r>
          </w:p>
        </w:tc>
        <w:tc>
          <w:tcPr>
            <w:tcW w:w="0" w:type="auto"/>
            <w:vAlign w:val="center"/>
            <w:hideMark/>
          </w:tcPr>
          <w:p w14:paraId="48B00A46" w14:textId="77777777" w:rsidR="00CF7ABE" w:rsidRPr="00B74E01" w:rsidRDefault="00CF7ABE" w:rsidP="00B74E0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 acessória potencial</w:t>
            </w:r>
          </w:p>
        </w:tc>
      </w:tr>
      <w:tr w:rsidR="00CF7ABE" w:rsidRPr="00B74E01" w14:paraId="77FBE668" w14:textId="77777777" w:rsidTr="0058413D">
        <w:trPr>
          <w:tblCellSpacing w:w="15" w:type="dxa"/>
        </w:trPr>
        <w:tc>
          <w:tcPr>
            <w:tcW w:w="0" w:type="auto"/>
            <w:vAlign w:val="center"/>
            <w:hideMark/>
          </w:tcPr>
          <w:p w14:paraId="6954DAE4" w14:textId="77777777" w:rsidR="00CF7ABE" w:rsidRPr="00B74E01" w:rsidRDefault="00CF7ABE" w:rsidP="00B74E0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Créditos de carbono</w:t>
            </w:r>
          </w:p>
        </w:tc>
        <w:tc>
          <w:tcPr>
            <w:tcW w:w="0" w:type="auto"/>
            <w:vAlign w:val="center"/>
            <w:hideMark/>
          </w:tcPr>
          <w:p w14:paraId="775E4EA4" w14:textId="77777777" w:rsidR="00CF7ABE" w:rsidRPr="00B74E01" w:rsidRDefault="00CF7ABE" w:rsidP="00B74E0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 acessória potencial</w:t>
            </w:r>
          </w:p>
        </w:tc>
      </w:tr>
      <w:tr w:rsidR="00CF7ABE" w:rsidRPr="00B74E01" w14:paraId="54BAA708" w14:textId="77777777" w:rsidTr="0058413D">
        <w:trPr>
          <w:tblCellSpacing w:w="15" w:type="dxa"/>
        </w:trPr>
        <w:tc>
          <w:tcPr>
            <w:tcW w:w="0" w:type="auto"/>
            <w:vAlign w:val="center"/>
            <w:hideMark/>
          </w:tcPr>
          <w:p w14:paraId="15C3154D" w14:textId="77777777" w:rsidR="00CF7ABE" w:rsidRPr="00B74E01" w:rsidRDefault="00CF7ABE" w:rsidP="00B74E0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Recicláveis eventualmente aproveitáveis</w:t>
            </w:r>
          </w:p>
        </w:tc>
        <w:tc>
          <w:tcPr>
            <w:tcW w:w="0" w:type="auto"/>
            <w:vAlign w:val="center"/>
            <w:hideMark/>
          </w:tcPr>
          <w:p w14:paraId="7814E5A3" w14:textId="77777777" w:rsidR="00CF7ABE" w:rsidRPr="00B74E01" w:rsidRDefault="00CF7ABE" w:rsidP="00B74E0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 acessória potencial adicional</w:t>
            </w:r>
          </w:p>
        </w:tc>
      </w:tr>
      <w:tr w:rsidR="00CF7ABE" w:rsidRPr="00B74E01" w14:paraId="379BC6CA" w14:textId="77777777" w:rsidTr="0058413D">
        <w:trPr>
          <w:tblCellSpacing w:w="15" w:type="dxa"/>
        </w:trPr>
        <w:tc>
          <w:tcPr>
            <w:tcW w:w="0" w:type="auto"/>
            <w:vAlign w:val="center"/>
            <w:hideMark/>
          </w:tcPr>
          <w:p w14:paraId="17A6D1D3" w14:textId="77777777" w:rsidR="00CF7ABE" w:rsidRPr="00B74E01" w:rsidRDefault="00CF7ABE" w:rsidP="00B74E0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Fundo Municipal</w:t>
            </w:r>
          </w:p>
        </w:tc>
        <w:tc>
          <w:tcPr>
            <w:tcW w:w="0" w:type="auto"/>
            <w:vAlign w:val="center"/>
            <w:hideMark/>
          </w:tcPr>
          <w:p w14:paraId="75CC3F0D" w14:textId="77777777" w:rsidR="00CF7ABE" w:rsidRPr="00B74E01" w:rsidRDefault="00CF7ABE" w:rsidP="00B74E0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Destinação recomendada de saldo positivo e parcela das receitas acessórias</w:t>
            </w:r>
          </w:p>
        </w:tc>
      </w:tr>
      <w:tr w:rsidR="00CF7ABE" w:rsidRPr="00B74E01" w14:paraId="6DBFB229" w14:textId="77777777" w:rsidTr="0058413D">
        <w:trPr>
          <w:tblCellSpacing w:w="15" w:type="dxa"/>
        </w:trPr>
        <w:tc>
          <w:tcPr>
            <w:tcW w:w="0" w:type="auto"/>
            <w:vAlign w:val="center"/>
            <w:hideMark/>
          </w:tcPr>
          <w:p w14:paraId="6E2610F7" w14:textId="77777777" w:rsidR="00CF7ABE" w:rsidRPr="00B74E01" w:rsidRDefault="00CF7ABE" w:rsidP="00B74E0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Garantias</w:t>
            </w:r>
          </w:p>
        </w:tc>
        <w:tc>
          <w:tcPr>
            <w:tcW w:w="0" w:type="auto"/>
            <w:vAlign w:val="center"/>
            <w:hideMark/>
          </w:tcPr>
          <w:p w14:paraId="4565CEEA" w14:textId="77777777" w:rsidR="00CF7ABE" w:rsidRPr="00B74E01" w:rsidRDefault="00CF7ABE" w:rsidP="00B74E0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Proteção das receitas principais</w:t>
            </w:r>
          </w:p>
        </w:tc>
      </w:tr>
    </w:tbl>
    <w:p w14:paraId="6E22AFD9"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O objeto econômico deve permanecer claro na licitação: a PPP não se resume ao preço da tonelada de RSU, nem à rubrica energética isoladamente. A análise correta deve observar o conjunto econômico da solução.</w:t>
      </w:r>
    </w:p>
    <w:p w14:paraId="6208DFE9" w14:textId="77777777" w:rsidR="00CF7ABE" w:rsidRPr="00B74E01" w:rsidRDefault="00CF7ABE" w:rsidP="00B74E01">
      <w:pPr>
        <w:pStyle w:val="Ttulo2"/>
      </w:pPr>
      <w:bookmarkStart w:id="4" w:name="_Toc230204006"/>
      <w:r w:rsidRPr="00B74E01">
        <w:lastRenderedPageBreak/>
        <w:t>2.2. Natureza industrial da solução</w:t>
      </w:r>
      <w:bookmarkEnd w:id="4"/>
    </w:p>
    <w:p w14:paraId="0982DE31"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planta prevista possui natureza industrial, com necessidade de implantação de equipamentos, obras civis, sistemas de controle, operação contínua, manutenção especializada, segurança do trabalho, gestão ambiental, monitoramento e controle de desempenho.</w:t>
      </w:r>
    </w:p>
    <w:p w14:paraId="7C92AA88"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Essa característica diferencia o projeto de modelos convencionais de disposição final. A SPE deverá demonstrar capacidade técnica e operacional para implantar e operar unidade industrial compatível com o objeto da PPP.</w:t>
      </w:r>
    </w:p>
    <w:p w14:paraId="21A50E1B"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O modelo econômico deverá refletir essa natureza industrial, evitando subdimensionamento de CAPEX, OPEX, equipe, manutenção, seguros, licenciamento, segurança e contingências.</w:t>
      </w:r>
    </w:p>
    <w:p w14:paraId="283AF7BD" w14:textId="77777777" w:rsidR="00CF7ABE" w:rsidRPr="00B74E01" w:rsidRDefault="00CF7ABE" w:rsidP="00B74E01">
      <w:pPr>
        <w:pStyle w:val="Ttulo2"/>
      </w:pPr>
      <w:bookmarkStart w:id="5" w:name="_Toc230204007"/>
      <w:r w:rsidRPr="00B74E01">
        <w:t>2.3. Diretriz de não confusão entre obrigação pública e risco empresarial</w:t>
      </w:r>
      <w:bookmarkEnd w:id="5"/>
    </w:p>
    <w:p w14:paraId="793EE373"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PPP deverá preservar distinção clara entre aquilo que o Município contrata e aquilo que a SPE pode explorar como oportunidade econômica.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662"/>
        <w:gridCol w:w="4399"/>
      </w:tblGrid>
      <w:tr w:rsidR="00CF7ABE" w:rsidRPr="00B74E01" w14:paraId="75AAD639" w14:textId="77777777" w:rsidTr="0058413D">
        <w:trPr>
          <w:tblHeade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7CA8B227" w14:textId="77777777" w:rsidR="00CF7ABE" w:rsidRPr="00B74E01" w:rsidRDefault="00CF7ABE" w:rsidP="00B74E01">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Elemento</w:t>
            </w:r>
          </w:p>
        </w:tc>
        <w:tc>
          <w:tcPr>
            <w:tcW w:w="0" w:type="auto"/>
            <w:tcBorders>
              <w:top w:val="single" w:sz="4" w:space="0" w:color="auto"/>
              <w:left w:val="single" w:sz="4" w:space="0" w:color="auto"/>
              <w:bottom w:val="single" w:sz="4" w:space="0" w:color="auto"/>
              <w:right w:val="single" w:sz="4" w:space="0" w:color="auto"/>
            </w:tcBorders>
            <w:vAlign w:val="center"/>
            <w:hideMark/>
          </w:tcPr>
          <w:p w14:paraId="6EC77A47" w14:textId="77777777" w:rsidR="00CF7ABE" w:rsidRPr="00B74E01" w:rsidRDefault="00CF7ABE" w:rsidP="00B74E01">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Natureza</w:t>
            </w:r>
          </w:p>
        </w:tc>
      </w:tr>
      <w:tr w:rsidR="00CF7ABE" w:rsidRPr="00B74E01" w14:paraId="5FC4B55E" w14:textId="77777777" w:rsidTr="0058413D">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35E94038" w14:textId="77777777" w:rsidR="00CF7ABE" w:rsidRPr="00B74E01" w:rsidRDefault="00CF7ABE" w:rsidP="00B74E0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Destinação/tratamento de RSU</w:t>
            </w:r>
          </w:p>
        </w:tc>
        <w:tc>
          <w:tcPr>
            <w:tcW w:w="0" w:type="auto"/>
            <w:tcBorders>
              <w:top w:val="single" w:sz="4" w:space="0" w:color="auto"/>
              <w:left w:val="single" w:sz="4" w:space="0" w:color="auto"/>
              <w:bottom w:val="single" w:sz="4" w:space="0" w:color="auto"/>
              <w:right w:val="single" w:sz="4" w:space="0" w:color="auto"/>
            </w:tcBorders>
            <w:vAlign w:val="center"/>
            <w:hideMark/>
          </w:tcPr>
          <w:p w14:paraId="50517364" w14:textId="77777777" w:rsidR="00CF7ABE" w:rsidRPr="00B74E01" w:rsidRDefault="00CF7ABE" w:rsidP="00B74E0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Obrigação contratual principal</w:t>
            </w:r>
          </w:p>
        </w:tc>
      </w:tr>
      <w:tr w:rsidR="00CF7ABE" w:rsidRPr="00B74E01" w14:paraId="078816F0" w14:textId="77777777" w:rsidTr="0058413D">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186EC286" w14:textId="77777777" w:rsidR="00CF7ABE" w:rsidRPr="00B74E01" w:rsidRDefault="00CF7ABE" w:rsidP="00B74E0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Disponibilização de capacidade energética</w:t>
            </w:r>
          </w:p>
        </w:tc>
        <w:tc>
          <w:tcPr>
            <w:tcW w:w="0" w:type="auto"/>
            <w:tcBorders>
              <w:top w:val="single" w:sz="4" w:space="0" w:color="auto"/>
              <w:left w:val="single" w:sz="4" w:space="0" w:color="auto"/>
              <w:bottom w:val="single" w:sz="4" w:space="0" w:color="auto"/>
              <w:right w:val="single" w:sz="4" w:space="0" w:color="auto"/>
            </w:tcBorders>
            <w:vAlign w:val="center"/>
            <w:hideMark/>
          </w:tcPr>
          <w:p w14:paraId="6C294D51" w14:textId="77777777" w:rsidR="00CF7ABE" w:rsidRPr="00B74E01" w:rsidRDefault="00CF7ABE" w:rsidP="00B74E0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Obrigação contratual principal</w:t>
            </w:r>
          </w:p>
        </w:tc>
      </w:tr>
      <w:tr w:rsidR="00CF7ABE" w:rsidRPr="00B74E01" w14:paraId="6A852D39" w14:textId="77777777" w:rsidTr="0058413D">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0AE4A811" w14:textId="77777777" w:rsidR="00CF7ABE" w:rsidRPr="00B74E01" w:rsidRDefault="00CF7ABE" w:rsidP="00B74E01">
            <w:pPr>
              <w:spacing w:after="0" w:line="360" w:lineRule="auto"/>
              <w:rPr>
                <w:rFonts w:eastAsia="Times New Roman" w:cs="Arial"/>
                <w:kern w:val="0"/>
                <w:lang w:eastAsia="pt-BR"/>
                <w14:ligatures w14:val="none"/>
              </w:rPr>
            </w:pPr>
            <w:proofErr w:type="spellStart"/>
            <w:r w:rsidRPr="00B74E01">
              <w:rPr>
                <w:rFonts w:eastAsia="Times New Roman" w:cs="Arial"/>
                <w:kern w:val="0"/>
                <w:lang w:eastAsia="pt-BR"/>
                <w14:ligatures w14:val="none"/>
              </w:rPr>
              <w:t>Biochar</w:t>
            </w:r>
            <w:proofErr w:type="spellEnd"/>
            <w:r w:rsidRPr="00B74E01">
              <w:rPr>
                <w:rFonts w:eastAsia="Times New Roman" w:cs="Arial"/>
                <w:kern w:val="0"/>
                <w:lang w:eastAsia="pt-BR"/>
                <w14:ligatures w14:val="none"/>
              </w:rPr>
              <w:t>, óleo/extrato, carbono e recicláveis</w:t>
            </w:r>
          </w:p>
        </w:tc>
        <w:tc>
          <w:tcPr>
            <w:tcW w:w="0" w:type="auto"/>
            <w:tcBorders>
              <w:top w:val="single" w:sz="4" w:space="0" w:color="auto"/>
              <w:left w:val="single" w:sz="4" w:space="0" w:color="auto"/>
              <w:bottom w:val="single" w:sz="4" w:space="0" w:color="auto"/>
              <w:right w:val="single" w:sz="4" w:space="0" w:color="auto"/>
            </w:tcBorders>
            <w:vAlign w:val="center"/>
            <w:hideMark/>
          </w:tcPr>
          <w:p w14:paraId="01105478" w14:textId="77777777" w:rsidR="00CF7ABE" w:rsidRPr="00B74E01" w:rsidRDefault="00CF7ABE" w:rsidP="00B74E0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Potenciais receitas empresariais da SPE</w:t>
            </w:r>
          </w:p>
        </w:tc>
      </w:tr>
      <w:tr w:rsidR="00CF7ABE" w:rsidRPr="00B74E01" w14:paraId="6AFAA759" w14:textId="77777777" w:rsidTr="0058413D">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1224D54D" w14:textId="77777777" w:rsidR="00CF7ABE" w:rsidRPr="00B74E01" w:rsidRDefault="00CF7ABE" w:rsidP="00B74E0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Mercado comprador de subprodutos</w:t>
            </w:r>
          </w:p>
        </w:tc>
        <w:tc>
          <w:tcPr>
            <w:tcW w:w="0" w:type="auto"/>
            <w:tcBorders>
              <w:top w:val="single" w:sz="4" w:space="0" w:color="auto"/>
              <w:left w:val="single" w:sz="4" w:space="0" w:color="auto"/>
              <w:bottom w:val="single" w:sz="4" w:space="0" w:color="auto"/>
              <w:right w:val="single" w:sz="4" w:space="0" w:color="auto"/>
            </w:tcBorders>
            <w:vAlign w:val="center"/>
            <w:hideMark/>
          </w:tcPr>
          <w:p w14:paraId="2A17B800" w14:textId="77777777" w:rsidR="00CF7ABE" w:rsidRPr="00B74E01" w:rsidRDefault="00CF7ABE" w:rsidP="00B74E0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Risco empresarial da SPE</w:t>
            </w:r>
          </w:p>
        </w:tc>
      </w:tr>
      <w:tr w:rsidR="00CF7ABE" w:rsidRPr="00B74E01" w14:paraId="22819028" w14:textId="77777777" w:rsidTr="0058413D">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2CF2E8E2" w14:textId="77777777" w:rsidR="00CF7ABE" w:rsidRPr="00B74E01" w:rsidRDefault="00CF7ABE" w:rsidP="00B74E0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Pagamento das receitas principais</w:t>
            </w:r>
          </w:p>
        </w:tc>
        <w:tc>
          <w:tcPr>
            <w:tcW w:w="0" w:type="auto"/>
            <w:tcBorders>
              <w:top w:val="single" w:sz="4" w:space="0" w:color="auto"/>
              <w:left w:val="single" w:sz="4" w:space="0" w:color="auto"/>
              <w:bottom w:val="single" w:sz="4" w:space="0" w:color="auto"/>
              <w:right w:val="single" w:sz="4" w:space="0" w:color="auto"/>
            </w:tcBorders>
            <w:vAlign w:val="center"/>
            <w:hideMark/>
          </w:tcPr>
          <w:p w14:paraId="7DDD0123" w14:textId="77777777" w:rsidR="00CF7ABE" w:rsidRPr="00B74E01" w:rsidRDefault="00CF7ABE" w:rsidP="00B74E0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Obrigação do Poder Concedente</w:t>
            </w:r>
          </w:p>
        </w:tc>
      </w:tr>
      <w:tr w:rsidR="00CF7ABE" w:rsidRPr="00B74E01" w14:paraId="21F58324" w14:textId="77777777" w:rsidTr="0058413D">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5F840C7F" w14:textId="77777777" w:rsidR="00CF7ABE" w:rsidRPr="00B74E01" w:rsidRDefault="00CF7ABE" w:rsidP="00B74E0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Garantia pública</w:t>
            </w:r>
          </w:p>
        </w:tc>
        <w:tc>
          <w:tcPr>
            <w:tcW w:w="0" w:type="auto"/>
            <w:tcBorders>
              <w:top w:val="single" w:sz="4" w:space="0" w:color="auto"/>
              <w:left w:val="single" w:sz="4" w:space="0" w:color="auto"/>
              <w:bottom w:val="single" w:sz="4" w:space="0" w:color="auto"/>
              <w:right w:val="single" w:sz="4" w:space="0" w:color="auto"/>
            </w:tcBorders>
            <w:vAlign w:val="center"/>
            <w:hideMark/>
          </w:tcPr>
          <w:p w14:paraId="67E0464A" w14:textId="77777777" w:rsidR="00CF7ABE" w:rsidRPr="00B74E01" w:rsidRDefault="00CF7ABE" w:rsidP="00B74E0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Limitada às receitas principais</w:t>
            </w:r>
          </w:p>
        </w:tc>
      </w:tr>
    </w:tbl>
    <w:p w14:paraId="62B4B206"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Essa distinção protege o Município contra riscos de mercado que não controla e, ao mesmo tempo, permite que a SPE capture ganhos econômicos decorrentes de eficiência, tecnologia e capacidade comercial.</w:t>
      </w:r>
    </w:p>
    <w:p w14:paraId="3353DFC2" w14:textId="77777777" w:rsidR="00CF7ABE" w:rsidRPr="00B74E01" w:rsidRDefault="00CF7ABE" w:rsidP="00B74E01">
      <w:pPr>
        <w:pStyle w:val="Ttulo1"/>
      </w:pPr>
      <w:bookmarkStart w:id="6" w:name="_Toc230204008"/>
      <w:r w:rsidRPr="00B74E01">
        <w:lastRenderedPageBreak/>
        <w:t>3. Quadro Geral dos Números do Projeto</w:t>
      </w:r>
      <w:bookmarkEnd w:id="6"/>
    </w:p>
    <w:p w14:paraId="33BBF011"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Este tópico apresenta uma visão consolidada dos principais números da modelagem econômico-financeira da PPP. Sua finalidade é permitir leitura inicial, organizada e objetiva dos parâmetros mais relevantes do projeto, antes do detalhamento técnico dos capítulos seguintes.</w:t>
      </w:r>
    </w:p>
    <w:p w14:paraId="4BF586CE"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Os números abaixo funcionam como fotografia geral da modelagem, devendo ser lidos em conjunto com as premissas, memórias de cálculo, análise de sensibilidade, matriz de riscos e recomendações contratuais constantes neste caderno.</w:t>
      </w:r>
    </w:p>
    <w:p w14:paraId="588E5235" w14:textId="77777777" w:rsidR="00CF7ABE" w:rsidRPr="00B74E01" w:rsidRDefault="00CF7ABE" w:rsidP="00F024E4">
      <w:pPr>
        <w:pStyle w:val="Ttulo2"/>
        <w:rPr>
          <w:rFonts w:eastAsia="Times New Roman"/>
          <w:lang w:eastAsia="pt-BR"/>
        </w:rPr>
      </w:pPr>
      <w:bookmarkStart w:id="7" w:name="_Toc230204009"/>
      <w:r w:rsidRPr="00B74E01">
        <w:rPr>
          <w:rFonts w:eastAsia="Times New Roman"/>
          <w:lang w:eastAsia="pt-BR"/>
        </w:rPr>
        <w:t>3.1. Premissas gerais</w:t>
      </w:r>
      <w:bookmarkEnd w:id="7"/>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298"/>
        <w:gridCol w:w="1350"/>
      </w:tblGrid>
      <w:tr w:rsidR="00CF7ABE" w:rsidRPr="00B74E01" w14:paraId="1B83B8B4" w14:textId="77777777" w:rsidTr="0058413D">
        <w:trPr>
          <w:tblHeader/>
          <w:tblCellSpacing w:w="15" w:type="dxa"/>
        </w:trPr>
        <w:tc>
          <w:tcPr>
            <w:tcW w:w="0" w:type="auto"/>
            <w:vAlign w:val="center"/>
            <w:hideMark/>
          </w:tcPr>
          <w:p w14:paraId="66F4B084" w14:textId="77777777" w:rsidR="00CF7ABE" w:rsidRPr="00B74E01" w:rsidRDefault="00CF7ABE" w:rsidP="00F024E4">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Indicador</w:t>
            </w:r>
          </w:p>
        </w:tc>
        <w:tc>
          <w:tcPr>
            <w:tcW w:w="0" w:type="auto"/>
            <w:vAlign w:val="center"/>
            <w:hideMark/>
          </w:tcPr>
          <w:p w14:paraId="54249C0E" w14:textId="77777777" w:rsidR="00CF7ABE" w:rsidRPr="00B74E01" w:rsidRDefault="00CF7ABE" w:rsidP="00F024E4">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Valor</w:t>
            </w:r>
          </w:p>
        </w:tc>
      </w:tr>
      <w:tr w:rsidR="00CF7ABE" w:rsidRPr="00B74E01" w14:paraId="3BCB43FB" w14:textId="77777777" w:rsidTr="0058413D">
        <w:trPr>
          <w:tblCellSpacing w:w="15" w:type="dxa"/>
        </w:trPr>
        <w:tc>
          <w:tcPr>
            <w:tcW w:w="0" w:type="auto"/>
            <w:vAlign w:val="center"/>
            <w:hideMark/>
          </w:tcPr>
          <w:p w14:paraId="27518F49" w14:textId="77777777" w:rsidR="00CF7ABE" w:rsidRPr="00B74E01" w:rsidRDefault="00CF7ABE" w:rsidP="00F024E4">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Prazo da PPP</w:t>
            </w:r>
          </w:p>
        </w:tc>
        <w:tc>
          <w:tcPr>
            <w:tcW w:w="0" w:type="auto"/>
            <w:vAlign w:val="center"/>
            <w:hideMark/>
          </w:tcPr>
          <w:p w14:paraId="7EF29857" w14:textId="77777777" w:rsidR="00CF7ABE" w:rsidRPr="00B74E01" w:rsidRDefault="00CF7ABE" w:rsidP="00F024E4">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35 anos</w:t>
            </w:r>
          </w:p>
        </w:tc>
      </w:tr>
      <w:tr w:rsidR="00CF7ABE" w:rsidRPr="00B74E01" w14:paraId="1DD152AD" w14:textId="77777777" w:rsidTr="0058413D">
        <w:trPr>
          <w:tblCellSpacing w:w="15" w:type="dxa"/>
        </w:trPr>
        <w:tc>
          <w:tcPr>
            <w:tcW w:w="0" w:type="auto"/>
            <w:vAlign w:val="center"/>
            <w:hideMark/>
          </w:tcPr>
          <w:p w14:paraId="7FFBD01E" w14:textId="77777777" w:rsidR="00CF7ABE" w:rsidRPr="00B74E01" w:rsidRDefault="00CF7ABE" w:rsidP="00F024E4">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Prazo de implantação</w:t>
            </w:r>
          </w:p>
        </w:tc>
        <w:tc>
          <w:tcPr>
            <w:tcW w:w="0" w:type="auto"/>
            <w:vAlign w:val="center"/>
            <w:hideMark/>
          </w:tcPr>
          <w:p w14:paraId="7A6C0A3A" w14:textId="77777777" w:rsidR="00CF7ABE" w:rsidRPr="00B74E01" w:rsidRDefault="00CF7ABE" w:rsidP="00F024E4">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18 meses</w:t>
            </w:r>
          </w:p>
        </w:tc>
      </w:tr>
      <w:tr w:rsidR="00CF7ABE" w:rsidRPr="00B74E01" w14:paraId="32E8743D" w14:textId="77777777" w:rsidTr="0058413D">
        <w:trPr>
          <w:tblCellSpacing w:w="15" w:type="dxa"/>
        </w:trPr>
        <w:tc>
          <w:tcPr>
            <w:tcW w:w="0" w:type="auto"/>
            <w:vAlign w:val="center"/>
            <w:hideMark/>
          </w:tcPr>
          <w:p w14:paraId="025D7737" w14:textId="77777777" w:rsidR="00CF7ABE" w:rsidRPr="00B74E01" w:rsidRDefault="00CF7ABE" w:rsidP="00F024E4">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Área da usina</w:t>
            </w:r>
          </w:p>
        </w:tc>
        <w:tc>
          <w:tcPr>
            <w:tcW w:w="0" w:type="auto"/>
            <w:vAlign w:val="center"/>
            <w:hideMark/>
          </w:tcPr>
          <w:p w14:paraId="56B32D94" w14:textId="77777777" w:rsidR="00CF7ABE" w:rsidRPr="00B74E01" w:rsidRDefault="00CF7ABE" w:rsidP="00F024E4">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7 hectares</w:t>
            </w:r>
          </w:p>
        </w:tc>
      </w:tr>
      <w:tr w:rsidR="00CF7ABE" w:rsidRPr="00B74E01" w14:paraId="627C482F" w14:textId="77777777" w:rsidTr="0058413D">
        <w:trPr>
          <w:tblCellSpacing w:w="15" w:type="dxa"/>
        </w:trPr>
        <w:tc>
          <w:tcPr>
            <w:tcW w:w="0" w:type="auto"/>
            <w:vAlign w:val="center"/>
            <w:hideMark/>
          </w:tcPr>
          <w:p w14:paraId="1AC0211A" w14:textId="77777777" w:rsidR="00CF7ABE" w:rsidRPr="00B74E01" w:rsidRDefault="00CF7ABE" w:rsidP="00F024E4">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Modelo de implantação recomendado</w:t>
            </w:r>
          </w:p>
        </w:tc>
        <w:tc>
          <w:tcPr>
            <w:tcW w:w="0" w:type="auto"/>
            <w:vAlign w:val="center"/>
            <w:hideMark/>
          </w:tcPr>
          <w:p w14:paraId="57C2AD39" w14:textId="77777777" w:rsidR="00CF7ABE" w:rsidRPr="00B74E01" w:rsidRDefault="00CF7ABE" w:rsidP="00F024E4">
            <w:pPr>
              <w:spacing w:after="0" w:line="360" w:lineRule="auto"/>
              <w:jc w:val="both"/>
              <w:rPr>
                <w:rFonts w:eastAsia="Times New Roman" w:cs="Arial"/>
                <w:kern w:val="0"/>
                <w:lang w:eastAsia="pt-BR"/>
                <w14:ligatures w14:val="none"/>
              </w:rPr>
            </w:pPr>
            <w:proofErr w:type="spellStart"/>
            <w:r w:rsidRPr="00B74E01">
              <w:rPr>
                <w:rFonts w:eastAsia="Times New Roman" w:cs="Arial"/>
                <w:b/>
                <w:bCs/>
                <w:kern w:val="0"/>
                <w:lang w:eastAsia="pt-BR"/>
                <w14:ligatures w14:val="none"/>
              </w:rPr>
              <w:t>Turnkey</w:t>
            </w:r>
            <w:proofErr w:type="spellEnd"/>
          </w:p>
        </w:tc>
      </w:tr>
      <w:tr w:rsidR="00CF7ABE" w:rsidRPr="00B74E01" w14:paraId="71684C20" w14:textId="77777777" w:rsidTr="0058413D">
        <w:trPr>
          <w:tblCellSpacing w:w="15" w:type="dxa"/>
        </w:trPr>
        <w:tc>
          <w:tcPr>
            <w:tcW w:w="0" w:type="auto"/>
            <w:vAlign w:val="center"/>
            <w:hideMark/>
          </w:tcPr>
          <w:p w14:paraId="54EA232A" w14:textId="77777777" w:rsidR="00CF7ABE" w:rsidRPr="00B74E01" w:rsidRDefault="00CF7ABE" w:rsidP="00F024E4">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Operação assistida recomendada</w:t>
            </w:r>
          </w:p>
        </w:tc>
        <w:tc>
          <w:tcPr>
            <w:tcW w:w="0" w:type="auto"/>
            <w:vAlign w:val="center"/>
            <w:hideMark/>
          </w:tcPr>
          <w:p w14:paraId="3553F845" w14:textId="77777777" w:rsidR="00CF7ABE" w:rsidRPr="00B74E01" w:rsidRDefault="00CF7ABE" w:rsidP="00F024E4">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1 ano</w:t>
            </w:r>
          </w:p>
        </w:tc>
      </w:tr>
      <w:tr w:rsidR="00CF7ABE" w:rsidRPr="00B74E01" w14:paraId="0B3840B9" w14:textId="77777777" w:rsidTr="0058413D">
        <w:trPr>
          <w:tblCellSpacing w:w="15" w:type="dxa"/>
        </w:trPr>
        <w:tc>
          <w:tcPr>
            <w:tcW w:w="0" w:type="auto"/>
            <w:vAlign w:val="center"/>
            <w:hideMark/>
          </w:tcPr>
          <w:p w14:paraId="493D5864" w14:textId="77777777" w:rsidR="00CF7ABE" w:rsidRPr="00B74E01" w:rsidRDefault="00CF7ABE" w:rsidP="00F024E4">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Quantidade mínima contratada de RSU</w:t>
            </w:r>
          </w:p>
        </w:tc>
        <w:tc>
          <w:tcPr>
            <w:tcW w:w="0" w:type="auto"/>
            <w:vAlign w:val="center"/>
            <w:hideMark/>
          </w:tcPr>
          <w:p w14:paraId="5174DC67" w14:textId="77777777" w:rsidR="00CF7ABE" w:rsidRPr="00B74E01" w:rsidRDefault="00CF7ABE" w:rsidP="00F024E4">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80 t/dia</w:t>
            </w:r>
          </w:p>
        </w:tc>
      </w:tr>
      <w:tr w:rsidR="00CF7ABE" w:rsidRPr="00B74E01" w14:paraId="6DE3C4E9" w14:textId="77777777" w:rsidTr="0058413D">
        <w:trPr>
          <w:tblCellSpacing w:w="15" w:type="dxa"/>
        </w:trPr>
        <w:tc>
          <w:tcPr>
            <w:tcW w:w="0" w:type="auto"/>
            <w:vAlign w:val="center"/>
            <w:hideMark/>
          </w:tcPr>
          <w:p w14:paraId="0817C2DE" w14:textId="77777777" w:rsidR="00CF7ABE" w:rsidRPr="00B74E01" w:rsidRDefault="00CF7ABE" w:rsidP="00F024E4">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Tarifa-base de destinação</w:t>
            </w:r>
          </w:p>
        </w:tc>
        <w:tc>
          <w:tcPr>
            <w:tcW w:w="0" w:type="auto"/>
            <w:vAlign w:val="center"/>
            <w:hideMark/>
          </w:tcPr>
          <w:p w14:paraId="129B60F8" w14:textId="77777777" w:rsidR="00CF7ABE" w:rsidRPr="00B74E01" w:rsidRDefault="00CF7ABE" w:rsidP="00F024E4">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R$ 95,00/t</w:t>
            </w:r>
          </w:p>
        </w:tc>
      </w:tr>
      <w:tr w:rsidR="00CF7ABE" w:rsidRPr="00B74E01" w14:paraId="4246B353" w14:textId="77777777" w:rsidTr="0058413D">
        <w:trPr>
          <w:tblCellSpacing w:w="15" w:type="dxa"/>
        </w:trPr>
        <w:tc>
          <w:tcPr>
            <w:tcW w:w="0" w:type="auto"/>
            <w:vAlign w:val="center"/>
            <w:hideMark/>
          </w:tcPr>
          <w:p w14:paraId="56060F09" w14:textId="77777777" w:rsidR="00CF7ABE" w:rsidRPr="00B74E01" w:rsidRDefault="00CF7ABE" w:rsidP="00F024E4">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Tarifa superior regional de referência</w:t>
            </w:r>
          </w:p>
        </w:tc>
        <w:tc>
          <w:tcPr>
            <w:tcW w:w="0" w:type="auto"/>
            <w:vAlign w:val="center"/>
            <w:hideMark/>
          </w:tcPr>
          <w:p w14:paraId="417BB7CB" w14:textId="77777777" w:rsidR="00CF7ABE" w:rsidRPr="00B74E01" w:rsidRDefault="00CF7ABE" w:rsidP="00F024E4">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R$ 140,00/t</w:t>
            </w:r>
          </w:p>
        </w:tc>
      </w:tr>
    </w:tbl>
    <w:p w14:paraId="2D5A430E"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 quantidade mínima contratada de </w:t>
      </w:r>
      <w:r w:rsidRPr="00B74E01">
        <w:rPr>
          <w:rFonts w:eastAsia="Times New Roman" w:cs="Arial"/>
          <w:b/>
          <w:bCs/>
          <w:kern w:val="0"/>
          <w:lang w:eastAsia="pt-BR"/>
          <w14:ligatures w14:val="none"/>
        </w:rPr>
        <w:t>80 t/dia</w:t>
      </w:r>
      <w:r w:rsidRPr="00B74E01">
        <w:rPr>
          <w:rFonts w:eastAsia="Times New Roman" w:cs="Arial"/>
          <w:kern w:val="0"/>
          <w:lang w:eastAsia="pt-BR"/>
          <w14:ligatures w14:val="none"/>
        </w:rPr>
        <w:t xml:space="preserve"> constitui elemento essencial da modelagem. Ela estabiliza a receita principal da SPE, reduz o risco de demanda e melhora a </w:t>
      </w:r>
      <w:proofErr w:type="spellStart"/>
      <w:r w:rsidRPr="00B74E01">
        <w:rPr>
          <w:rFonts w:eastAsia="Times New Roman" w:cs="Arial"/>
          <w:kern w:val="0"/>
          <w:lang w:eastAsia="pt-BR"/>
          <w14:ligatures w14:val="none"/>
        </w:rPr>
        <w:t>bancabilidade</w:t>
      </w:r>
      <w:proofErr w:type="spellEnd"/>
      <w:r w:rsidRPr="00B74E01">
        <w:rPr>
          <w:rFonts w:eastAsia="Times New Roman" w:cs="Arial"/>
          <w:kern w:val="0"/>
          <w:lang w:eastAsia="pt-BR"/>
          <w14:ligatures w14:val="none"/>
        </w:rPr>
        <w:t xml:space="preserve"> do projeto.</w:t>
      </w:r>
    </w:p>
    <w:p w14:paraId="7ACB49FF" w14:textId="6F1B8589" w:rsidR="00CF7ABE" w:rsidRDefault="00CF7ABE" w:rsidP="00B74E01">
      <w:pPr>
        <w:spacing w:after="0" w:line="360" w:lineRule="auto"/>
        <w:ind w:firstLine="709"/>
        <w:jc w:val="both"/>
        <w:rPr>
          <w:rFonts w:eastAsia="Times New Roman" w:cs="Arial"/>
          <w:kern w:val="0"/>
          <w:lang w:eastAsia="pt-BR"/>
          <w14:ligatures w14:val="none"/>
        </w:rPr>
      </w:pPr>
    </w:p>
    <w:p w14:paraId="39649823" w14:textId="77777777" w:rsidR="00F024E4" w:rsidRDefault="00F024E4" w:rsidP="00B74E01">
      <w:pPr>
        <w:spacing w:after="0" w:line="360" w:lineRule="auto"/>
        <w:ind w:firstLine="709"/>
        <w:jc w:val="both"/>
        <w:rPr>
          <w:rFonts w:eastAsia="Times New Roman" w:cs="Arial"/>
          <w:kern w:val="0"/>
          <w:lang w:eastAsia="pt-BR"/>
          <w14:ligatures w14:val="none"/>
        </w:rPr>
      </w:pPr>
    </w:p>
    <w:p w14:paraId="59506D99" w14:textId="77777777" w:rsidR="00F024E4" w:rsidRDefault="00F024E4" w:rsidP="00B74E01">
      <w:pPr>
        <w:spacing w:after="0" w:line="360" w:lineRule="auto"/>
        <w:ind w:firstLine="709"/>
        <w:jc w:val="both"/>
        <w:rPr>
          <w:rFonts w:eastAsia="Times New Roman" w:cs="Arial"/>
          <w:kern w:val="0"/>
          <w:lang w:eastAsia="pt-BR"/>
          <w14:ligatures w14:val="none"/>
        </w:rPr>
      </w:pPr>
    </w:p>
    <w:p w14:paraId="1B44B566" w14:textId="77777777" w:rsidR="00F024E4" w:rsidRPr="00B74E01" w:rsidRDefault="00F024E4" w:rsidP="00B74E01">
      <w:pPr>
        <w:spacing w:after="0" w:line="360" w:lineRule="auto"/>
        <w:ind w:firstLine="709"/>
        <w:jc w:val="both"/>
        <w:rPr>
          <w:rFonts w:eastAsia="Times New Roman" w:cs="Arial"/>
          <w:kern w:val="0"/>
          <w:lang w:eastAsia="pt-BR"/>
          <w14:ligatures w14:val="none"/>
        </w:rPr>
      </w:pPr>
    </w:p>
    <w:p w14:paraId="63E2BAA3" w14:textId="77777777" w:rsidR="00CF7ABE" w:rsidRPr="00B74E01" w:rsidRDefault="00CF7ABE" w:rsidP="00F024E4">
      <w:pPr>
        <w:pStyle w:val="Ttulo2"/>
        <w:rPr>
          <w:rFonts w:eastAsia="Times New Roman"/>
          <w:lang w:eastAsia="pt-BR"/>
        </w:rPr>
      </w:pPr>
      <w:bookmarkStart w:id="8" w:name="_Toc230204010"/>
      <w:r w:rsidRPr="00B74E01">
        <w:rPr>
          <w:rFonts w:eastAsia="Times New Roman"/>
          <w:lang w:eastAsia="pt-BR"/>
        </w:rPr>
        <w:lastRenderedPageBreak/>
        <w:t>3.2. Energia elétrica municipal</w:t>
      </w:r>
      <w:bookmarkEnd w:id="8"/>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793"/>
        <w:gridCol w:w="1910"/>
      </w:tblGrid>
      <w:tr w:rsidR="00CF7ABE" w:rsidRPr="00B74E01" w14:paraId="0C114573" w14:textId="77777777" w:rsidTr="0058413D">
        <w:trPr>
          <w:tblHeader/>
          <w:tblCellSpacing w:w="15" w:type="dxa"/>
        </w:trPr>
        <w:tc>
          <w:tcPr>
            <w:tcW w:w="0" w:type="auto"/>
            <w:vAlign w:val="center"/>
            <w:hideMark/>
          </w:tcPr>
          <w:p w14:paraId="0C1EFAED" w14:textId="77777777" w:rsidR="00CF7ABE" w:rsidRPr="00B74E01" w:rsidRDefault="00CF7ABE" w:rsidP="00F024E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Indicador</w:t>
            </w:r>
          </w:p>
        </w:tc>
        <w:tc>
          <w:tcPr>
            <w:tcW w:w="0" w:type="auto"/>
            <w:vAlign w:val="center"/>
            <w:hideMark/>
          </w:tcPr>
          <w:p w14:paraId="1B8D054E" w14:textId="77777777" w:rsidR="00CF7ABE" w:rsidRPr="00B74E01" w:rsidRDefault="00CF7ABE" w:rsidP="00F024E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w:t>
            </w:r>
          </w:p>
        </w:tc>
      </w:tr>
      <w:tr w:rsidR="00CF7ABE" w:rsidRPr="00B74E01" w14:paraId="276350AE" w14:textId="77777777" w:rsidTr="0058413D">
        <w:trPr>
          <w:tblCellSpacing w:w="15" w:type="dxa"/>
        </w:trPr>
        <w:tc>
          <w:tcPr>
            <w:tcW w:w="0" w:type="auto"/>
            <w:vAlign w:val="center"/>
            <w:hideMark/>
          </w:tcPr>
          <w:p w14:paraId="0DA20487"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Despesa mensal atual de energia do Município</w:t>
            </w:r>
          </w:p>
        </w:tc>
        <w:tc>
          <w:tcPr>
            <w:tcW w:w="0" w:type="auto"/>
            <w:vAlign w:val="center"/>
            <w:hideMark/>
          </w:tcPr>
          <w:p w14:paraId="1B9467EB"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R$ 724.745,63</w:t>
            </w:r>
          </w:p>
        </w:tc>
      </w:tr>
      <w:tr w:rsidR="00CF7ABE" w:rsidRPr="00B74E01" w14:paraId="4078D2D9" w14:textId="77777777" w:rsidTr="0058413D">
        <w:trPr>
          <w:tblCellSpacing w:w="15" w:type="dxa"/>
        </w:trPr>
        <w:tc>
          <w:tcPr>
            <w:tcW w:w="0" w:type="auto"/>
            <w:vAlign w:val="center"/>
            <w:hideMark/>
          </w:tcPr>
          <w:p w14:paraId="281AE06E"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Consumo mensal considerado</w:t>
            </w:r>
          </w:p>
        </w:tc>
        <w:tc>
          <w:tcPr>
            <w:tcW w:w="0" w:type="auto"/>
            <w:vAlign w:val="center"/>
            <w:hideMark/>
          </w:tcPr>
          <w:p w14:paraId="2A209ECC"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1.059.797 kWh</w:t>
            </w:r>
          </w:p>
        </w:tc>
      </w:tr>
      <w:tr w:rsidR="00CF7ABE" w:rsidRPr="00B74E01" w14:paraId="136BEFDB" w14:textId="77777777" w:rsidTr="0058413D">
        <w:trPr>
          <w:tblCellSpacing w:w="15" w:type="dxa"/>
        </w:trPr>
        <w:tc>
          <w:tcPr>
            <w:tcW w:w="0" w:type="auto"/>
            <w:vAlign w:val="center"/>
            <w:hideMark/>
          </w:tcPr>
          <w:p w14:paraId="763DA765"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Custo médio atual da energia</w:t>
            </w:r>
          </w:p>
        </w:tc>
        <w:tc>
          <w:tcPr>
            <w:tcW w:w="0" w:type="auto"/>
            <w:vAlign w:val="center"/>
            <w:hideMark/>
          </w:tcPr>
          <w:p w14:paraId="364BC25B"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R$ 0,68385/kWh</w:t>
            </w:r>
          </w:p>
        </w:tc>
      </w:tr>
      <w:tr w:rsidR="00CF7ABE" w:rsidRPr="00B74E01" w14:paraId="21B94B09" w14:textId="77777777" w:rsidTr="0058413D">
        <w:trPr>
          <w:tblCellSpacing w:w="15" w:type="dxa"/>
        </w:trPr>
        <w:tc>
          <w:tcPr>
            <w:tcW w:w="0" w:type="auto"/>
            <w:vAlign w:val="center"/>
            <w:hideMark/>
          </w:tcPr>
          <w:p w14:paraId="2EDD7362"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Remuneração mensal da SPE pela disponibilização energética</w:t>
            </w:r>
          </w:p>
        </w:tc>
        <w:tc>
          <w:tcPr>
            <w:tcW w:w="0" w:type="auto"/>
            <w:vAlign w:val="center"/>
            <w:hideMark/>
          </w:tcPr>
          <w:p w14:paraId="00A053BE"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R$ 468.910,42</w:t>
            </w:r>
          </w:p>
        </w:tc>
      </w:tr>
      <w:tr w:rsidR="00CF7ABE" w:rsidRPr="00B74E01" w14:paraId="2791B24D" w14:textId="77777777" w:rsidTr="0058413D">
        <w:trPr>
          <w:tblCellSpacing w:w="15" w:type="dxa"/>
        </w:trPr>
        <w:tc>
          <w:tcPr>
            <w:tcW w:w="0" w:type="auto"/>
            <w:vAlign w:val="center"/>
            <w:hideMark/>
          </w:tcPr>
          <w:p w14:paraId="5C8055C9"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Custo médio equivalente da SPE</w:t>
            </w:r>
          </w:p>
        </w:tc>
        <w:tc>
          <w:tcPr>
            <w:tcW w:w="0" w:type="auto"/>
            <w:vAlign w:val="center"/>
            <w:hideMark/>
          </w:tcPr>
          <w:p w14:paraId="4267EA3B"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R$ 0,44246/kWh</w:t>
            </w:r>
          </w:p>
        </w:tc>
      </w:tr>
      <w:tr w:rsidR="00CF7ABE" w:rsidRPr="00B74E01" w14:paraId="4FE65955" w14:textId="77777777" w:rsidTr="0058413D">
        <w:trPr>
          <w:tblCellSpacing w:w="15" w:type="dxa"/>
        </w:trPr>
        <w:tc>
          <w:tcPr>
            <w:tcW w:w="0" w:type="auto"/>
            <w:vAlign w:val="center"/>
            <w:hideMark/>
          </w:tcPr>
          <w:p w14:paraId="1B71F7C9"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Economia mensal estimada</w:t>
            </w:r>
          </w:p>
        </w:tc>
        <w:tc>
          <w:tcPr>
            <w:tcW w:w="0" w:type="auto"/>
            <w:vAlign w:val="center"/>
            <w:hideMark/>
          </w:tcPr>
          <w:p w14:paraId="7E3B9C41"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R$ 255.835,21</w:t>
            </w:r>
          </w:p>
        </w:tc>
      </w:tr>
      <w:tr w:rsidR="00CF7ABE" w:rsidRPr="00B74E01" w14:paraId="044D11F8" w14:textId="77777777" w:rsidTr="0058413D">
        <w:trPr>
          <w:tblCellSpacing w:w="15" w:type="dxa"/>
        </w:trPr>
        <w:tc>
          <w:tcPr>
            <w:tcW w:w="0" w:type="auto"/>
            <w:vAlign w:val="center"/>
            <w:hideMark/>
          </w:tcPr>
          <w:p w14:paraId="52FDE520"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Economia anual estimada</w:t>
            </w:r>
          </w:p>
        </w:tc>
        <w:tc>
          <w:tcPr>
            <w:tcW w:w="0" w:type="auto"/>
            <w:vAlign w:val="center"/>
            <w:hideMark/>
          </w:tcPr>
          <w:p w14:paraId="714BCEE5"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R$ 3.070.022,52</w:t>
            </w:r>
          </w:p>
        </w:tc>
      </w:tr>
      <w:tr w:rsidR="00CF7ABE" w:rsidRPr="00B74E01" w14:paraId="25B9B879" w14:textId="77777777" w:rsidTr="0058413D">
        <w:trPr>
          <w:tblCellSpacing w:w="15" w:type="dxa"/>
        </w:trPr>
        <w:tc>
          <w:tcPr>
            <w:tcW w:w="0" w:type="auto"/>
            <w:vAlign w:val="center"/>
            <w:hideMark/>
          </w:tcPr>
          <w:p w14:paraId="1BB7046E"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Redução percentual estimada</w:t>
            </w:r>
          </w:p>
        </w:tc>
        <w:tc>
          <w:tcPr>
            <w:tcW w:w="0" w:type="auto"/>
            <w:vAlign w:val="center"/>
            <w:hideMark/>
          </w:tcPr>
          <w:p w14:paraId="57319F51"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35,30%</w:t>
            </w:r>
          </w:p>
        </w:tc>
      </w:tr>
    </w:tbl>
    <w:p w14:paraId="60E6CFD3"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No cenário-base de destinação a </w:t>
      </w:r>
      <w:r w:rsidRPr="00B74E01">
        <w:rPr>
          <w:rFonts w:eastAsia="Times New Roman" w:cs="Arial"/>
          <w:b/>
          <w:bCs/>
          <w:kern w:val="0"/>
          <w:lang w:eastAsia="pt-BR"/>
          <w14:ligatures w14:val="none"/>
        </w:rPr>
        <w:t>R$ 95/t</w:t>
      </w:r>
      <w:r w:rsidRPr="00B74E01">
        <w:rPr>
          <w:rFonts w:eastAsia="Times New Roman" w:cs="Arial"/>
          <w:kern w:val="0"/>
          <w:lang w:eastAsia="pt-BR"/>
          <w14:ligatures w14:val="none"/>
        </w:rPr>
        <w:t>, a economia energética cobre integralmente o custo mensal da destinação/tratamento do RSU e ainda gera saldo positivo ao Município.</w:t>
      </w:r>
    </w:p>
    <w:p w14:paraId="020E87D8" w14:textId="77777777" w:rsidR="00CF7ABE" w:rsidRPr="00B74E01" w:rsidRDefault="00CF7ABE" w:rsidP="00F024E4">
      <w:pPr>
        <w:pStyle w:val="Ttulo2"/>
        <w:rPr>
          <w:rFonts w:eastAsia="Times New Roman"/>
          <w:lang w:eastAsia="pt-BR"/>
        </w:rPr>
      </w:pPr>
      <w:bookmarkStart w:id="9" w:name="_Toc230204011"/>
      <w:r w:rsidRPr="00B74E01">
        <w:rPr>
          <w:rFonts w:eastAsia="Times New Roman"/>
          <w:lang w:eastAsia="pt-BR"/>
        </w:rPr>
        <w:t>3.3. Receitas principais da PPP</w:t>
      </w:r>
      <w:bookmarkEnd w:id="9"/>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245"/>
        <w:gridCol w:w="2463"/>
        <w:gridCol w:w="2353"/>
      </w:tblGrid>
      <w:tr w:rsidR="00CF7ABE" w:rsidRPr="00B74E01" w14:paraId="4F95F946" w14:textId="77777777" w:rsidTr="0058413D">
        <w:trPr>
          <w:tblHeader/>
          <w:tblCellSpacing w:w="15" w:type="dxa"/>
        </w:trPr>
        <w:tc>
          <w:tcPr>
            <w:tcW w:w="0" w:type="auto"/>
            <w:vAlign w:val="center"/>
            <w:hideMark/>
          </w:tcPr>
          <w:p w14:paraId="027E23D8" w14:textId="77777777" w:rsidR="00CF7ABE" w:rsidRPr="00B74E01" w:rsidRDefault="00CF7ABE" w:rsidP="00F024E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Receita principal</w:t>
            </w:r>
          </w:p>
        </w:tc>
        <w:tc>
          <w:tcPr>
            <w:tcW w:w="0" w:type="auto"/>
            <w:vAlign w:val="center"/>
            <w:hideMark/>
          </w:tcPr>
          <w:p w14:paraId="3C31B5B1" w14:textId="77777777" w:rsidR="00CF7ABE" w:rsidRPr="00B74E01" w:rsidRDefault="00CF7ABE" w:rsidP="00F024E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 mensal — R$ 95/t</w:t>
            </w:r>
          </w:p>
        </w:tc>
        <w:tc>
          <w:tcPr>
            <w:tcW w:w="0" w:type="auto"/>
            <w:vAlign w:val="center"/>
            <w:hideMark/>
          </w:tcPr>
          <w:p w14:paraId="5A1415D2" w14:textId="77777777" w:rsidR="00CF7ABE" w:rsidRPr="00B74E01" w:rsidRDefault="00CF7ABE" w:rsidP="00F024E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 anual — R$ 95/t</w:t>
            </w:r>
          </w:p>
        </w:tc>
      </w:tr>
      <w:tr w:rsidR="00CF7ABE" w:rsidRPr="00B74E01" w14:paraId="1AB70FE6" w14:textId="77777777" w:rsidTr="0058413D">
        <w:trPr>
          <w:tblCellSpacing w:w="15" w:type="dxa"/>
        </w:trPr>
        <w:tc>
          <w:tcPr>
            <w:tcW w:w="0" w:type="auto"/>
            <w:vAlign w:val="center"/>
            <w:hideMark/>
          </w:tcPr>
          <w:p w14:paraId="4788C00E"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Destinação/tratamento de RSU</w:t>
            </w:r>
          </w:p>
        </w:tc>
        <w:tc>
          <w:tcPr>
            <w:tcW w:w="0" w:type="auto"/>
            <w:vAlign w:val="center"/>
            <w:hideMark/>
          </w:tcPr>
          <w:p w14:paraId="643CB9D1"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R$ 231.166,67</w:t>
            </w:r>
          </w:p>
        </w:tc>
        <w:tc>
          <w:tcPr>
            <w:tcW w:w="0" w:type="auto"/>
            <w:vAlign w:val="center"/>
            <w:hideMark/>
          </w:tcPr>
          <w:p w14:paraId="08B173E0"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R$ 2.774.000,00</w:t>
            </w:r>
          </w:p>
        </w:tc>
      </w:tr>
      <w:tr w:rsidR="00CF7ABE" w:rsidRPr="00B74E01" w14:paraId="53B9FF78" w14:textId="77777777" w:rsidTr="0058413D">
        <w:trPr>
          <w:tblCellSpacing w:w="15" w:type="dxa"/>
        </w:trPr>
        <w:tc>
          <w:tcPr>
            <w:tcW w:w="0" w:type="auto"/>
            <w:vAlign w:val="center"/>
            <w:hideMark/>
          </w:tcPr>
          <w:p w14:paraId="7BE9B4E1"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Disponibilização de capacidade energética</w:t>
            </w:r>
          </w:p>
        </w:tc>
        <w:tc>
          <w:tcPr>
            <w:tcW w:w="0" w:type="auto"/>
            <w:vAlign w:val="center"/>
            <w:hideMark/>
          </w:tcPr>
          <w:p w14:paraId="4FCD2322"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R$ 468.910,42</w:t>
            </w:r>
          </w:p>
        </w:tc>
        <w:tc>
          <w:tcPr>
            <w:tcW w:w="0" w:type="auto"/>
            <w:vAlign w:val="center"/>
            <w:hideMark/>
          </w:tcPr>
          <w:p w14:paraId="0BC9B1E3"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R$ 5.626.925,04</w:t>
            </w:r>
          </w:p>
        </w:tc>
      </w:tr>
      <w:tr w:rsidR="00CF7ABE" w:rsidRPr="00B74E01" w14:paraId="1DF1E484" w14:textId="77777777" w:rsidTr="0058413D">
        <w:trPr>
          <w:tblCellSpacing w:w="15" w:type="dxa"/>
        </w:trPr>
        <w:tc>
          <w:tcPr>
            <w:tcW w:w="0" w:type="auto"/>
            <w:vAlign w:val="center"/>
            <w:hideMark/>
          </w:tcPr>
          <w:p w14:paraId="218A8CAA"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Receita principal bruta</w:t>
            </w:r>
          </w:p>
        </w:tc>
        <w:tc>
          <w:tcPr>
            <w:tcW w:w="0" w:type="auto"/>
            <w:vAlign w:val="center"/>
            <w:hideMark/>
          </w:tcPr>
          <w:p w14:paraId="5B432914"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R$ 700.077,09</w:t>
            </w:r>
          </w:p>
        </w:tc>
        <w:tc>
          <w:tcPr>
            <w:tcW w:w="0" w:type="auto"/>
            <w:vAlign w:val="center"/>
            <w:hideMark/>
          </w:tcPr>
          <w:p w14:paraId="3A8BBD82"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R$ 8.400.925,04</w:t>
            </w:r>
          </w:p>
        </w:tc>
      </w:tr>
    </w:tbl>
    <w:p w14:paraId="63D86FF2"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No cenário superior regional de </w:t>
      </w:r>
      <w:r w:rsidRPr="00B74E01">
        <w:rPr>
          <w:rFonts w:eastAsia="Times New Roman" w:cs="Arial"/>
          <w:b/>
          <w:bCs/>
          <w:kern w:val="0"/>
          <w:lang w:eastAsia="pt-BR"/>
          <w14:ligatures w14:val="none"/>
        </w:rPr>
        <w:t>R$ 140/t</w:t>
      </w:r>
      <w:r w:rsidRPr="00B74E01">
        <w:rPr>
          <w:rFonts w:eastAsia="Times New Roman" w:cs="Arial"/>
          <w:kern w:val="0"/>
          <w:lang w:eastAsia="pt-BR"/>
          <w14:ligatures w14:val="none"/>
        </w:rPr>
        <w:t xml:space="preserve">, a receita principal mensal passa a </w:t>
      </w:r>
      <w:r w:rsidRPr="00B74E01">
        <w:rPr>
          <w:rFonts w:eastAsia="Times New Roman" w:cs="Arial"/>
          <w:b/>
          <w:bCs/>
          <w:kern w:val="0"/>
          <w:lang w:eastAsia="pt-BR"/>
          <w14:ligatures w14:val="none"/>
        </w:rPr>
        <w:t>R$ 809.577,09</w:t>
      </w:r>
      <w:r w:rsidRPr="00B74E01">
        <w:rPr>
          <w:rFonts w:eastAsia="Times New Roman" w:cs="Arial"/>
          <w:kern w:val="0"/>
          <w:lang w:eastAsia="pt-BR"/>
          <w14:ligatures w14:val="none"/>
        </w:rPr>
        <w:t xml:space="preserve">, equivalente a </w:t>
      </w:r>
      <w:r w:rsidRPr="00B74E01">
        <w:rPr>
          <w:rFonts w:eastAsia="Times New Roman" w:cs="Arial"/>
          <w:b/>
          <w:bCs/>
          <w:kern w:val="0"/>
          <w:lang w:eastAsia="pt-BR"/>
          <w14:ligatures w14:val="none"/>
        </w:rPr>
        <w:t>R$ 9.714.925,04/ano</w:t>
      </w:r>
      <w:r w:rsidRPr="00B74E01">
        <w:rPr>
          <w:rFonts w:eastAsia="Times New Roman" w:cs="Arial"/>
          <w:kern w:val="0"/>
          <w:lang w:eastAsia="pt-BR"/>
          <w14:ligatures w14:val="none"/>
        </w:rPr>
        <w:t>.</w:t>
      </w:r>
    </w:p>
    <w:p w14:paraId="0014A812" w14:textId="77777777" w:rsidR="00F024E4" w:rsidRDefault="00F024E4" w:rsidP="00F024E4">
      <w:pPr>
        <w:pStyle w:val="Ttulo2"/>
        <w:ind w:left="0"/>
        <w:rPr>
          <w:rFonts w:eastAsia="Times New Roman"/>
          <w:lang w:eastAsia="pt-BR"/>
        </w:rPr>
      </w:pPr>
    </w:p>
    <w:p w14:paraId="61A77A03" w14:textId="77777777" w:rsidR="00F024E4" w:rsidRDefault="00F024E4" w:rsidP="00F024E4">
      <w:pPr>
        <w:rPr>
          <w:lang w:eastAsia="pt-BR"/>
        </w:rPr>
      </w:pPr>
    </w:p>
    <w:p w14:paraId="6A032ECF" w14:textId="77777777" w:rsidR="002D5E24" w:rsidRPr="00F024E4" w:rsidRDefault="002D5E24" w:rsidP="00F024E4">
      <w:pPr>
        <w:rPr>
          <w:lang w:eastAsia="pt-BR"/>
        </w:rPr>
      </w:pPr>
    </w:p>
    <w:p w14:paraId="49C0A4CA" w14:textId="0358C89C" w:rsidR="00CF7ABE" w:rsidRPr="00B74E01" w:rsidRDefault="00CF7ABE" w:rsidP="00F024E4">
      <w:pPr>
        <w:pStyle w:val="Ttulo2"/>
        <w:rPr>
          <w:rFonts w:eastAsia="Times New Roman"/>
          <w:lang w:eastAsia="pt-BR"/>
        </w:rPr>
      </w:pPr>
      <w:bookmarkStart w:id="10" w:name="_Toc230204012"/>
      <w:r w:rsidRPr="00B74E01">
        <w:rPr>
          <w:rFonts w:eastAsia="Times New Roman"/>
          <w:lang w:eastAsia="pt-BR"/>
        </w:rPr>
        <w:lastRenderedPageBreak/>
        <w:t>3.4. Relação entre economia energética e custo do RSU</w:t>
      </w:r>
      <w:bookmarkEnd w:id="10"/>
    </w:p>
    <w:p w14:paraId="7E7EB0BF" w14:textId="77777777" w:rsidR="00CF7ABE" w:rsidRPr="001A5297" w:rsidRDefault="00CF7ABE" w:rsidP="001A5297">
      <w:pPr>
        <w:ind w:firstLine="638"/>
        <w:rPr>
          <w:b/>
          <w:bCs/>
          <w:lang w:eastAsia="pt-BR"/>
        </w:rPr>
      </w:pPr>
      <w:r w:rsidRPr="001A5297">
        <w:rPr>
          <w:b/>
          <w:bCs/>
          <w:lang w:eastAsia="pt-BR"/>
        </w:rPr>
        <w:t>Cenário-base — R$ 95/t</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540"/>
        <w:gridCol w:w="1653"/>
        <w:gridCol w:w="1868"/>
      </w:tblGrid>
      <w:tr w:rsidR="00CF7ABE" w:rsidRPr="00B74E01" w14:paraId="35ED8EDD" w14:textId="77777777" w:rsidTr="0058413D">
        <w:trPr>
          <w:tblHeader/>
          <w:tblCellSpacing w:w="15" w:type="dxa"/>
        </w:trPr>
        <w:tc>
          <w:tcPr>
            <w:tcW w:w="0" w:type="auto"/>
            <w:vAlign w:val="center"/>
            <w:hideMark/>
          </w:tcPr>
          <w:p w14:paraId="5D4F931C" w14:textId="77777777" w:rsidR="00CF7ABE" w:rsidRPr="00B74E01" w:rsidRDefault="00CF7ABE" w:rsidP="00F024E4">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Item</w:t>
            </w:r>
          </w:p>
        </w:tc>
        <w:tc>
          <w:tcPr>
            <w:tcW w:w="0" w:type="auto"/>
            <w:vAlign w:val="center"/>
            <w:hideMark/>
          </w:tcPr>
          <w:p w14:paraId="50CB7F99" w14:textId="77777777" w:rsidR="00CF7ABE" w:rsidRPr="00B74E01" w:rsidRDefault="00CF7ABE" w:rsidP="00F024E4">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Valor mensal</w:t>
            </w:r>
          </w:p>
        </w:tc>
        <w:tc>
          <w:tcPr>
            <w:tcW w:w="0" w:type="auto"/>
            <w:vAlign w:val="center"/>
            <w:hideMark/>
          </w:tcPr>
          <w:p w14:paraId="29EAF609" w14:textId="77777777" w:rsidR="00CF7ABE" w:rsidRPr="00B74E01" w:rsidRDefault="00CF7ABE" w:rsidP="00F024E4">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Valor anual</w:t>
            </w:r>
          </w:p>
        </w:tc>
      </w:tr>
      <w:tr w:rsidR="00CF7ABE" w:rsidRPr="00B74E01" w14:paraId="4753AD6F" w14:textId="77777777" w:rsidTr="0058413D">
        <w:trPr>
          <w:tblCellSpacing w:w="15" w:type="dxa"/>
        </w:trPr>
        <w:tc>
          <w:tcPr>
            <w:tcW w:w="0" w:type="auto"/>
            <w:vAlign w:val="center"/>
            <w:hideMark/>
          </w:tcPr>
          <w:p w14:paraId="758E74B8" w14:textId="77777777" w:rsidR="00CF7ABE" w:rsidRPr="00B74E01" w:rsidRDefault="00CF7ABE" w:rsidP="00F024E4">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Economia estimada com energia</w:t>
            </w:r>
          </w:p>
        </w:tc>
        <w:tc>
          <w:tcPr>
            <w:tcW w:w="0" w:type="auto"/>
            <w:vAlign w:val="center"/>
            <w:hideMark/>
          </w:tcPr>
          <w:p w14:paraId="7520BF23" w14:textId="77777777" w:rsidR="00CF7ABE" w:rsidRPr="00B74E01" w:rsidRDefault="00CF7ABE" w:rsidP="00F024E4">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R$ 255.835,21</w:t>
            </w:r>
          </w:p>
        </w:tc>
        <w:tc>
          <w:tcPr>
            <w:tcW w:w="0" w:type="auto"/>
            <w:vAlign w:val="center"/>
            <w:hideMark/>
          </w:tcPr>
          <w:p w14:paraId="04518B25" w14:textId="77777777" w:rsidR="00CF7ABE" w:rsidRPr="00B74E01" w:rsidRDefault="00CF7ABE" w:rsidP="00F024E4">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R$ 3.070.022,52</w:t>
            </w:r>
          </w:p>
        </w:tc>
      </w:tr>
      <w:tr w:rsidR="00CF7ABE" w:rsidRPr="00B74E01" w14:paraId="15C5B33F" w14:textId="77777777" w:rsidTr="0058413D">
        <w:trPr>
          <w:tblCellSpacing w:w="15" w:type="dxa"/>
        </w:trPr>
        <w:tc>
          <w:tcPr>
            <w:tcW w:w="0" w:type="auto"/>
            <w:vAlign w:val="center"/>
            <w:hideMark/>
          </w:tcPr>
          <w:p w14:paraId="70314E7E" w14:textId="77777777" w:rsidR="00CF7ABE" w:rsidRPr="00B74E01" w:rsidRDefault="00CF7ABE" w:rsidP="00F024E4">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Custo da destinação/tratamento do RSU — R$ 95/t</w:t>
            </w:r>
          </w:p>
        </w:tc>
        <w:tc>
          <w:tcPr>
            <w:tcW w:w="0" w:type="auto"/>
            <w:vAlign w:val="center"/>
            <w:hideMark/>
          </w:tcPr>
          <w:p w14:paraId="2E9D2971" w14:textId="77777777" w:rsidR="00CF7ABE" w:rsidRPr="00B74E01" w:rsidRDefault="00CF7ABE" w:rsidP="00F024E4">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R$ 231.166,67</w:t>
            </w:r>
          </w:p>
        </w:tc>
        <w:tc>
          <w:tcPr>
            <w:tcW w:w="0" w:type="auto"/>
            <w:vAlign w:val="center"/>
            <w:hideMark/>
          </w:tcPr>
          <w:p w14:paraId="5E4B9CA8" w14:textId="77777777" w:rsidR="00CF7ABE" w:rsidRPr="00B74E01" w:rsidRDefault="00CF7ABE" w:rsidP="00F024E4">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R$ 2.774.000,00</w:t>
            </w:r>
          </w:p>
        </w:tc>
      </w:tr>
      <w:tr w:rsidR="00CF7ABE" w:rsidRPr="00B74E01" w14:paraId="4637449A" w14:textId="77777777" w:rsidTr="0058413D">
        <w:trPr>
          <w:tblCellSpacing w:w="15" w:type="dxa"/>
        </w:trPr>
        <w:tc>
          <w:tcPr>
            <w:tcW w:w="0" w:type="auto"/>
            <w:vAlign w:val="center"/>
            <w:hideMark/>
          </w:tcPr>
          <w:p w14:paraId="5C7A4609" w14:textId="77777777" w:rsidR="00CF7ABE" w:rsidRPr="00B74E01" w:rsidRDefault="00CF7ABE" w:rsidP="00F024E4">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Saldo positivo estimado ao Município</w:t>
            </w:r>
          </w:p>
        </w:tc>
        <w:tc>
          <w:tcPr>
            <w:tcW w:w="0" w:type="auto"/>
            <w:vAlign w:val="center"/>
            <w:hideMark/>
          </w:tcPr>
          <w:p w14:paraId="59DDB26A" w14:textId="77777777" w:rsidR="00CF7ABE" w:rsidRPr="00B74E01" w:rsidRDefault="00CF7ABE" w:rsidP="00F024E4">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R$ 24.668,54</w:t>
            </w:r>
          </w:p>
        </w:tc>
        <w:tc>
          <w:tcPr>
            <w:tcW w:w="0" w:type="auto"/>
            <w:vAlign w:val="center"/>
            <w:hideMark/>
          </w:tcPr>
          <w:p w14:paraId="291282F9" w14:textId="77777777" w:rsidR="00CF7ABE" w:rsidRPr="00B74E01" w:rsidRDefault="00CF7ABE" w:rsidP="00F024E4">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R$ 296.022,52</w:t>
            </w:r>
          </w:p>
        </w:tc>
      </w:tr>
    </w:tbl>
    <w:p w14:paraId="514F9FFC"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Recomenda-se que o saldo positivo de </w:t>
      </w:r>
      <w:r w:rsidRPr="00B74E01">
        <w:rPr>
          <w:rFonts w:eastAsia="Times New Roman" w:cs="Arial"/>
          <w:b/>
          <w:bCs/>
          <w:kern w:val="0"/>
          <w:lang w:eastAsia="pt-BR"/>
          <w14:ligatures w14:val="none"/>
        </w:rPr>
        <w:t>R$ 24.668,54/mês</w:t>
      </w:r>
      <w:r w:rsidRPr="00B74E01">
        <w:rPr>
          <w:rFonts w:eastAsia="Times New Roman" w:cs="Arial"/>
          <w:kern w:val="0"/>
          <w:lang w:eastAsia="pt-BR"/>
          <w14:ligatures w14:val="none"/>
        </w:rPr>
        <w:t xml:space="preserve"> seja destinado ao </w:t>
      </w:r>
      <w:r w:rsidRPr="00B74E01">
        <w:rPr>
          <w:rFonts w:eastAsia="Times New Roman" w:cs="Arial"/>
          <w:b/>
          <w:bCs/>
          <w:kern w:val="0"/>
          <w:lang w:eastAsia="pt-BR"/>
          <w14:ligatures w14:val="none"/>
        </w:rPr>
        <w:t>Fundo Municipal de Meio Ambiente e Tecnologia Pública</w:t>
      </w:r>
      <w:r w:rsidRPr="00B74E01">
        <w:rPr>
          <w:rFonts w:eastAsia="Times New Roman" w:cs="Arial"/>
          <w:kern w:val="0"/>
          <w:lang w:eastAsia="pt-BR"/>
          <w14:ligatures w14:val="none"/>
        </w:rPr>
        <w:t>, conforme previsão legal, orçamentária e contratual.</w:t>
      </w:r>
    </w:p>
    <w:p w14:paraId="76B970CB" w14:textId="77777777" w:rsidR="00CF7ABE" w:rsidRPr="001A5297" w:rsidRDefault="00CF7ABE" w:rsidP="001A5297">
      <w:pPr>
        <w:ind w:firstLine="708"/>
        <w:rPr>
          <w:b/>
          <w:bCs/>
          <w:lang w:eastAsia="pt-BR"/>
        </w:rPr>
      </w:pPr>
      <w:r w:rsidRPr="001A5297">
        <w:rPr>
          <w:b/>
          <w:bCs/>
          <w:lang w:eastAsia="pt-BR"/>
        </w:rPr>
        <w:t>Cenário superior regional — R$ 140/t</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240"/>
        <w:gridCol w:w="1701"/>
        <w:gridCol w:w="2120"/>
      </w:tblGrid>
      <w:tr w:rsidR="00CF7ABE" w:rsidRPr="00B74E01" w14:paraId="43327C39" w14:textId="77777777" w:rsidTr="00F024E4">
        <w:trPr>
          <w:tblHeader/>
          <w:tblCellSpacing w:w="15" w:type="dxa"/>
        </w:trPr>
        <w:tc>
          <w:tcPr>
            <w:tcW w:w="5195" w:type="dxa"/>
            <w:vAlign w:val="center"/>
            <w:hideMark/>
          </w:tcPr>
          <w:p w14:paraId="43290B51" w14:textId="77777777" w:rsidR="00CF7ABE" w:rsidRPr="00B74E01" w:rsidRDefault="00CF7ABE" w:rsidP="00F024E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Item</w:t>
            </w:r>
          </w:p>
        </w:tc>
        <w:tc>
          <w:tcPr>
            <w:tcW w:w="1671" w:type="dxa"/>
            <w:vAlign w:val="center"/>
            <w:hideMark/>
          </w:tcPr>
          <w:p w14:paraId="18A3E7BD" w14:textId="77777777" w:rsidR="00CF7ABE" w:rsidRPr="00B74E01" w:rsidRDefault="00CF7ABE" w:rsidP="00F024E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 mensal</w:t>
            </w:r>
          </w:p>
        </w:tc>
        <w:tc>
          <w:tcPr>
            <w:tcW w:w="2075" w:type="dxa"/>
            <w:vAlign w:val="center"/>
            <w:hideMark/>
          </w:tcPr>
          <w:p w14:paraId="62FDF1CF" w14:textId="77777777" w:rsidR="00CF7ABE" w:rsidRPr="00B74E01" w:rsidRDefault="00CF7ABE" w:rsidP="00F024E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 anual</w:t>
            </w:r>
          </w:p>
        </w:tc>
      </w:tr>
      <w:tr w:rsidR="00CF7ABE" w:rsidRPr="00B74E01" w14:paraId="53EC5791" w14:textId="77777777" w:rsidTr="00F024E4">
        <w:trPr>
          <w:tblCellSpacing w:w="15" w:type="dxa"/>
        </w:trPr>
        <w:tc>
          <w:tcPr>
            <w:tcW w:w="5195" w:type="dxa"/>
            <w:vAlign w:val="center"/>
            <w:hideMark/>
          </w:tcPr>
          <w:p w14:paraId="02D47160"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Economia estimada com energia</w:t>
            </w:r>
          </w:p>
        </w:tc>
        <w:tc>
          <w:tcPr>
            <w:tcW w:w="1671" w:type="dxa"/>
            <w:vAlign w:val="center"/>
            <w:hideMark/>
          </w:tcPr>
          <w:p w14:paraId="2B0E1B1C"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R$ 255.835,21</w:t>
            </w:r>
          </w:p>
        </w:tc>
        <w:tc>
          <w:tcPr>
            <w:tcW w:w="2075" w:type="dxa"/>
            <w:vAlign w:val="center"/>
            <w:hideMark/>
          </w:tcPr>
          <w:p w14:paraId="5732D398"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R$ 3.070.022,52</w:t>
            </w:r>
          </w:p>
        </w:tc>
      </w:tr>
      <w:tr w:rsidR="00CF7ABE" w:rsidRPr="00B74E01" w14:paraId="02A75155" w14:textId="77777777" w:rsidTr="00F024E4">
        <w:trPr>
          <w:tblCellSpacing w:w="15" w:type="dxa"/>
        </w:trPr>
        <w:tc>
          <w:tcPr>
            <w:tcW w:w="5195" w:type="dxa"/>
            <w:vAlign w:val="center"/>
            <w:hideMark/>
          </w:tcPr>
          <w:p w14:paraId="2CE83E5A"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Custo da destinação/tratamento do RSU — R$ 140/t</w:t>
            </w:r>
          </w:p>
        </w:tc>
        <w:tc>
          <w:tcPr>
            <w:tcW w:w="1671" w:type="dxa"/>
            <w:vAlign w:val="center"/>
            <w:hideMark/>
          </w:tcPr>
          <w:p w14:paraId="64ACD304"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R$ 340.666,67</w:t>
            </w:r>
          </w:p>
        </w:tc>
        <w:tc>
          <w:tcPr>
            <w:tcW w:w="2075" w:type="dxa"/>
            <w:vAlign w:val="center"/>
            <w:hideMark/>
          </w:tcPr>
          <w:p w14:paraId="552835DD"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R$ 4.088.000,00</w:t>
            </w:r>
          </w:p>
        </w:tc>
      </w:tr>
      <w:tr w:rsidR="00CF7ABE" w:rsidRPr="00B74E01" w14:paraId="2738064F" w14:textId="77777777" w:rsidTr="00F024E4">
        <w:trPr>
          <w:tblCellSpacing w:w="15" w:type="dxa"/>
        </w:trPr>
        <w:tc>
          <w:tcPr>
            <w:tcW w:w="5195" w:type="dxa"/>
            <w:vAlign w:val="center"/>
            <w:hideMark/>
          </w:tcPr>
          <w:p w14:paraId="67E7C886"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Saldo líquido após economia energética</w:t>
            </w:r>
          </w:p>
        </w:tc>
        <w:tc>
          <w:tcPr>
            <w:tcW w:w="1671" w:type="dxa"/>
            <w:vAlign w:val="center"/>
            <w:hideMark/>
          </w:tcPr>
          <w:p w14:paraId="4204A1B0"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-R$ 84.831,46</w:t>
            </w:r>
          </w:p>
        </w:tc>
        <w:tc>
          <w:tcPr>
            <w:tcW w:w="2075" w:type="dxa"/>
            <w:vAlign w:val="center"/>
            <w:hideMark/>
          </w:tcPr>
          <w:p w14:paraId="46BBA1B9"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-R$ 1.017.977,48</w:t>
            </w:r>
          </w:p>
        </w:tc>
      </w:tr>
    </w:tbl>
    <w:p w14:paraId="2B56BED8"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Esse cenário demonstra que, mesmo quando a economia energética não cobre integralmente a destinação a R$ 140/t, ela reduz de forma relevante o esforço líquido municipal.</w:t>
      </w:r>
    </w:p>
    <w:p w14:paraId="03F2317B" w14:textId="77777777" w:rsidR="00CF7ABE" w:rsidRPr="00B74E01" w:rsidRDefault="00CF7ABE" w:rsidP="00F024E4">
      <w:pPr>
        <w:pStyle w:val="Ttulo2"/>
        <w:rPr>
          <w:rFonts w:eastAsia="Times New Roman"/>
          <w:lang w:eastAsia="pt-BR"/>
        </w:rPr>
      </w:pPr>
      <w:bookmarkStart w:id="11" w:name="_Toc230204013"/>
      <w:r w:rsidRPr="00B74E01">
        <w:rPr>
          <w:rFonts w:eastAsia="Times New Roman"/>
          <w:lang w:eastAsia="pt-BR"/>
        </w:rPr>
        <w:t>3.5. CAPEX</w:t>
      </w:r>
      <w:bookmarkEnd w:id="11"/>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483"/>
        <w:gridCol w:w="2004"/>
      </w:tblGrid>
      <w:tr w:rsidR="00CF7ABE" w:rsidRPr="00B74E01" w14:paraId="7308C556" w14:textId="77777777" w:rsidTr="0058413D">
        <w:trPr>
          <w:tblHeade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7D60DE86" w14:textId="77777777" w:rsidR="00CF7ABE" w:rsidRPr="00B74E01" w:rsidRDefault="00CF7ABE" w:rsidP="00F024E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Componente</w:t>
            </w:r>
          </w:p>
        </w:tc>
        <w:tc>
          <w:tcPr>
            <w:tcW w:w="0" w:type="auto"/>
            <w:tcBorders>
              <w:top w:val="single" w:sz="4" w:space="0" w:color="auto"/>
              <w:left w:val="single" w:sz="4" w:space="0" w:color="auto"/>
              <w:bottom w:val="single" w:sz="4" w:space="0" w:color="auto"/>
              <w:right w:val="single" w:sz="4" w:space="0" w:color="auto"/>
            </w:tcBorders>
            <w:vAlign w:val="center"/>
            <w:hideMark/>
          </w:tcPr>
          <w:p w14:paraId="0845A648" w14:textId="77777777" w:rsidR="00CF7ABE" w:rsidRPr="00B74E01" w:rsidRDefault="00CF7ABE" w:rsidP="00F024E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w:t>
            </w:r>
          </w:p>
        </w:tc>
      </w:tr>
      <w:tr w:rsidR="00CF7ABE" w:rsidRPr="00B74E01" w14:paraId="4DF13479" w14:textId="77777777" w:rsidTr="0058413D">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32876263"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CAPEX base</w:t>
            </w:r>
          </w:p>
        </w:tc>
        <w:tc>
          <w:tcPr>
            <w:tcW w:w="0" w:type="auto"/>
            <w:tcBorders>
              <w:top w:val="single" w:sz="4" w:space="0" w:color="auto"/>
              <w:left w:val="single" w:sz="4" w:space="0" w:color="auto"/>
              <w:bottom w:val="single" w:sz="4" w:space="0" w:color="auto"/>
              <w:right w:val="single" w:sz="4" w:space="0" w:color="auto"/>
            </w:tcBorders>
            <w:vAlign w:val="center"/>
            <w:hideMark/>
          </w:tcPr>
          <w:p w14:paraId="0ED64A68"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R$ 26.252.043,00</w:t>
            </w:r>
          </w:p>
        </w:tc>
      </w:tr>
      <w:tr w:rsidR="00CF7ABE" w:rsidRPr="00B74E01" w14:paraId="1ABF2CD5" w14:textId="77777777" w:rsidTr="0058413D">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3976E4BE"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Contingência técnica — 10%</w:t>
            </w:r>
          </w:p>
        </w:tc>
        <w:tc>
          <w:tcPr>
            <w:tcW w:w="0" w:type="auto"/>
            <w:tcBorders>
              <w:top w:val="single" w:sz="4" w:space="0" w:color="auto"/>
              <w:left w:val="single" w:sz="4" w:space="0" w:color="auto"/>
              <w:bottom w:val="single" w:sz="4" w:space="0" w:color="auto"/>
              <w:right w:val="single" w:sz="4" w:space="0" w:color="auto"/>
            </w:tcBorders>
            <w:vAlign w:val="center"/>
            <w:hideMark/>
          </w:tcPr>
          <w:p w14:paraId="21321E3F"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R$ 2.625.204,30</w:t>
            </w:r>
          </w:p>
        </w:tc>
      </w:tr>
      <w:tr w:rsidR="00CF7ABE" w:rsidRPr="00B74E01" w14:paraId="6FC834B0" w14:textId="77777777" w:rsidTr="0058413D">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3327A7F8"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CAPEX com contingência</w:t>
            </w:r>
          </w:p>
        </w:tc>
        <w:tc>
          <w:tcPr>
            <w:tcW w:w="0" w:type="auto"/>
            <w:tcBorders>
              <w:top w:val="single" w:sz="4" w:space="0" w:color="auto"/>
              <w:left w:val="single" w:sz="4" w:space="0" w:color="auto"/>
              <w:bottom w:val="single" w:sz="4" w:space="0" w:color="auto"/>
              <w:right w:val="single" w:sz="4" w:space="0" w:color="auto"/>
            </w:tcBorders>
            <w:vAlign w:val="center"/>
            <w:hideMark/>
          </w:tcPr>
          <w:p w14:paraId="13639E9A"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R$ 28.877.247,30</w:t>
            </w:r>
          </w:p>
        </w:tc>
      </w:tr>
      <w:tr w:rsidR="00CF7ABE" w:rsidRPr="00B74E01" w14:paraId="2883C253" w14:textId="77777777" w:rsidTr="0058413D">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6E9A2D5C"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Capital de giro inicial</w:t>
            </w:r>
          </w:p>
        </w:tc>
        <w:tc>
          <w:tcPr>
            <w:tcW w:w="0" w:type="auto"/>
            <w:tcBorders>
              <w:top w:val="single" w:sz="4" w:space="0" w:color="auto"/>
              <w:left w:val="single" w:sz="4" w:space="0" w:color="auto"/>
              <w:bottom w:val="single" w:sz="4" w:space="0" w:color="auto"/>
              <w:right w:val="single" w:sz="4" w:space="0" w:color="auto"/>
            </w:tcBorders>
            <w:vAlign w:val="center"/>
            <w:hideMark/>
          </w:tcPr>
          <w:p w14:paraId="2BCB1224"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R$ 1.021.941,08</w:t>
            </w:r>
          </w:p>
        </w:tc>
      </w:tr>
      <w:tr w:rsidR="00CF7ABE" w:rsidRPr="00B74E01" w14:paraId="112D2E5A" w14:textId="77777777" w:rsidTr="0058413D">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61C2BC6C"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IDC — juros durante implantação</w:t>
            </w:r>
          </w:p>
        </w:tc>
        <w:tc>
          <w:tcPr>
            <w:tcW w:w="0" w:type="auto"/>
            <w:tcBorders>
              <w:top w:val="single" w:sz="4" w:space="0" w:color="auto"/>
              <w:left w:val="single" w:sz="4" w:space="0" w:color="auto"/>
              <w:bottom w:val="single" w:sz="4" w:space="0" w:color="auto"/>
              <w:right w:val="single" w:sz="4" w:space="0" w:color="auto"/>
            </w:tcBorders>
            <w:vAlign w:val="center"/>
            <w:hideMark/>
          </w:tcPr>
          <w:p w14:paraId="06C36603"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R$ 2.370.685,00</w:t>
            </w:r>
          </w:p>
        </w:tc>
      </w:tr>
      <w:tr w:rsidR="00CF7ABE" w:rsidRPr="00B74E01" w14:paraId="0AE5899B" w14:textId="77777777" w:rsidTr="0058413D">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0D57DB16"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lastRenderedPageBreak/>
              <w:t>Investimento financeiro total estimado</w:t>
            </w:r>
          </w:p>
        </w:tc>
        <w:tc>
          <w:tcPr>
            <w:tcW w:w="0" w:type="auto"/>
            <w:tcBorders>
              <w:top w:val="single" w:sz="4" w:space="0" w:color="auto"/>
              <w:left w:val="single" w:sz="4" w:space="0" w:color="auto"/>
              <w:bottom w:val="single" w:sz="4" w:space="0" w:color="auto"/>
              <w:right w:val="single" w:sz="4" w:space="0" w:color="auto"/>
            </w:tcBorders>
            <w:vAlign w:val="center"/>
            <w:hideMark/>
          </w:tcPr>
          <w:p w14:paraId="7E7C8ACB"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R$ 32.269.873,38</w:t>
            </w:r>
          </w:p>
        </w:tc>
      </w:tr>
    </w:tbl>
    <w:p w14:paraId="22DCBC87"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contingência técnica de 10% foi incorporada para reduzir risco de subdimensionamento e conferir maior prudência à modelagem.</w:t>
      </w:r>
    </w:p>
    <w:p w14:paraId="75D41779" w14:textId="77777777" w:rsidR="00CF7ABE" w:rsidRPr="00B74E01" w:rsidRDefault="00CF7ABE" w:rsidP="00F024E4">
      <w:pPr>
        <w:pStyle w:val="Ttulo2"/>
        <w:rPr>
          <w:rFonts w:eastAsia="Times New Roman"/>
          <w:lang w:eastAsia="pt-BR"/>
        </w:rPr>
      </w:pPr>
      <w:bookmarkStart w:id="12" w:name="_Toc230204014"/>
      <w:r w:rsidRPr="00B74E01">
        <w:rPr>
          <w:rFonts w:eastAsia="Times New Roman"/>
          <w:lang w:eastAsia="pt-BR"/>
        </w:rPr>
        <w:t>3.6. OPEX</w:t>
      </w:r>
      <w:bookmarkEnd w:id="12"/>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097"/>
        <w:gridCol w:w="1655"/>
        <w:gridCol w:w="1870"/>
      </w:tblGrid>
      <w:tr w:rsidR="00CF7ABE" w:rsidRPr="00B74E01" w14:paraId="502735BC" w14:textId="77777777" w:rsidTr="0058413D">
        <w:trPr>
          <w:tblHeader/>
          <w:tblCellSpacing w:w="15" w:type="dxa"/>
        </w:trPr>
        <w:tc>
          <w:tcPr>
            <w:tcW w:w="0" w:type="auto"/>
            <w:vAlign w:val="center"/>
            <w:hideMark/>
          </w:tcPr>
          <w:p w14:paraId="64957BE2" w14:textId="77777777" w:rsidR="00CF7ABE" w:rsidRPr="00B74E01" w:rsidRDefault="00CF7ABE" w:rsidP="00F024E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Componente</w:t>
            </w:r>
          </w:p>
        </w:tc>
        <w:tc>
          <w:tcPr>
            <w:tcW w:w="0" w:type="auto"/>
            <w:vAlign w:val="center"/>
            <w:hideMark/>
          </w:tcPr>
          <w:p w14:paraId="55BE81EA" w14:textId="77777777" w:rsidR="00CF7ABE" w:rsidRPr="00B74E01" w:rsidRDefault="00CF7ABE" w:rsidP="00F024E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 mensal</w:t>
            </w:r>
          </w:p>
        </w:tc>
        <w:tc>
          <w:tcPr>
            <w:tcW w:w="0" w:type="auto"/>
            <w:vAlign w:val="center"/>
            <w:hideMark/>
          </w:tcPr>
          <w:p w14:paraId="088ACEAB" w14:textId="77777777" w:rsidR="00CF7ABE" w:rsidRPr="00B74E01" w:rsidRDefault="00CF7ABE" w:rsidP="00F024E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 anual</w:t>
            </w:r>
          </w:p>
        </w:tc>
      </w:tr>
      <w:tr w:rsidR="00CF7ABE" w:rsidRPr="00B74E01" w14:paraId="5B721D89" w14:textId="77777777" w:rsidTr="0058413D">
        <w:trPr>
          <w:tblCellSpacing w:w="15" w:type="dxa"/>
        </w:trPr>
        <w:tc>
          <w:tcPr>
            <w:tcW w:w="0" w:type="auto"/>
            <w:vAlign w:val="center"/>
            <w:hideMark/>
          </w:tcPr>
          <w:p w14:paraId="0B454F4E"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Mão de obra ativa</w:t>
            </w:r>
          </w:p>
        </w:tc>
        <w:tc>
          <w:tcPr>
            <w:tcW w:w="0" w:type="auto"/>
            <w:vAlign w:val="center"/>
            <w:hideMark/>
          </w:tcPr>
          <w:p w14:paraId="7D002D49"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R$ 219.465,24</w:t>
            </w:r>
          </w:p>
        </w:tc>
        <w:tc>
          <w:tcPr>
            <w:tcW w:w="0" w:type="auto"/>
            <w:vAlign w:val="center"/>
            <w:hideMark/>
          </w:tcPr>
          <w:p w14:paraId="0AD65471"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R$ 2.633.582,88</w:t>
            </w:r>
          </w:p>
        </w:tc>
      </w:tr>
      <w:tr w:rsidR="00CF7ABE" w:rsidRPr="00B74E01" w14:paraId="57011FA2" w14:textId="77777777" w:rsidTr="0058413D">
        <w:trPr>
          <w:tblCellSpacing w:w="15" w:type="dxa"/>
        </w:trPr>
        <w:tc>
          <w:tcPr>
            <w:tcW w:w="0" w:type="auto"/>
            <w:vAlign w:val="center"/>
            <w:hideMark/>
          </w:tcPr>
          <w:p w14:paraId="43E3EA3C"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Demais custos operacionais</w:t>
            </w:r>
          </w:p>
        </w:tc>
        <w:tc>
          <w:tcPr>
            <w:tcW w:w="0" w:type="auto"/>
            <w:vAlign w:val="center"/>
            <w:hideMark/>
          </w:tcPr>
          <w:p w14:paraId="199DD4FE"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R$ 99.030,83</w:t>
            </w:r>
          </w:p>
        </w:tc>
        <w:tc>
          <w:tcPr>
            <w:tcW w:w="0" w:type="auto"/>
            <w:vAlign w:val="center"/>
            <w:hideMark/>
          </w:tcPr>
          <w:p w14:paraId="5700DBE7"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R$ 1.188.370,00</w:t>
            </w:r>
          </w:p>
        </w:tc>
      </w:tr>
      <w:tr w:rsidR="00CF7ABE" w:rsidRPr="00B74E01" w14:paraId="13BA2F97" w14:textId="77777777" w:rsidTr="0058413D">
        <w:trPr>
          <w:tblCellSpacing w:w="15" w:type="dxa"/>
        </w:trPr>
        <w:tc>
          <w:tcPr>
            <w:tcW w:w="0" w:type="auto"/>
            <w:vAlign w:val="center"/>
            <w:hideMark/>
          </w:tcPr>
          <w:p w14:paraId="61276736"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OPEX total revisado</w:t>
            </w:r>
          </w:p>
        </w:tc>
        <w:tc>
          <w:tcPr>
            <w:tcW w:w="0" w:type="auto"/>
            <w:vAlign w:val="center"/>
            <w:hideMark/>
          </w:tcPr>
          <w:p w14:paraId="3FAF68E5"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R$ 318.496,07</w:t>
            </w:r>
          </w:p>
        </w:tc>
        <w:tc>
          <w:tcPr>
            <w:tcW w:w="0" w:type="auto"/>
            <w:vAlign w:val="center"/>
            <w:hideMark/>
          </w:tcPr>
          <w:p w14:paraId="4757F0B5"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R$ 3.821.952,88</w:t>
            </w:r>
          </w:p>
        </w:tc>
      </w:tr>
    </w:tbl>
    <w:p w14:paraId="68C0738B"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O OPEX revisado considera apenas cargos efetivamente ativados na modelagem, excluindo cargos referenciais com número de funcionários igual a zero.</w:t>
      </w:r>
    </w:p>
    <w:p w14:paraId="196FDBCB" w14:textId="77777777" w:rsidR="00CF7ABE" w:rsidRPr="00B74E01" w:rsidRDefault="00CF7ABE" w:rsidP="00F024E4">
      <w:pPr>
        <w:pStyle w:val="Ttulo2"/>
        <w:rPr>
          <w:rFonts w:eastAsia="Times New Roman"/>
          <w:lang w:eastAsia="pt-BR"/>
        </w:rPr>
      </w:pPr>
      <w:bookmarkStart w:id="13" w:name="_Toc230204015"/>
      <w:r w:rsidRPr="00B74E01">
        <w:rPr>
          <w:rFonts w:eastAsia="Times New Roman"/>
          <w:lang w:eastAsia="pt-BR"/>
        </w:rPr>
        <w:t>3.7. Receitas acessórias potenciais</w:t>
      </w:r>
      <w:bookmarkEnd w:id="13"/>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150"/>
        <w:gridCol w:w="2254"/>
        <w:gridCol w:w="2069"/>
      </w:tblGrid>
      <w:tr w:rsidR="00CF7ABE" w:rsidRPr="00B74E01" w14:paraId="03F74878" w14:textId="77777777" w:rsidTr="0058413D">
        <w:trPr>
          <w:tblHeader/>
          <w:tblCellSpacing w:w="15" w:type="dxa"/>
        </w:trPr>
        <w:tc>
          <w:tcPr>
            <w:tcW w:w="0" w:type="auto"/>
            <w:vAlign w:val="center"/>
            <w:hideMark/>
          </w:tcPr>
          <w:p w14:paraId="734FB94F" w14:textId="77777777" w:rsidR="00CF7ABE" w:rsidRPr="00B74E01" w:rsidRDefault="00CF7ABE" w:rsidP="00F024E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Receita acessória</w:t>
            </w:r>
          </w:p>
        </w:tc>
        <w:tc>
          <w:tcPr>
            <w:tcW w:w="0" w:type="auto"/>
            <w:vAlign w:val="center"/>
            <w:hideMark/>
          </w:tcPr>
          <w:p w14:paraId="5484FF3D" w14:textId="77777777" w:rsidR="00CF7ABE" w:rsidRPr="00B74E01" w:rsidRDefault="00CF7ABE" w:rsidP="00F024E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 mensal bruto</w:t>
            </w:r>
          </w:p>
        </w:tc>
        <w:tc>
          <w:tcPr>
            <w:tcW w:w="0" w:type="auto"/>
            <w:vAlign w:val="center"/>
            <w:hideMark/>
          </w:tcPr>
          <w:p w14:paraId="0D40A499" w14:textId="77777777" w:rsidR="00CF7ABE" w:rsidRPr="00B74E01" w:rsidRDefault="00CF7ABE" w:rsidP="00F024E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 anual bruto</w:t>
            </w:r>
          </w:p>
        </w:tc>
      </w:tr>
      <w:tr w:rsidR="00CF7ABE" w:rsidRPr="00B74E01" w14:paraId="19998D84" w14:textId="77777777" w:rsidTr="0058413D">
        <w:trPr>
          <w:tblCellSpacing w:w="15" w:type="dxa"/>
        </w:trPr>
        <w:tc>
          <w:tcPr>
            <w:tcW w:w="0" w:type="auto"/>
            <w:vAlign w:val="center"/>
            <w:hideMark/>
          </w:tcPr>
          <w:p w14:paraId="40A3D0A0" w14:textId="77777777" w:rsidR="00CF7ABE" w:rsidRPr="00B74E01" w:rsidRDefault="00CF7ABE" w:rsidP="00F024E4">
            <w:pPr>
              <w:spacing w:after="0" w:line="360" w:lineRule="auto"/>
              <w:rPr>
                <w:rFonts w:eastAsia="Times New Roman" w:cs="Arial"/>
                <w:kern w:val="0"/>
                <w:lang w:eastAsia="pt-BR"/>
                <w14:ligatures w14:val="none"/>
              </w:rPr>
            </w:pPr>
            <w:proofErr w:type="spellStart"/>
            <w:r w:rsidRPr="00B74E01">
              <w:rPr>
                <w:rFonts w:eastAsia="Times New Roman" w:cs="Arial"/>
                <w:kern w:val="0"/>
                <w:lang w:eastAsia="pt-BR"/>
                <w14:ligatures w14:val="none"/>
              </w:rPr>
              <w:t>Biochar</w:t>
            </w:r>
            <w:proofErr w:type="spellEnd"/>
            <w:r w:rsidRPr="00B74E01">
              <w:rPr>
                <w:rFonts w:eastAsia="Times New Roman" w:cs="Arial"/>
                <w:kern w:val="0"/>
                <w:lang w:eastAsia="pt-BR"/>
                <w14:ligatures w14:val="none"/>
              </w:rPr>
              <w:t>/material carbonáceo</w:t>
            </w:r>
          </w:p>
        </w:tc>
        <w:tc>
          <w:tcPr>
            <w:tcW w:w="0" w:type="auto"/>
            <w:vAlign w:val="center"/>
            <w:hideMark/>
          </w:tcPr>
          <w:p w14:paraId="67876A55"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R$ 315.604,17</w:t>
            </w:r>
          </w:p>
        </w:tc>
        <w:tc>
          <w:tcPr>
            <w:tcW w:w="0" w:type="auto"/>
            <w:vAlign w:val="center"/>
            <w:hideMark/>
          </w:tcPr>
          <w:p w14:paraId="51072169"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R$ 3.787.250,00</w:t>
            </w:r>
          </w:p>
        </w:tc>
      </w:tr>
      <w:tr w:rsidR="00CF7ABE" w:rsidRPr="00B74E01" w14:paraId="6A7B4891" w14:textId="77777777" w:rsidTr="0058413D">
        <w:trPr>
          <w:tblCellSpacing w:w="15" w:type="dxa"/>
        </w:trPr>
        <w:tc>
          <w:tcPr>
            <w:tcW w:w="0" w:type="auto"/>
            <w:vAlign w:val="center"/>
            <w:hideMark/>
          </w:tcPr>
          <w:p w14:paraId="32D6C8A9"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 xml:space="preserve">Óleo </w:t>
            </w:r>
            <w:proofErr w:type="spellStart"/>
            <w:r w:rsidRPr="00B74E01">
              <w:rPr>
                <w:rFonts w:eastAsia="Times New Roman" w:cs="Arial"/>
                <w:kern w:val="0"/>
                <w:lang w:eastAsia="pt-BR"/>
                <w14:ligatures w14:val="none"/>
              </w:rPr>
              <w:t>pirolítico</w:t>
            </w:r>
            <w:proofErr w:type="spellEnd"/>
            <w:r w:rsidRPr="00B74E01">
              <w:rPr>
                <w:rFonts w:eastAsia="Times New Roman" w:cs="Arial"/>
                <w:kern w:val="0"/>
                <w:lang w:eastAsia="pt-BR"/>
                <w14:ligatures w14:val="none"/>
              </w:rPr>
              <w:t>/extrato líquido</w:t>
            </w:r>
          </w:p>
        </w:tc>
        <w:tc>
          <w:tcPr>
            <w:tcW w:w="0" w:type="auto"/>
            <w:vAlign w:val="center"/>
            <w:hideMark/>
          </w:tcPr>
          <w:p w14:paraId="74DCCEB6"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R$ 340.818,75</w:t>
            </w:r>
          </w:p>
        </w:tc>
        <w:tc>
          <w:tcPr>
            <w:tcW w:w="0" w:type="auto"/>
            <w:vAlign w:val="center"/>
            <w:hideMark/>
          </w:tcPr>
          <w:p w14:paraId="55F31BB8"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R$ 4.089.825,00</w:t>
            </w:r>
          </w:p>
        </w:tc>
      </w:tr>
      <w:tr w:rsidR="00CF7ABE" w:rsidRPr="00B74E01" w14:paraId="4D642509" w14:textId="77777777" w:rsidTr="0058413D">
        <w:trPr>
          <w:tblCellSpacing w:w="15" w:type="dxa"/>
        </w:trPr>
        <w:tc>
          <w:tcPr>
            <w:tcW w:w="0" w:type="auto"/>
            <w:vAlign w:val="center"/>
            <w:hideMark/>
          </w:tcPr>
          <w:p w14:paraId="169BE401"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Créditos de carbono</w:t>
            </w:r>
          </w:p>
        </w:tc>
        <w:tc>
          <w:tcPr>
            <w:tcW w:w="0" w:type="auto"/>
            <w:vAlign w:val="center"/>
            <w:hideMark/>
          </w:tcPr>
          <w:p w14:paraId="7586C178"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R$ 262.800,00</w:t>
            </w:r>
          </w:p>
        </w:tc>
        <w:tc>
          <w:tcPr>
            <w:tcW w:w="0" w:type="auto"/>
            <w:vAlign w:val="center"/>
            <w:hideMark/>
          </w:tcPr>
          <w:p w14:paraId="4DB900E5"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R$ 3.153.600,00</w:t>
            </w:r>
          </w:p>
        </w:tc>
      </w:tr>
      <w:tr w:rsidR="00CF7ABE" w:rsidRPr="00B74E01" w14:paraId="2F285AB6" w14:textId="77777777" w:rsidTr="0058413D">
        <w:trPr>
          <w:tblCellSpacing w:w="15" w:type="dxa"/>
        </w:trPr>
        <w:tc>
          <w:tcPr>
            <w:tcW w:w="0" w:type="auto"/>
            <w:vAlign w:val="center"/>
            <w:hideMark/>
          </w:tcPr>
          <w:p w14:paraId="15EDADED"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Total bruto potencial</w:t>
            </w:r>
          </w:p>
        </w:tc>
        <w:tc>
          <w:tcPr>
            <w:tcW w:w="0" w:type="auto"/>
            <w:vAlign w:val="center"/>
            <w:hideMark/>
          </w:tcPr>
          <w:p w14:paraId="5A3626E7"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R$ 919.222,92</w:t>
            </w:r>
          </w:p>
        </w:tc>
        <w:tc>
          <w:tcPr>
            <w:tcW w:w="0" w:type="auto"/>
            <w:vAlign w:val="center"/>
            <w:hideMark/>
          </w:tcPr>
          <w:p w14:paraId="6A7F4288"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R$ 11.030.675,00</w:t>
            </w:r>
          </w:p>
        </w:tc>
      </w:tr>
    </w:tbl>
    <w:p w14:paraId="6D5D6700" w14:textId="49EB734A" w:rsidR="00F024E4" w:rsidRPr="00B74E01" w:rsidRDefault="00CF7ABE" w:rsidP="00F024E4">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Após PIS/COFINS estimado de </w:t>
      </w:r>
      <w:r w:rsidRPr="00B74E01">
        <w:rPr>
          <w:rFonts w:eastAsia="Times New Roman" w:cs="Arial"/>
          <w:b/>
          <w:bCs/>
          <w:kern w:val="0"/>
          <w:lang w:eastAsia="pt-BR"/>
          <w14:ligatures w14:val="none"/>
        </w:rPr>
        <w:t>9,25%</w:t>
      </w:r>
      <w:r w:rsidRPr="00B74E01">
        <w:rPr>
          <w:rFonts w:eastAsia="Times New Roman" w:cs="Arial"/>
          <w:kern w:val="0"/>
          <w:lang w:eastAsia="pt-BR"/>
          <w14:ligatures w14:val="none"/>
        </w:rPr>
        <w:t xml:space="preserve"> e destinação de </w:t>
      </w:r>
      <w:r w:rsidRPr="00B74E01">
        <w:rPr>
          <w:rFonts w:eastAsia="Times New Roman" w:cs="Arial"/>
          <w:b/>
          <w:bCs/>
          <w:kern w:val="0"/>
          <w:lang w:eastAsia="pt-BR"/>
          <w14:ligatures w14:val="none"/>
        </w:rPr>
        <w:t>5% da receita acessória líquida</w:t>
      </w:r>
      <w:r w:rsidRPr="00B74E01">
        <w:rPr>
          <w:rFonts w:eastAsia="Times New Roman" w:cs="Arial"/>
          <w:kern w:val="0"/>
          <w:lang w:eastAsia="pt-BR"/>
          <w14:ligatures w14:val="none"/>
        </w:rPr>
        <w:t xml:space="preserve"> ao Fundo Municipal, o acréscimo líquido ao caixa da SPE é estimado em:</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831"/>
        <w:gridCol w:w="1655"/>
        <w:gridCol w:w="1870"/>
      </w:tblGrid>
      <w:tr w:rsidR="00CF7ABE" w:rsidRPr="00B74E01" w14:paraId="243C31A0" w14:textId="77777777" w:rsidTr="0058413D">
        <w:trPr>
          <w:tblHeader/>
          <w:tblCellSpacing w:w="15" w:type="dxa"/>
        </w:trPr>
        <w:tc>
          <w:tcPr>
            <w:tcW w:w="0" w:type="auto"/>
            <w:vAlign w:val="center"/>
            <w:hideMark/>
          </w:tcPr>
          <w:p w14:paraId="623DAFAB" w14:textId="77777777" w:rsidR="00CF7ABE" w:rsidRPr="00B74E01" w:rsidRDefault="00CF7ABE" w:rsidP="00F024E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Item</w:t>
            </w:r>
          </w:p>
        </w:tc>
        <w:tc>
          <w:tcPr>
            <w:tcW w:w="0" w:type="auto"/>
            <w:vAlign w:val="center"/>
            <w:hideMark/>
          </w:tcPr>
          <w:p w14:paraId="73892336" w14:textId="77777777" w:rsidR="00CF7ABE" w:rsidRPr="00B74E01" w:rsidRDefault="00CF7ABE" w:rsidP="00F024E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 mensal</w:t>
            </w:r>
          </w:p>
        </w:tc>
        <w:tc>
          <w:tcPr>
            <w:tcW w:w="0" w:type="auto"/>
            <w:vAlign w:val="center"/>
            <w:hideMark/>
          </w:tcPr>
          <w:p w14:paraId="6F18C4A0" w14:textId="77777777" w:rsidR="00CF7ABE" w:rsidRPr="00B74E01" w:rsidRDefault="00CF7ABE" w:rsidP="00F024E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 anual</w:t>
            </w:r>
          </w:p>
        </w:tc>
      </w:tr>
      <w:tr w:rsidR="00CF7ABE" w:rsidRPr="00B74E01" w14:paraId="678B41B6" w14:textId="77777777" w:rsidTr="0058413D">
        <w:trPr>
          <w:tblCellSpacing w:w="15" w:type="dxa"/>
        </w:trPr>
        <w:tc>
          <w:tcPr>
            <w:tcW w:w="0" w:type="auto"/>
            <w:vAlign w:val="center"/>
            <w:hideMark/>
          </w:tcPr>
          <w:p w14:paraId="34489893"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Acréscimo líquido ao caixa da SPE</w:t>
            </w:r>
          </w:p>
        </w:tc>
        <w:tc>
          <w:tcPr>
            <w:tcW w:w="0" w:type="auto"/>
            <w:vAlign w:val="center"/>
            <w:hideMark/>
          </w:tcPr>
          <w:p w14:paraId="601203E3"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R$ 792.485,06</w:t>
            </w:r>
          </w:p>
        </w:tc>
        <w:tc>
          <w:tcPr>
            <w:tcW w:w="0" w:type="auto"/>
            <w:vAlign w:val="center"/>
            <w:hideMark/>
          </w:tcPr>
          <w:p w14:paraId="2E2BF60E"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R$ 9.509.820,68</w:t>
            </w:r>
          </w:p>
        </w:tc>
      </w:tr>
    </w:tbl>
    <w:p w14:paraId="6464E005"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As receitas acessórias não são garantidas pelo Município e devem permanecer como risco empresarial da SPE.</w:t>
      </w:r>
    </w:p>
    <w:p w14:paraId="64F25F11" w14:textId="77777777" w:rsidR="00CF7ABE" w:rsidRPr="00B74E01" w:rsidRDefault="00CF7ABE" w:rsidP="00F024E4">
      <w:pPr>
        <w:pStyle w:val="Ttulo2"/>
        <w:rPr>
          <w:rFonts w:eastAsia="Times New Roman"/>
          <w:lang w:eastAsia="pt-BR"/>
        </w:rPr>
      </w:pPr>
      <w:bookmarkStart w:id="14" w:name="_Toc230204016"/>
      <w:r w:rsidRPr="00B74E01">
        <w:rPr>
          <w:rFonts w:eastAsia="Times New Roman"/>
          <w:lang w:eastAsia="pt-BR"/>
        </w:rPr>
        <w:lastRenderedPageBreak/>
        <w:t>3.8. Financiamento referencial</w:t>
      </w:r>
      <w:bookmarkEnd w:id="14"/>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338"/>
        <w:gridCol w:w="3710"/>
      </w:tblGrid>
      <w:tr w:rsidR="00CF7ABE" w:rsidRPr="00B74E01" w14:paraId="47DB2009" w14:textId="77777777" w:rsidTr="0058413D">
        <w:trPr>
          <w:tblHeade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4135F348" w14:textId="77777777" w:rsidR="00CF7ABE" w:rsidRPr="00B74E01" w:rsidRDefault="00CF7ABE" w:rsidP="00F024E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Premissa financeira</w:t>
            </w:r>
          </w:p>
        </w:tc>
        <w:tc>
          <w:tcPr>
            <w:tcW w:w="0" w:type="auto"/>
            <w:tcBorders>
              <w:top w:val="single" w:sz="4" w:space="0" w:color="auto"/>
              <w:left w:val="single" w:sz="4" w:space="0" w:color="auto"/>
              <w:bottom w:val="single" w:sz="4" w:space="0" w:color="auto"/>
              <w:right w:val="single" w:sz="4" w:space="0" w:color="auto"/>
            </w:tcBorders>
            <w:vAlign w:val="center"/>
            <w:hideMark/>
          </w:tcPr>
          <w:p w14:paraId="4DC2DE68" w14:textId="77777777" w:rsidR="00CF7ABE" w:rsidRPr="00B74E01" w:rsidRDefault="00CF7ABE" w:rsidP="00F024E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w:t>
            </w:r>
          </w:p>
        </w:tc>
      </w:tr>
      <w:tr w:rsidR="00CF7ABE" w:rsidRPr="00B74E01" w14:paraId="76D56BE3" w14:textId="77777777" w:rsidTr="0058413D">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3C68D475"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Linha referencial</w:t>
            </w:r>
          </w:p>
        </w:tc>
        <w:tc>
          <w:tcPr>
            <w:tcW w:w="0" w:type="auto"/>
            <w:tcBorders>
              <w:top w:val="single" w:sz="4" w:space="0" w:color="auto"/>
              <w:left w:val="single" w:sz="4" w:space="0" w:color="auto"/>
              <w:bottom w:val="single" w:sz="4" w:space="0" w:color="auto"/>
              <w:right w:val="single" w:sz="4" w:space="0" w:color="auto"/>
            </w:tcBorders>
            <w:vAlign w:val="center"/>
            <w:hideMark/>
          </w:tcPr>
          <w:p w14:paraId="1CAB6885"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FNE Verde / Banco do Nordeste</w:t>
            </w:r>
          </w:p>
        </w:tc>
      </w:tr>
      <w:tr w:rsidR="00CF7ABE" w:rsidRPr="00B74E01" w14:paraId="75AE6A0E" w14:textId="77777777" w:rsidTr="0058413D">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7498DECB"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Valor financiado na modelagem</w:t>
            </w:r>
          </w:p>
        </w:tc>
        <w:tc>
          <w:tcPr>
            <w:tcW w:w="0" w:type="auto"/>
            <w:tcBorders>
              <w:top w:val="single" w:sz="4" w:space="0" w:color="auto"/>
              <w:left w:val="single" w:sz="4" w:space="0" w:color="auto"/>
              <w:bottom w:val="single" w:sz="4" w:space="0" w:color="auto"/>
              <w:right w:val="single" w:sz="4" w:space="0" w:color="auto"/>
            </w:tcBorders>
            <w:vAlign w:val="center"/>
            <w:hideMark/>
          </w:tcPr>
          <w:p w14:paraId="27A8115A"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R$ 32.269.873,38</w:t>
            </w:r>
          </w:p>
        </w:tc>
      </w:tr>
      <w:tr w:rsidR="00CF7ABE" w:rsidRPr="00B74E01" w14:paraId="6DEF1013" w14:textId="77777777" w:rsidTr="0058413D">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3F279C6A"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Percentual financiado</w:t>
            </w:r>
          </w:p>
        </w:tc>
        <w:tc>
          <w:tcPr>
            <w:tcW w:w="0" w:type="auto"/>
            <w:tcBorders>
              <w:top w:val="single" w:sz="4" w:space="0" w:color="auto"/>
              <w:left w:val="single" w:sz="4" w:space="0" w:color="auto"/>
              <w:bottom w:val="single" w:sz="4" w:space="0" w:color="auto"/>
              <w:right w:val="single" w:sz="4" w:space="0" w:color="auto"/>
            </w:tcBorders>
            <w:vAlign w:val="center"/>
            <w:hideMark/>
          </w:tcPr>
          <w:p w14:paraId="6DA855C3"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100%</w:t>
            </w:r>
          </w:p>
        </w:tc>
      </w:tr>
      <w:tr w:rsidR="00CF7ABE" w:rsidRPr="00B74E01" w14:paraId="692C5E7F" w14:textId="77777777" w:rsidTr="0058413D">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07489B06"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Taxa prudencial</w:t>
            </w:r>
          </w:p>
        </w:tc>
        <w:tc>
          <w:tcPr>
            <w:tcW w:w="0" w:type="auto"/>
            <w:tcBorders>
              <w:top w:val="single" w:sz="4" w:space="0" w:color="auto"/>
              <w:left w:val="single" w:sz="4" w:space="0" w:color="auto"/>
              <w:bottom w:val="single" w:sz="4" w:space="0" w:color="auto"/>
              <w:right w:val="single" w:sz="4" w:space="0" w:color="auto"/>
            </w:tcBorders>
            <w:vAlign w:val="center"/>
            <w:hideMark/>
          </w:tcPr>
          <w:p w14:paraId="076FDADF"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10% a.a.</w:t>
            </w:r>
          </w:p>
        </w:tc>
      </w:tr>
      <w:tr w:rsidR="00CF7ABE" w:rsidRPr="00B74E01" w14:paraId="1EB20BF6" w14:textId="77777777" w:rsidTr="0058413D">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663224E5"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Taxa mensal equivalente</w:t>
            </w:r>
          </w:p>
        </w:tc>
        <w:tc>
          <w:tcPr>
            <w:tcW w:w="0" w:type="auto"/>
            <w:tcBorders>
              <w:top w:val="single" w:sz="4" w:space="0" w:color="auto"/>
              <w:left w:val="single" w:sz="4" w:space="0" w:color="auto"/>
              <w:bottom w:val="single" w:sz="4" w:space="0" w:color="auto"/>
              <w:right w:val="single" w:sz="4" w:space="0" w:color="auto"/>
            </w:tcBorders>
            <w:vAlign w:val="center"/>
            <w:hideMark/>
          </w:tcPr>
          <w:p w14:paraId="2CBE6193"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0,7974% a.m.</w:t>
            </w:r>
          </w:p>
        </w:tc>
      </w:tr>
      <w:tr w:rsidR="00CF7ABE" w:rsidRPr="00B74E01" w14:paraId="47A5D156" w14:textId="77777777" w:rsidTr="0058413D">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2F81A1C1"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Prazo total</w:t>
            </w:r>
          </w:p>
        </w:tc>
        <w:tc>
          <w:tcPr>
            <w:tcW w:w="0" w:type="auto"/>
            <w:tcBorders>
              <w:top w:val="single" w:sz="4" w:space="0" w:color="auto"/>
              <w:left w:val="single" w:sz="4" w:space="0" w:color="auto"/>
              <w:bottom w:val="single" w:sz="4" w:space="0" w:color="auto"/>
              <w:right w:val="single" w:sz="4" w:space="0" w:color="auto"/>
            </w:tcBorders>
            <w:vAlign w:val="center"/>
            <w:hideMark/>
          </w:tcPr>
          <w:p w14:paraId="1B27243C"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34 anos</w:t>
            </w:r>
          </w:p>
        </w:tc>
      </w:tr>
      <w:tr w:rsidR="00CF7ABE" w:rsidRPr="00B74E01" w14:paraId="3239369D" w14:textId="77777777" w:rsidTr="0058413D">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3F5CAB48"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Carência</w:t>
            </w:r>
          </w:p>
        </w:tc>
        <w:tc>
          <w:tcPr>
            <w:tcW w:w="0" w:type="auto"/>
            <w:tcBorders>
              <w:top w:val="single" w:sz="4" w:space="0" w:color="auto"/>
              <w:left w:val="single" w:sz="4" w:space="0" w:color="auto"/>
              <w:bottom w:val="single" w:sz="4" w:space="0" w:color="auto"/>
              <w:right w:val="single" w:sz="4" w:space="0" w:color="auto"/>
            </w:tcBorders>
            <w:vAlign w:val="center"/>
            <w:hideMark/>
          </w:tcPr>
          <w:p w14:paraId="6123B73B"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8 anos</w:t>
            </w:r>
          </w:p>
        </w:tc>
      </w:tr>
      <w:tr w:rsidR="00CF7ABE" w:rsidRPr="00B74E01" w14:paraId="08B704F4" w14:textId="77777777" w:rsidTr="0058413D">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57F0F941"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Amortização</w:t>
            </w:r>
          </w:p>
        </w:tc>
        <w:tc>
          <w:tcPr>
            <w:tcW w:w="0" w:type="auto"/>
            <w:tcBorders>
              <w:top w:val="single" w:sz="4" w:space="0" w:color="auto"/>
              <w:left w:val="single" w:sz="4" w:space="0" w:color="auto"/>
              <w:bottom w:val="single" w:sz="4" w:space="0" w:color="auto"/>
              <w:right w:val="single" w:sz="4" w:space="0" w:color="auto"/>
            </w:tcBorders>
            <w:vAlign w:val="center"/>
            <w:hideMark/>
          </w:tcPr>
          <w:p w14:paraId="529712BF"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26 anos / 312 meses</w:t>
            </w:r>
          </w:p>
        </w:tc>
      </w:tr>
      <w:tr w:rsidR="00CF7ABE" w:rsidRPr="00B74E01" w14:paraId="28EED066" w14:textId="77777777" w:rsidTr="0058413D">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7045B6C4"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Sistema de amortização</w:t>
            </w:r>
          </w:p>
        </w:tc>
        <w:tc>
          <w:tcPr>
            <w:tcW w:w="0" w:type="auto"/>
            <w:tcBorders>
              <w:top w:val="single" w:sz="4" w:space="0" w:color="auto"/>
              <w:left w:val="single" w:sz="4" w:space="0" w:color="auto"/>
              <w:bottom w:val="single" w:sz="4" w:space="0" w:color="auto"/>
              <w:right w:val="single" w:sz="4" w:space="0" w:color="auto"/>
            </w:tcBorders>
            <w:vAlign w:val="center"/>
            <w:hideMark/>
          </w:tcPr>
          <w:p w14:paraId="3D816AE6" w14:textId="77777777" w:rsidR="00CF7ABE" w:rsidRPr="00B74E01" w:rsidRDefault="00CF7ABE" w:rsidP="00F024E4">
            <w:pPr>
              <w:spacing w:after="0" w:line="360" w:lineRule="auto"/>
              <w:rPr>
                <w:rFonts w:eastAsia="Times New Roman" w:cs="Arial"/>
                <w:kern w:val="0"/>
                <w:lang w:eastAsia="pt-BR"/>
                <w14:ligatures w14:val="none"/>
              </w:rPr>
            </w:pPr>
            <w:proofErr w:type="spellStart"/>
            <w:r w:rsidRPr="00B74E01">
              <w:rPr>
                <w:rFonts w:eastAsia="Times New Roman" w:cs="Arial"/>
                <w:b/>
                <w:bCs/>
                <w:kern w:val="0"/>
                <w:lang w:eastAsia="pt-BR"/>
                <w14:ligatures w14:val="none"/>
              </w:rPr>
              <w:t>Price</w:t>
            </w:r>
            <w:proofErr w:type="spellEnd"/>
          </w:p>
        </w:tc>
      </w:tr>
      <w:tr w:rsidR="00CF7ABE" w:rsidRPr="00B74E01" w14:paraId="2C50BC8A" w14:textId="77777777" w:rsidTr="0058413D">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6CBDA089"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Serviço mensal da dívida na carência</w:t>
            </w:r>
          </w:p>
        </w:tc>
        <w:tc>
          <w:tcPr>
            <w:tcW w:w="0" w:type="auto"/>
            <w:tcBorders>
              <w:top w:val="single" w:sz="4" w:space="0" w:color="auto"/>
              <w:left w:val="single" w:sz="4" w:space="0" w:color="auto"/>
              <w:bottom w:val="single" w:sz="4" w:space="0" w:color="auto"/>
              <w:right w:val="single" w:sz="4" w:space="0" w:color="auto"/>
            </w:tcBorders>
            <w:vAlign w:val="center"/>
            <w:hideMark/>
          </w:tcPr>
          <w:p w14:paraId="41C48C8C"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R$ 257.324,50</w:t>
            </w:r>
          </w:p>
        </w:tc>
      </w:tr>
      <w:tr w:rsidR="00CF7ABE" w:rsidRPr="00B74E01" w14:paraId="4E6F0722" w14:textId="77777777" w:rsidTr="0058413D">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305DC044"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Serviço mensal da dívida após carência</w:t>
            </w:r>
          </w:p>
        </w:tc>
        <w:tc>
          <w:tcPr>
            <w:tcW w:w="0" w:type="auto"/>
            <w:tcBorders>
              <w:top w:val="single" w:sz="4" w:space="0" w:color="auto"/>
              <w:left w:val="single" w:sz="4" w:space="0" w:color="auto"/>
              <w:bottom w:val="single" w:sz="4" w:space="0" w:color="auto"/>
              <w:right w:val="single" w:sz="4" w:space="0" w:color="auto"/>
            </w:tcBorders>
            <w:vAlign w:val="center"/>
            <w:hideMark/>
          </w:tcPr>
          <w:p w14:paraId="17A5CB25" w14:textId="77777777" w:rsidR="00CF7ABE" w:rsidRPr="00B74E01" w:rsidRDefault="00CF7ABE" w:rsidP="00F024E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R$ 280.892,95</w:t>
            </w:r>
          </w:p>
        </w:tc>
      </w:tr>
    </w:tbl>
    <w:p w14:paraId="14718224"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adoção do FNE Verde / Banco do Nordeste é referencial, não obrigatória, e poderá ser substituída por estrutura de financiamento própria dos licitantes.</w:t>
      </w:r>
    </w:p>
    <w:p w14:paraId="77135221" w14:textId="77777777" w:rsidR="00CF7ABE" w:rsidRPr="00B74E01" w:rsidRDefault="00CF7ABE" w:rsidP="00582F3D">
      <w:pPr>
        <w:pStyle w:val="Ttulo2"/>
        <w:rPr>
          <w:rFonts w:eastAsia="Times New Roman"/>
          <w:lang w:eastAsia="pt-BR"/>
        </w:rPr>
      </w:pPr>
      <w:bookmarkStart w:id="15" w:name="_Toc230204017"/>
      <w:r w:rsidRPr="00B74E01">
        <w:rPr>
          <w:rFonts w:eastAsia="Times New Roman"/>
          <w:lang w:eastAsia="pt-BR"/>
        </w:rPr>
        <w:t>3.9. Resultado econômico-financeiro</w:t>
      </w:r>
      <w:bookmarkEnd w:id="15"/>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764"/>
        <w:gridCol w:w="2618"/>
        <w:gridCol w:w="2679"/>
      </w:tblGrid>
      <w:tr w:rsidR="00CF7ABE" w:rsidRPr="00B74E01" w14:paraId="0EFB7002" w14:textId="77777777" w:rsidTr="0058413D">
        <w:trPr>
          <w:tblHeader/>
          <w:tblCellSpacing w:w="15" w:type="dxa"/>
        </w:trPr>
        <w:tc>
          <w:tcPr>
            <w:tcW w:w="0" w:type="auto"/>
            <w:vAlign w:val="center"/>
            <w:hideMark/>
          </w:tcPr>
          <w:p w14:paraId="3B42A2F1" w14:textId="77777777" w:rsidR="00CF7ABE" w:rsidRPr="00B74E01" w:rsidRDefault="00CF7ABE" w:rsidP="002028D1">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Indicador</w:t>
            </w:r>
          </w:p>
        </w:tc>
        <w:tc>
          <w:tcPr>
            <w:tcW w:w="0" w:type="auto"/>
            <w:vAlign w:val="center"/>
            <w:hideMark/>
          </w:tcPr>
          <w:p w14:paraId="0671C136" w14:textId="77777777" w:rsidR="00CF7ABE" w:rsidRPr="00B74E01" w:rsidRDefault="00CF7ABE" w:rsidP="002028D1">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Sem receitas acessórias</w:t>
            </w:r>
          </w:p>
        </w:tc>
        <w:tc>
          <w:tcPr>
            <w:tcW w:w="0" w:type="auto"/>
            <w:vAlign w:val="center"/>
            <w:hideMark/>
          </w:tcPr>
          <w:p w14:paraId="550DD6EF" w14:textId="77777777" w:rsidR="00CF7ABE" w:rsidRPr="00B74E01" w:rsidRDefault="00CF7ABE" w:rsidP="002028D1">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Com receitas acessórias</w:t>
            </w:r>
          </w:p>
        </w:tc>
      </w:tr>
      <w:tr w:rsidR="00CF7ABE" w:rsidRPr="00B74E01" w14:paraId="668399A5" w14:textId="77777777" w:rsidTr="0058413D">
        <w:trPr>
          <w:tblCellSpacing w:w="15" w:type="dxa"/>
        </w:trPr>
        <w:tc>
          <w:tcPr>
            <w:tcW w:w="0" w:type="auto"/>
            <w:vAlign w:val="center"/>
            <w:hideMark/>
          </w:tcPr>
          <w:p w14:paraId="5F04C6C1"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EBITDA mensal</w:t>
            </w:r>
          </w:p>
        </w:tc>
        <w:tc>
          <w:tcPr>
            <w:tcW w:w="0" w:type="auto"/>
            <w:vAlign w:val="center"/>
            <w:hideMark/>
          </w:tcPr>
          <w:p w14:paraId="5549C5A2"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R$ 314.606,70</w:t>
            </w:r>
          </w:p>
        </w:tc>
        <w:tc>
          <w:tcPr>
            <w:tcW w:w="0" w:type="auto"/>
            <w:vAlign w:val="center"/>
            <w:hideMark/>
          </w:tcPr>
          <w:p w14:paraId="0A2FCACC"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R$ 1.107.091,76</w:t>
            </w:r>
          </w:p>
        </w:tc>
      </w:tr>
      <w:tr w:rsidR="00CF7ABE" w:rsidRPr="00B74E01" w14:paraId="4720FF87" w14:textId="77777777" w:rsidTr="0058413D">
        <w:trPr>
          <w:tblCellSpacing w:w="15" w:type="dxa"/>
        </w:trPr>
        <w:tc>
          <w:tcPr>
            <w:tcW w:w="0" w:type="auto"/>
            <w:vAlign w:val="center"/>
            <w:hideMark/>
          </w:tcPr>
          <w:p w14:paraId="61AA4F38"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EBITDA anual</w:t>
            </w:r>
          </w:p>
        </w:tc>
        <w:tc>
          <w:tcPr>
            <w:tcW w:w="0" w:type="auto"/>
            <w:vAlign w:val="center"/>
            <w:hideMark/>
          </w:tcPr>
          <w:p w14:paraId="5DADEFFC"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R$ 3.775.280,29</w:t>
            </w:r>
          </w:p>
        </w:tc>
        <w:tc>
          <w:tcPr>
            <w:tcW w:w="0" w:type="auto"/>
            <w:vAlign w:val="center"/>
            <w:hideMark/>
          </w:tcPr>
          <w:p w14:paraId="74DC6BD0"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R$ 13.285.100,97</w:t>
            </w:r>
          </w:p>
        </w:tc>
      </w:tr>
      <w:tr w:rsidR="00CF7ABE" w:rsidRPr="00B74E01" w14:paraId="39311391" w14:textId="77777777" w:rsidTr="0058413D">
        <w:trPr>
          <w:tblCellSpacing w:w="15" w:type="dxa"/>
        </w:trPr>
        <w:tc>
          <w:tcPr>
            <w:tcW w:w="0" w:type="auto"/>
            <w:vAlign w:val="center"/>
            <w:hideMark/>
          </w:tcPr>
          <w:p w14:paraId="57F7A659"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Serviço mensal da dívida após carência</w:t>
            </w:r>
          </w:p>
        </w:tc>
        <w:tc>
          <w:tcPr>
            <w:tcW w:w="0" w:type="auto"/>
            <w:vAlign w:val="center"/>
            <w:hideMark/>
          </w:tcPr>
          <w:p w14:paraId="52B58909"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R$ 280.892,95</w:t>
            </w:r>
          </w:p>
        </w:tc>
        <w:tc>
          <w:tcPr>
            <w:tcW w:w="0" w:type="auto"/>
            <w:vAlign w:val="center"/>
            <w:hideMark/>
          </w:tcPr>
          <w:p w14:paraId="1956FCE8"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R$ 280.892,95</w:t>
            </w:r>
          </w:p>
        </w:tc>
      </w:tr>
      <w:tr w:rsidR="00CF7ABE" w:rsidRPr="00B74E01" w14:paraId="09ACF0F1" w14:textId="77777777" w:rsidTr="0058413D">
        <w:trPr>
          <w:tblCellSpacing w:w="15" w:type="dxa"/>
        </w:trPr>
        <w:tc>
          <w:tcPr>
            <w:tcW w:w="0" w:type="auto"/>
            <w:vAlign w:val="center"/>
            <w:hideMark/>
          </w:tcPr>
          <w:p w14:paraId="2AC87FDD"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Sobra mensal após dívida</w:t>
            </w:r>
          </w:p>
        </w:tc>
        <w:tc>
          <w:tcPr>
            <w:tcW w:w="0" w:type="auto"/>
            <w:vAlign w:val="center"/>
            <w:hideMark/>
          </w:tcPr>
          <w:p w14:paraId="68DE011F"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R$ 33.713,75</w:t>
            </w:r>
          </w:p>
        </w:tc>
        <w:tc>
          <w:tcPr>
            <w:tcW w:w="0" w:type="auto"/>
            <w:vAlign w:val="center"/>
            <w:hideMark/>
          </w:tcPr>
          <w:p w14:paraId="27DDF92D"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R$ 826.198,81</w:t>
            </w:r>
          </w:p>
        </w:tc>
      </w:tr>
      <w:tr w:rsidR="00CF7ABE" w:rsidRPr="00B74E01" w14:paraId="220D38C7" w14:textId="77777777" w:rsidTr="0058413D">
        <w:trPr>
          <w:tblCellSpacing w:w="15" w:type="dxa"/>
        </w:trPr>
        <w:tc>
          <w:tcPr>
            <w:tcW w:w="0" w:type="auto"/>
            <w:vAlign w:val="center"/>
            <w:hideMark/>
          </w:tcPr>
          <w:p w14:paraId="4AA40CDD"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DSCR após carência</w:t>
            </w:r>
          </w:p>
        </w:tc>
        <w:tc>
          <w:tcPr>
            <w:tcW w:w="0" w:type="auto"/>
            <w:vAlign w:val="center"/>
            <w:hideMark/>
          </w:tcPr>
          <w:p w14:paraId="128E66C9"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1,12x</w:t>
            </w:r>
          </w:p>
        </w:tc>
        <w:tc>
          <w:tcPr>
            <w:tcW w:w="0" w:type="auto"/>
            <w:vAlign w:val="center"/>
            <w:hideMark/>
          </w:tcPr>
          <w:p w14:paraId="7C09E117"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3,94x</w:t>
            </w:r>
          </w:p>
        </w:tc>
      </w:tr>
    </w:tbl>
    <w:p w14:paraId="7047E2DC"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operação fecha positivamente no cenário mínimo, mas com margem restrita. Com receitas acessórias, a operação apresenta forte robustez econômico-financeira.</w:t>
      </w:r>
    </w:p>
    <w:p w14:paraId="10D71773" w14:textId="63C155DA" w:rsidR="00CF7ABE" w:rsidRPr="00B74E01" w:rsidRDefault="00CF7ABE" w:rsidP="00B74E01">
      <w:pPr>
        <w:spacing w:after="0" w:line="360" w:lineRule="auto"/>
        <w:ind w:firstLine="709"/>
        <w:jc w:val="both"/>
        <w:rPr>
          <w:rFonts w:eastAsia="Times New Roman" w:cs="Arial"/>
          <w:kern w:val="0"/>
          <w:lang w:eastAsia="pt-BR"/>
          <w14:ligatures w14:val="none"/>
        </w:rPr>
      </w:pPr>
    </w:p>
    <w:p w14:paraId="26AB3E44" w14:textId="77777777" w:rsidR="00CF7ABE" w:rsidRPr="00B74E01" w:rsidRDefault="00CF7ABE" w:rsidP="002028D1">
      <w:pPr>
        <w:pStyle w:val="Ttulo2"/>
        <w:rPr>
          <w:rFonts w:eastAsia="Times New Roman"/>
          <w:lang w:eastAsia="pt-BR"/>
        </w:rPr>
      </w:pPr>
      <w:bookmarkStart w:id="16" w:name="_Toc230204018"/>
      <w:r w:rsidRPr="00B74E01">
        <w:rPr>
          <w:rFonts w:eastAsia="Times New Roman"/>
          <w:lang w:eastAsia="pt-BR"/>
        </w:rPr>
        <w:t>3.10. Garantias recomendadas</w:t>
      </w:r>
      <w:bookmarkEnd w:id="16"/>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129"/>
        <w:gridCol w:w="1701"/>
        <w:gridCol w:w="2127"/>
        <w:gridCol w:w="2055"/>
        <w:gridCol w:w="2049"/>
      </w:tblGrid>
      <w:tr w:rsidR="00CF7ABE" w:rsidRPr="00B74E01" w14:paraId="11AF0008" w14:textId="77777777" w:rsidTr="002028D1">
        <w:trPr>
          <w:tblHeader/>
          <w:tblCellSpacing w:w="15" w:type="dxa"/>
        </w:trPr>
        <w:tc>
          <w:tcPr>
            <w:tcW w:w="1084" w:type="dxa"/>
            <w:vAlign w:val="center"/>
            <w:hideMark/>
          </w:tcPr>
          <w:p w14:paraId="128085FB" w14:textId="77777777" w:rsidR="00CF7ABE" w:rsidRPr="00B74E01" w:rsidRDefault="00CF7ABE" w:rsidP="002028D1">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Cenário</w:t>
            </w:r>
          </w:p>
        </w:tc>
        <w:tc>
          <w:tcPr>
            <w:tcW w:w="1671" w:type="dxa"/>
            <w:vAlign w:val="center"/>
            <w:hideMark/>
          </w:tcPr>
          <w:p w14:paraId="67A0A867" w14:textId="77777777" w:rsidR="00CF7ABE" w:rsidRPr="00B74E01" w:rsidRDefault="00CF7ABE" w:rsidP="002028D1">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Receita principal mensal</w:t>
            </w:r>
          </w:p>
        </w:tc>
        <w:tc>
          <w:tcPr>
            <w:tcW w:w="2097" w:type="dxa"/>
            <w:vAlign w:val="center"/>
            <w:hideMark/>
          </w:tcPr>
          <w:p w14:paraId="1969566E" w14:textId="77777777" w:rsidR="00CF7ABE" w:rsidRPr="00B74E01" w:rsidRDefault="00CF7ABE" w:rsidP="002028D1">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Garantia mínima — 3 meses</w:t>
            </w:r>
          </w:p>
        </w:tc>
        <w:tc>
          <w:tcPr>
            <w:tcW w:w="2025" w:type="dxa"/>
            <w:vAlign w:val="center"/>
            <w:hideMark/>
          </w:tcPr>
          <w:p w14:paraId="792579B9" w14:textId="77777777" w:rsidR="00CF7ABE" w:rsidRPr="00B74E01" w:rsidRDefault="00CF7ABE" w:rsidP="002028D1">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Garantia recomendada — 6 meses</w:t>
            </w:r>
          </w:p>
        </w:tc>
        <w:tc>
          <w:tcPr>
            <w:tcW w:w="0" w:type="auto"/>
            <w:vAlign w:val="center"/>
            <w:hideMark/>
          </w:tcPr>
          <w:p w14:paraId="2DBB9E27" w14:textId="77777777" w:rsidR="00CF7ABE" w:rsidRPr="00B74E01" w:rsidRDefault="00CF7ABE" w:rsidP="002028D1">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Garantia robusta — 12 meses</w:t>
            </w:r>
          </w:p>
        </w:tc>
      </w:tr>
      <w:tr w:rsidR="00CF7ABE" w:rsidRPr="00B74E01" w14:paraId="7FC1BD50" w14:textId="77777777" w:rsidTr="002028D1">
        <w:trPr>
          <w:tblCellSpacing w:w="15" w:type="dxa"/>
        </w:trPr>
        <w:tc>
          <w:tcPr>
            <w:tcW w:w="1084" w:type="dxa"/>
            <w:vAlign w:val="center"/>
            <w:hideMark/>
          </w:tcPr>
          <w:p w14:paraId="01A0FFC9"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R$ 95/t</w:t>
            </w:r>
          </w:p>
        </w:tc>
        <w:tc>
          <w:tcPr>
            <w:tcW w:w="1671" w:type="dxa"/>
            <w:vAlign w:val="center"/>
            <w:hideMark/>
          </w:tcPr>
          <w:p w14:paraId="1881836F"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R$ 700.077,09</w:t>
            </w:r>
          </w:p>
        </w:tc>
        <w:tc>
          <w:tcPr>
            <w:tcW w:w="2097" w:type="dxa"/>
            <w:vAlign w:val="center"/>
            <w:hideMark/>
          </w:tcPr>
          <w:p w14:paraId="3B9C02C1"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R$ 2.100.231,27</w:t>
            </w:r>
          </w:p>
        </w:tc>
        <w:tc>
          <w:tcPr>
            <w:tcW w:w="2025" w:type="dxa"/>
            <w:vAlign w:val="center"/>
            <w:hideMark/>
          </w:tcPr>
          <w:p w14:paraId="6B228BC0"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R$ 4.200.462,54</w:t>
            </w:r>
          </w:p>
        </w:tc>
        <w:tc>
          <w:tcPr>
            <w:tcW w:w="0" w:type="auto"/>
            <w:vAlign w:val="center"/>
            <w:hideMark/>
          </w:tcPr>
          <w:p w14:paraId="275840FC"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R$ 8.400.925,08</w:t>
            </w:r>
          </w:p>
        </w:tc>
      </w:tr>
      <w:tr w:rsidR="00CF7ABE" w:rsidRPr="00B74E01" w14:paraId="58A1838B" w14:textId="77777777" w:rsidTr="002028D1">
        <w:trPr>
          <w:tblCellSpacing w:w="15" w:type="dxa"/>
        </w:trPr>
        <w:tc>
          <w:tcPr>
            <w:tcW w:w="1084" w:type="dxa"/>
            <w:vAlign w:val="center"/>
            <w:hideMark/>
          </w:tcPr>
          <w:p w14:paraId="4688A7FD"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R$ 140/t</w:t>
            </w:r>
          </w:p>
        </w:tc>
        <w:tc>
          <w:tcPr>
            <w:tcW w:w="1671" w:type="dxa"/>
            <w:vAlign w:val="center"/>
            <w:hideMark/>
          </w:tcPr>
          <w:p w14:paraId="03A16D8E"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R$ 809.577,09</w:t>
            </w:r>
          </w:p>
        </w:tc>
        <w:tc>
          <w:tcPr>
            <w:tcW w:w="2097" w:type="dxa"/>
            <w:vAlign w:val="center"/>
            <w:hideMark/>
          </w:tcPr>
          <w:p w14:paraId="62F48F7D"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R$ 2.428.731,27</w:t>
            </w:r>
          </w:p>
        </w:tc>
        <w:tc>
          <w:tcPr>
            <w:tcW w:w="2025" w:type="dxa"/>
            <w:vAlign w:val="center"/>
            <w:hideMark/>
          </w:tcPr>
          <w:p w14:paraId="5B31A35F"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R$ 4.857.462,54</w:t>
            </w:r>
          </w:p>
        </w:tc>
        <w:tc>
          <w:tcPr>
            <w:tcW w:w="0" w:type="auto"/>
            <w:vAlign w:val="center"/>
            <w:hideMark/>
          </w:tcPr>
          <w:p w14:paraId="1A55621C"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R$ 9.714.925,08</w:t>
            </w:r>
          </w:p>
        </w:tc>
      </w:tr>
    </w:tbl>
    <w:p w14:paraId="47404E40"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garantia deve proteger apenas as receitas principais, não abrangendo receitas acessórias.</w:t>
      </w:r>
    </w:p>
    <w:p w14:paraId="0906D687" w14:textId="6385F53A" w:rsidR="00CF7ABE" w:rsidRDefault="00CF7ABE" w:rsidP="00B74E01">
      <w:pPr>
        <w:spacing w:after="0" w:line="360" w:lineRule="auto"/>
        <w:ind w:firstLine="709"/>
        <w:jc w:val="both"/>
        <w:rPr>
          <w:rFonts w:eastAsia="Times New Roman" w:cs="Arial"/>
          <w:kern w:val="0"/>
          <w:lang w:eastAsia="pt-BR"/>
          <w14:ligatures w14:val="none"/>
        </w:rPr>
      </w:pPr>
    </w:p>
    <w:p w14:paraId="7D810DCA" w14:textId="77777777" w:rsidR="002028D1" w:rsidRDefault="002028D1" w:rsidP="00B74E01">
      <w:pPr>
        <w:spacing w:after="0" w:line="360" w:lineRule="auto"/>
        <w:ind w:firstLine="709"/>
        <w:jc w:val="both"/>
        <w:rPr>
          <w:rFonts w:eastAsia="Times New Roman" w:cs="Arial"/>
          <w:kern w:val="0"/>
          <w:lang w:eastAsia="pt-BR"/>
          <w14:ligatures w14:val="none"/>
        </w:rPr>
      </w:pPr>
    </w:p>
    <w:p w14:paraId="6B084699" w14:textId="77777777" w:rsidR="002028D1" w:rsidRDefault="002028D1" w:rsidP="00B74E01">
      <w:pPr>
        <w:spacing w:after="0" w:line="360" w:lineRule="auto"/>
        <w:ind w:firstLine="709"/>
        <w:jc w:val="both"/>
        <w:rPr>
          <w:rFonts w:eastAsia="Times New Roman" w:cs="Arial"/>
          <w:kern w:val="0"/>
          <w:lang w:eastAsia="pt-BR"/>
          <w14:ligatures w14:val="none"/>
        </w:rPr>
      </w:pPr>
    </w:p>
    <w:p w14:paraId="28B600AC" w14:textId="77777777" w:rsidR="002028D1" w:rsidRDefault="002028D1" w:rsidP="00B74E01">
      <w:pPr>
        <w:spacing w:after="0" w:line="360" w:lineRule="auto"/>
        <w:ind w:firstLine="709"/>
        <w:jc w:val="both"/>
        <w:rPr>
          <w:rFonts w:eastAsia="Times New Roman" w:cs="Arial"/>
          <w:kern w:val="0"/>
          <w:lang w:eastAsia="pt-BR"/>
          <w14:ligatures w14:val="none"/>
        </w:rPr>
      </w:pPr>
    </w:p>
    <w:p w14:paraId="05382AD3" w14:textId="77777777" w:rsidR="002028D1" w:rsidRDefault="002028D1" w:rsidP="00B74E01">
      <w:pPr>
        <w:spacing w:after="0" w:line="360" w:lineRule="auto"/>
        <w:ind w:firstLine="709"/>
        <w:jc w:val="both"/>
        <w:rPr>
          <w:rFonts w:eastAsia="Times New Roman" w:cs="Arial"/>
          <w:kern w:val="0"/>
          <w:lang w:eastAsia="pt-BR"/>
          <w14:ligatures w14:val="none"/>
        </w:rPr>
      </w:pPr>
    </w:p>
    <w:p w14:paraId="74AEE4F1" w14:textId="77777777" w:rsidR="002028D1" w:rsidRDefault="002028D1" w:rsidP="00B74E01">
      <w:pPr>
        <w:spacing w:after="0" w:line="360" w:lineRule="auto"/>
        <w:ind w:firstLine="709"/>
        <w:jc w:val="both"/>
        <w:rPr>
          <w:rFonts w:eastAsia="Times New Roman" w:cs="Arial"/>
          <w:kern w:val="0"/>
          <w:lang w:eastAsia="pt-BR"/>
          <w14:ligatures w14:val="none"/>
        </w:rPr>
      </w:pPr>
    </w:p>
    <w:p w14:paraId="1C6A7CA8" w14:textId="77777777" w:rsidR="002028D1" w:rsidRDefault="002028D1" w:rsidP="00B74E01">
      <w:pPr>
        <w:spacing w:after="0" w:line="360" w:lineRule="auto"/>
        <w:ind w:firstLine="709"/>
        <w:jc w:val="both"/>
        <w:rPr>
          <w:rFonts w:eastAsia="Times New Roman" w:cs="Arial"/>
          <w:kern w:val="0"/>
          <w:lang w:eastAsia="pt-BR"/>
          <w14:ligatures w14:val="none"/>
        </w:rPr>
      </w:pPr>
    </w:p>
    <w:p w14:paraId="08B1843F" w14:textId="77777777" w:rsidR="002028D1" w:rsidRDefault="002028D1" w:rsidP="00B74E01">
      <w:pPr>
        <w:spacing w:after="0" w:line="360" w:lineRule="auto"/>
        <w:ind w:firstLine="709"/>
        <w:jc w:val="both"/>
        <w:rPr>
          <w:rFonts w:eastAsia="Times New Roman" w:cs="Arial"/>
          <w:kern w:val="0"/>
          <w:lang w:eastAsia="pt-BR"/>
          <w14:ligatures w14:val="none"/>
        </w:rPr>
      </w:pPr>
    </w:p>
    <w:p w14:paraId="1A04B171" w14:textId="77777777" w:rsidR="002028D1" w:rsidRDefault="002028D1" w:rsidP="00B74E01">
      <w:pPr>
        <w:spacing w:after="0" w:line="360" w:lineRule="auto"/>
        <w:ind w:firstLine="709"/>
        <w:jc w:val="both"/>
        <w:rPr>
          <w:rFonts w:eastAsia="Times New Roman" w:cs="Arial"/>
          <w:kern w:val="0"/>
          <w:lang w:eastAsia="pt-BR"/>
          <w14:ligatures w14:val="none"/>
        </w:rPr>
      </w:pPr>
    </w:p>
    <w:p w14:paraId="502FC9FD" w14:textId="77777777" w:rsidR="002028D1" w:rsidRDefault="002028D1" w:rsidP="00B74E01">
      <w:pPr>
        <w:spacing w:after="0" w:line="360" w:lineRule="auto"/>
        <w:ind w:firstLine="709"/>
        <w:jc w:val="both"/>
        <w:rPr>
          <w:rFonts w:eastAsia="Times New Roman" w:cs="Arial"/>
          <w:kern w:val="0"/>
          <w:lang w:eastAsia="pt-BR"/>
          <w14:ligatures w14:val="none"/>
        </w:rPr>
      </w:pPr>
    </w:p>
    <w:p w14:paraId="3920034D" w14:textId="77777777" w:rsidR="002028D1" w:rsidRDefault="002028D1" w:rsidP="00B74E01">
      <w:pPr>
        <w:spacing w:after="0" w:line="360" w:lineRule="auto"/>
        <w:ind w:firstLine="709"/>
        <w:jc w:val="both"/>
        <w:rPr>
          <w:rFonts w:eastAsia="Times New Roman" w:cs="Arial"/>
          <w:kern w:val="0"/>
          <w:lang w:eastAsia="pt-BR"/>
          <w14:ligatures w14:val="none"/>
        </w:rPr>
      </w:pPr>
    </w:p>
    <w:p w14:paraId="4C49C144" w14:textId="77777777" w:rsidR="002028D1" w:rsidRDefault="002028D1" w:rsidP="00B74E01">
      <w:pPr>
        <w:spacing w:after="0" w:line="360" w:lineRule="auto"/>
        <w:ind w:firstLine="709"/>
        <w:jc w:val="both"/>
        <w:rPr>
          <w:rFonts w:eastAsia="Times New Roman" w:cs="Arial"/>
          <w:kern w:val="0"/>
          <w:lang w:eastAsia="pt-BR"/>
          <w14:ligatures w14:val="none"/>
        </w:rPr>
      </w:pPr>
    </w:p>
    <w:p w14:paraId="389AF790" w14:textId="77777777" w:rsidR="002028D1" w:rsidRDefault="002028D1" w:rsidP="00B74E01">
      <w:pPr>
        <w:spacing w:after="0" w:line="360" w:lineRule="auto"/>
        <w:ind w:firstLine="709"/>
        <w:jc w:val="both"/>
        <w:rPr>
          <w:rFonts w:eastAsia="Times New Roman" w:cs="Arial"/>
          <w:kern w:val="0"/>
          <w:lang w:eastAsia="pt-BR"/>
          <w14:ligatures w14:val="none"/>
        </w:rPr>
      </w:pPr>
    </w:p>
    <w:p w14:paraId="3451A177" w14:textId="77777777" w:rsidR="002028D1" w:rsidRDefault="002028D1" w:rsidP="00B74E01">
      <w:pPr>
        <w:spacing w:after="0" w:line="360" w:lineRule="auto"/>
        <w:ind w:firstLine="709"/>
        <w:jc w:val="both"/>
        <w:rPr>
          <w:rFonts w:eastAsia="Times New Roman" w:cs="Arial"/>
          <w:kern w:val="0"/>
          <w:lang w:eastAsia="pt-BR"/>
          <w14:ligatures w14:val="none"/>
        </w:rPr>
      </w:pPr>
    </w:p>
    <w:p w14:paraId="77046429" w14:textId="77777777" w:rsidR="002028D1" w:rsidRDefault="002028D1" w:rsidP="00B74E01">
      <w:pPr>
        <w:spacing w:after="0" w:line="360" w:lineRule="auto"/>
        <w:ind w:firstLine="709"/>
        <w:jc w:val="both"/>
        <w:rPr>
          <w:rFonts w:eastAsia="Times New Roman" w:cs="Arial"/>
          <w:kern w:val="0"/>
          <w:lang w:eastAsia="pt-BR"/>
          <w14:ligatures w14:val="none"/>
        </w:rPr>
      </w:pPr>
    </w:p>
    <w:p w14:paraId="13EF0FA9" w14:textId="77777777" w:rsidR="002028D1" w:rsidRDefault="002028D1" w:rsidP="00B74E01">
      <w:pPr>
        <w:spacing w:after="0" w:line="360" w:lineRule="auto"/>
        <w:ind w:firstLine="709"/>
        <w:jc w:val="both"/>
        <w:rPr>
          <w:rFonts w:eastAsia="Times New Roman" w:cs="Arial"/>
          <w:kern w:val="0"/>
          <w:lang w:eastAsia="pt-BR"/>
          <w14:ligatures w14:val="none"/>
        </w:rPr>
      </w:pPr>
    </w:p>
    <w:p w14:paraId="74969B70" w14:textId="77777777" w:rsidR="002028D1" w:rsidRDefault="002028D1" w:rsidP="00B74E01">
      <w:pPr>
        <w:spacing w:after="0" w:line="360" w:lineRule="auto"/>
        <w:ind w:firstLine="709"/>
        <w:jc w:val="both"/>
        <w:rPr>
          <w:rFonts w:eastAsia="Times New Roman" w:cs="Arial"/>
          <w:kern w:val="0"/>
          <w:lang w:eastAsia="pt-BR"/>
          <w14:ligatures w14:val="none"/>
        </w:rPr>
      </w:pPr>
    </w:p>
    <w:p w14:paraId="3D90B7E8" w14:textId="77777777" w:rsidR="002028D1" w:rsidRDefault="002028D1" w:rsidP="00B74E01">
      <w:pPr>
        <w:spacing w:after="0" w:line="360" w:lineRule="auto"/>
        <w:ind w:firstLine="709"/>
        <w:jc w:val="both"/>
        <w:rPr>
          <w:rFonts w:eastAsia="Times New Roman" w:cs="Arial"/>
          <w:kern w:val="0"/>
          <w:lang w:eastAsia="pt-BR"/>
          <w14:ligatures w14:val="none"/>
        </w:rPr>
      </w:pPr>
    </w:p>
    <w:p w14:paraId="43B1EA41" w14:textId="77777777" w:rsidR="002028D1" w:rsidRDefault="002028D1" w:rsidP="00B74E01">
      <w:pPr>
        <w:spacing w:after="0" w:line="360" w:lineRule="auto"/>
        <w:ind w:firstLine="709"/>
        <w:jc w:val="both"/>
        <w:rPr>
          <w:rFonts w:eastAsia="Times New Roman" w:cs="Arial"/>
          <w:kern w:val="0"/>
          <w:lang w:eastAsia="pt-BR"/>
          <w14:ligatures w14:val="none"/>
        </w:rPr>
      </w:pPr>
    </w:p>
    <w:p w14:paraId="60D9E3B6" w14:textId="77777777" w:rsidR="002028D1" w:rsidRDefault="002028D1" w:rsidP="00B74E01">
      <w:pPr>
        <w:spacing w:after="0" w:line="360" w:lineRule="auto"/>
        <w:ind w:firstLine="709"/>
        <w:jc w:val="both"/>
        <w:rPr>
          <w:rFonts w:eastAsia="Times New Roman" w:cs="Arial"/>
          <w:kern w:val="0"/>
          <w:lang w:eastAsia="pt-BR"/>
          <w14:ligatures w14:val="none"/>
        </w:rPr>
      </w:pPr>
    </w:p>
    <w:p w14:paraId="33F1B0B1" w14:textId="77777777" w:rsidR="002028D1" w:rsidRDefault="002028D1" w:rsidP="00B74E01">
      <w:pPr>
        <w:spacing w:after="0" w:line="360" w:lineRule="auto"/>
        <w:ind w:firstLine="709"/>
        <w:jc w:val="both"/>
        <w:rPr>
          <w:rFonts w:eastAsia="Times New Roman" w:cs="Arial"/>
          <w:kern w:val="0"/>
          <w:lang w:eastAsia="pt-BR"/>
          <w14:ligatures w14:val="none"/>
        </w:rPr>
      </w:pPr>
    </w:p>
    <w:p w14:paraId="56C0D8DB" w14:textId="77777777" w:rsidR="002028D1" w:rsidRDefault="002028D1" w:rsidP="00B74E01">
      <w:pPr>
        <w:spacing w:after="0" w:line="360" w:lineRule="auto"/>
        <w:ind w:firstLine="709"/>
        <w:jc w:val="both"/>
        <w:rPr>
          <w:rFonts w:eastAsia="Times New Roman" w:cs="Arial"/>
          <w:kern w:val="0"/>
          <w:lang w:eastAsia="pt-BR"/>
          <w14:ligatures w14:val="none"/>
        </w:rPr>
      </w:pPr>
    </w:p>
    <w:p w14:paraId="6660B462" w14:textId="77777777" w:rsidR="00CF7ABE" w:rsidRPr="00B74E01" w:rsidRDefault="00CF7ABE" w:rsidP="002028D1">
      <w:pPr>
        <w:pStyle w:val="Ttulo1"/>
        <w:rPr>
          <w:rFonts w:eastAsia="Times New Roman"/>
          <w:lang w:eastAsia="pt-BR"/>
        </w:rPr>
      </w:pPr>
      <w:bookmarkStart w:id="17" w:name="_Toc230204019"/>
      <w:r w:rsidRPr="00B74E01">
        <w:rPr>
          <w:rFonts w:eastAsia="Times New Roman"/>
          <w:lang w:eastAsia="pt-BR"/>
        </w:rPr>
        <w:lastRenderedPageBreak/>
        <w:t>4. Lógica Econômica da PPP</w:t>
      </w:r>
      <w:bookmarkEnd w:id="17"/>
    </w:p>
    <w:p w14:paraId="26F50E69"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lógica econômica da presente PPP não se limita à contratação de uma solução de destinação/tratamento de resíduos sólidos urbanos. O modelo proposto estrutura uma solução integrada que articula quatro dimensões econômicas e institucionais:</w:t>
      </w:r>
    </w:p>
    <w:p w14:paraId="2236A0D2" w14:textId="77777777" w:rsidR="00CF7ABE" w:rsidRPr="00B74E01" w:rsidRDefault="00CF7ABE" w:rsidP="002028D1">
      <w:pPr>
        <w:numPr>
          <w:ilvl w:val="0"/>
          <w:numId w:val="1"/>
        </w:numPr>
        <w:tabs>
          <w:tab w:val="clear" w:pos="720"/>
          <w:tab w:val="num" w:pos="142"/>
        </w:tabs>
        <w:spacing w:before="100" w:beforeAutospacing="1" w:after="100" w:afterAutospacing="1" w:line="360" w:lineRule="auto"/>
        <w:ind w:left="284" w:hanging="284"/>
        <w:jc w:val="both"/>
        <w:rPr>
          <w:rFonts w:eastAsia="Times New Roman" w:cs="Arial"/>
          <w:kern w:val="0"/>
          <w:lang w:eastAsia="pt-BR"/>
          <w14:ligatures w14:val="none"/>
        </w:rPr>
      </w:pPr>
      <w:r w:rsidRPr="00B74E01">
        <w:rPr>
          <w:rFonts w:eastAsia="Times New Roman" w:cs="Arial"/>
          <w:kern w:val="0"/>
          <w:lang w:eastAsia="pt-BR"/>
          <w14:ligatures w14:val="none"/>
        </w:rPr>
        <w:t>tratamento adequado do passivo ambiental representado pelo RSU;</w:t>
      </w:r>
    </w:p>
    <w:p w14:paraId="24C4677E" w14:textId="77777777" w:rsidR="00CF7ABE" w:rsidRPr="00B74E01" w:rsidRDefault="00CF7ABE" w:rsidP="002028D1">
      <w:pPr>
        <w:numPr>
          <w:ilvl w:val="0"/>
          <w:numId w:val="1"/>
        </w:numPr>
        <w:tabs>
          <w:tab w:val="clear" w:pos="720"/>
          <w:tab w:val="num" w:pos="142"/>
        </w:tabs>
        <w:spacing w:before="100" w:beforeAutospacing="1" w:after="100" w:afterAutospacing="1" w:line="360" w:lineRule="auto"/>
        <w:ind w:left="284" w:hanging="284"/>
        <w:jc w:val="both"/>
        <w:rPr>
          <w:rFonts w:eastAsia="Times New Roman" w:cs="Arial"/>
          <w:kern w:val="0"/>
          <w:lang w:eastAsia="pt-BR"/>
          <w14:ligatures w14:val="none"/>
        </w:rPr>
      </w:pPr>
      <w:r w:rsidRPr="00B74E01">
        <w:rPr>
          <w:rFonts w:eastAsia="Times New Roman" w:cs="Arial"/>
          <w:kern w:val="0"/>
          <w:lang w:eastAsia="pt-BR"/>
          <w14:ligatures w14:val="none"/>
        </w:rPr>
        <w:t>redução da despesa energética municipal;</w:t>
      </w:r>
    </w:p>
    <w:p w14:paraId="1DC30007" w14:textId="77777777" w:rsidR="00CF7ABE" w:rsidRPr="00B74E01" w:rsidRDefault="00CF7ABE" w:rsidP="002028D1">
      <w:pPr>
        <w:numPr>
          <w:ilvl w:val="0"/>
          <w:numId w:val="1"/>
        </w:numPr>
        <w:tabs>
          <w:tab w:val="clear" w:pos="720"/>
          <w:tab w:val="num" w:pos="142"/>
        </w:tabs>
        <w:spacing w:before="100" w:beforeAutospacing="1" w:after="100" w:afterAutospacing="1" w:line="360" w:lineRule="auto"/>
        <w:ind w:left="284" w:hanging="284"/>
        <w:jc w:val="both"/>
        <w:rPr>
          <w:rFonts w:eastAsia="Times New Roman" w:cs="Arial"/>
          <w:kern w:val="0"/>
          <w:lang w:eastAsia="pt-BR"/>
          <w14:ligatures w14:val="none"/>
        </w:rPr>
      </w:pPr>
      <w:r w:rsidRPr="00B74E01">
        <w:rPr>
          <w:rFonts w:eastAsia="Times New Roman" w:cs="Arial"/>
          <w:kern w:val="0"/>
          <w:lang w:eastAsia="pt-BR"/>
          <w14:ligatures w14:val="none"/>
        </w:rPr>
        <w:t>atração de investimento privado para implantação e operação de infraestrutura;</w:t>
      </w:r>
    </w:p>
    <w:p w14:paraId="5CE4C94F" w14:textId="77777777" w:rsidR="00CF7ABE" w:rsidRPr="00B74E01" w:rsidRDefault="00CF7ABE" w:rsidP="002028D1">
      <w:pPr>
        <w:numPr>
          <w:ilvl w:val="0"/>
          <w:numId w:val="1"/>
        </w:numPr>
        <w:tabs>
          <w:tab w:val="clear" w:pos="720"/>
          <w:tab w:val="num" w:pos="142"/>
        </w:tabs>
        <w:spacing w:before="100" w:beforeAutospacing="1" w:after="100" w:afterAutospacing="1" w:line="360" w:lineRule="auto"/>
        <w:ind w:left="284" w:hanging="284"/>
        <w:jc w:val="both"/>
        <w:rPr>
          <w:rFonts w:eastAsia="Times New Roman" w:cs="Arial"/>
          <w:kern w:val="0"/>
          <w:lang w:eastAsia="pt-BR"/>
          <w14:ligatures w14:val="none"/>
        </w:rPr>
      </w:pPr>
      <w:r w:rsidRPr="00B74E01">
        <w:rPr>
          <w:rFonts w:eastAsia="Times New Roman" w:cs="Arial"/>
          <w:kern w:val="0"/>
          <w:lang w:eastAsia="pt-BR"/>
          <w14:ligatures w14:val="none"/>
        </w:rPr>
        <w:t>geração potencial de receitas acessórias e recursos para o Fundo Municipal de Meio Ambiente e Tecnologia Pública.</w:t>
      </w:r>
    </w:p>
    <w:p w14:paraId="500BC174"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PPP deve ser compreendida como uma reorganização econômico-contratual de despesas e benefícios públicos. O Município já possui despesa com energia elétrica e já possui obrigação legal e ambiental de dar destinação adequada aos resíduos sólidos urbanos. A modelagem busca integrar essas duas frentes, de modo que a economia estimada com energia contribua para custear a destinação/tratamento do RSU e, no cenário-base, ainda gere saldo positivo ao Município.</w:t>
      </w:r>
    </w:p>
    <w:p w14:paraId="6E094C3D"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As contribuições recebidas apontaram corretamente que a defesa da vantajosidade não deve se limitar à afirmação de que “a economia energética custeia o RSU”. Essa ideia é relevante, mas precisa ser acompanhada de análise mais ampla de </w:t>
      </w:r>
      <w:proofErr w:type="spellStart"/>
      <w:r w:rsidRPr="00B74E01">
        <w:rPr>
          <w:rFonts w:eastAsia="Times New Roman" w:cs="Arial"/>
          <w:kern w:val="0"/>
          <w:lang w:eastAsia="pt-BR"/>
          <w14:ligatures w14:val="none"/>
        </w:rPr>
        <w:t>Value</w:t>
      </w:r>
      <w:proofErr w:type="spellEnd"/>
      <w:r w:rsidRPr="00B74E01">
        <w:rPr>
          <w:rFonts w:eastAsia="Times New Roman" w:cs="Arial"/>
          <w:kern w:val="0"/>
          <w:lang w:eastAsia="pt-BR"/>
          <w14:ligatures w14:val="none"/>
        </w:rPr>
        <w:t xml:space="preserve"> for Money, custo evitado, passivo ambiental evitado, externalidades positivas, mitigação de riscos e comparação com alternativas convencionais, especialmente aterro sanitário.</w:t>
      </w:r>
    </w:p>
    <w:p w14:paraId="315F6789" w14:textId="77777777" w:rsidR="00CF7ABE" w:rsidRPr="00B74E01" w:rsidRDefault="00CF7ABE" w:rsidP="002028D1">
      <w:pPr>
        <w:pStyle w:val="Ttulo2"/>
        <w:rPr>
          <w:rFonts w:eastAsia="Times New Roman"/>
          <w:lang w:eastAsia="pt-BR"/>
        </w:rPr>
      </w:pPr>
      <w:bookmarkStart w:id="18" w:name="_Toc230204020"/>
      <w:r w:rsidRPr="00B74E01">
        <w:rPr>
          <w:rFonts w:eastAsia="Times New Roman"/>
          <w:lang w:eastAsia="pt-BR"/>
        </w:rPr>
        <w:t>4.1. Problema público enfrentado</w:t>
      </w:r>
      <w:bookmarkEnd w:id="18"/>
    </w:p>
    <w:p w14:paraId="3413CE1C"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O problema econômico e institucional enfrentado pelo Município não é apenas o custo da destinação do RSU. O problema é mais amplo.</w:t>
      </w:r>
    </w:p>
    <w:p w14:paraId="76D6CBC1"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 destinação inadequada dos resíduos sólidos urbanos gera passivos ambientais, riscos sanitários, exposição institucional perante órgãos de controle, </w:t>
      </w:r>
      <w:r w:rsidRPr="00B74E01">
        <w:rPr>
          <w:rFonts w:eastAsia="Times New Roman" w:cs="Arial"/>
          <w:kern w:val="0"/>
          <w:lang w:eastAsia="pt-BR"/>
          <w14:ligatures w14:val="none"/>
        </w:rPr>
        <w:lastRenderedPageBreak/>
        <w:t>possibilidade de responsabilização administrativa e judicial, além de perda de oportunidade de aproveitamento energético e material dos resíduos.</w:t>
      </w:r>
    </w:p>
    <w:p w14:paraId="2953A52C"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contratação de uma PPP busca converter uma obrigação ambiental em uma solução estruturada, fiscalizável e economicamente organizada.</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763"/>
        <w:gridCol w:w="4298"/>
      </w:tblGrid>
      <w:tr w:rsidR="00CF7ABE" w:rsidRPr="00B74E01" w14:paraId="623E9572" w14:textId="77777777" w:rsidTr="0058413D">
        <w:trPr>
          <w:tblHeader/>
          <w:tblCellSpacing w:w="15" w:type="dxa"/>
        </w:trPr>
        <w:tc>
          <w:tcPr>
            <w:tcW w:w="0" w:type="auto"/>
            <w:vAlign w:val="center"/>
            <w:hideMark/>
          </w:tcPr>
          <w:p w14:paraId="08F45EC8" w14:textId="77777777" w:rsidR="00CF7ABE" w:rsidRPr="00B74E01" w:rsidRDefault="00CF7ABE" w:rsidP="002028D1">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Problema atual</w:t>
            </w:r>
          </w:p>
        </w:tc>
        <w:tc>
          <w:tcPr>
            <w:tcW w:w="0" w:type="auto"/>
            <w:vAlign w:val="center"/>
            <w:hideMark/>
          </w:tcPr>
          <w:p w14:paraId="21E4D14F" w14:textId="77777777" w:rsidR="00CF7ABE" w:rsidRPr="00B74E01" w:rsidRDefault="00CF7ABE" w:rsidP="002028D1">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Efeito para o Município</w:t>
            </w:r>
          </w:p>
        </w:tc>
      </w:tr>
      <w:tr w:rsidR="00CF7ABE" w:rsidRPr="00B74E01" w14:paraId="19064966" w14:textId="77777777" w:rsidTr="0058413D">
        <w:trPr>
          <w:tblCellSpacing w:w="15" w:type="dxa"/>
        </w:trPr>
        <w:tc>
          <w:tcPr>
            <w:tcW w:w="0" w:type="auto"/>
            <w:vAlign w:val="center"/>
            <w:hideMark/>
          </w:tcPr>
          <w:p w14:paraId="15F816C6"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Destinação inadequada de RSU</w:t>
            </w:r>
          </w:p>
        </w:tc>
        <w:tc>
          <w:tcPr>
            <w:tcW w:w="0" w:type="auto"/>
            <w:vAlign w:val="center"/>
            <w:hideMark/>
          </w:tcPr>
          <w:p w14:paraId="698E7408"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Passivo ambiental e risco institucional</w:t>
            </w:r>
          </w:p>
        </w:tc>
      </w:tr>
      <w:tr w:rsidR="00CF7ABE" w:rsidRPr="00B74E01" w14:paraId="07E17A0B" w14:textId="77777777" w:rsidTr="0058413D">
        <w:trPr>
          <w:tblCellSpacing w:w="15" w:type="dxa"/>
        </w:trPr>
        <w:tc>
          <w:tcPr>
            <w:tcW w:w="0" w:type="auto"/>
            <w:vAlign w:val="center"/>
            <w:hideMark/>
          </w:tcPr>
          <w:p w14:paraId="213A9683"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Dependência de soluções convencionais</w:t>
            </w:r>
          </w:p>
        </w:tc>
        <w:tc>
          <w:tcPr>
            <w:tcW w:w="0" w:type="auto"/>
            <w:vAlign w:val="center"/>
            <w:hideMark/>
          </w:tcPr>
          <w:p w14:paraId="5FACEBDE"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Baixa geração de valor econômico adicional</w:t>
            </w:r>
          </w:p>
        </w:tc>
      </w:tr>
      <w:tr w:rsidR="00CF7ABE" w:rsidRPr="00B74E01" w14:paraId="59EEEDCA" w14:textId="77777777" w:rsidTr="0058413D">
        <w:trPr>
          <w:tblCellSpacing w:w="15" w:type="dxa"/>
        </w:trPr>
        <w:tc>
          <w:tcPr>
            <w:tcW w:w="0" w:type="auto"/>
            <w:vAlign w:val="center"/>
            <w:hideMark/>
          </w:tcPr>
          <w:p w14:paraId="7013BC07"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Despesa elevada com energia elétrica</w:t>
            </w:r>
          </w:p>
        </w:tc>
        <w:tc>
          <w:tcPr>
            <w:tcW w:w="0" w:type="auto"/>
            <w:vAlign w:val="center"/>
            <w:hideMark/>
          </w:tcPr>
          <w:p w14:paraId="4021560C"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Pressão recorrente sobre o orçamento municipal</w:t>
            </w:r>
          </w:p>
        </w:tc>
      </w:tr>
      <w:tr w:rsidR="00CF7ABE" w:rsidRPr="00B74E01" w14:paraId="5A50A28D" w14:textId="77777777" w:rsidTr="0058413D">
        <w:trPr>
          <w:tblCellSpacing w:w="15" w:type="dxa"/>
        </w:trPr>
        <w:tc>
          <w:tcPr>
            <w:tcW w:w="0" w:type="auto"/>
            <w:vAlign w:val="center"/>
            <w:hideMark/>
          </w:tcPr>
          <w:p w14:paraId="3E2539A5"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Ausência de fonte permanente para políticas ambientais e tecnológicas</w:t>
            </w:r>
          </w:p>
        </w:tc>
        <w:tc>
          <w:tcPr>
            <w:tcW w:w="0" w:type="auto"/>
            <w:vAlign w:val="center"/>
            <w:hideMark/>
          </w:tcPr>
          <w:p w14:paraId="352151EC"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Baixa capacidade de reinvestimento em sustentabilidade</w:t>
            </w:r>
          </w:p>
        </w:tc>
      </w:tr>
      <w:tr w:rsidR="00CF7ABE" w:rsidRPr="00B74E01" w14:paraId="4A6FD4FF" w14:textId="77777777" w:rsidTr="0058413D">
        <w:trPr>
          <w:tblCellSpacing w:w="15" w:type="dxa"/>
        </w:trPr>
        <w:tc>
          <w:tcPr>
            <w:tcW w:w="0" w:type="auto"/>
            <w:vAlign w:val="center"/>
            <w:hideMark/>
          </w:tcPr>
          <w:p w14:paraId="6278D090"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Modelo tradicional de disposição final</w:t>
            </w:r>
          </w:p>
        </w:tc>
        <w:tc>
          <w:tcPr>
            <w:tcW w:w="0" w:type="auto"/>
            <w:vAlign w:val="center"/>
            <w:hideMark/>
          </w:tcPr>
          <w:p w14:paraId="4FE6203E"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Pouca integração com inovação, energia e economia circular</w:t>
            </w:r>
          </w:p>
        </w:tc>
      </w:tr>
    </w:tbl>
    <w:p w14:paraId="3F4B18BF"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PPP proposta busca alterar essa lógica, substituindo uma solução meramente passiva de disposição final por um arranjo econômico integrado, no qual o tratamento do RSU se conecta à disponibilização energética, à potencial valorização de subprodutos e à geração de recursos para políticas públicas ambientais.</w:t>
      </w:r>
    </w:p>
    <w:p w14:paraId="2C99466F" w14:textId="77777777" w:rsidR="00CF7ABE" w:rsidRPr="00B74E01" w:rsidRDefault="00CF7ABE" w:rsidP="002028D1">
      <w:pPr>
        <w:pStyle w:val="Ttulo2"/>
        <w:rPr>
          <w:rFonts w:eastAsia="Times New Roman"/>
          <w:lang w:eastAsia="pt-BR"/>
        </w:rPr>
      </w:pPr>
      <w:bookmarkStart w:id="19" w:name="_Toc230204021"/>
      <w:r w:rsidRPr="00B74E01">
        <w:rPr>
          <w:rFonts w:eastAsia="Times New Roman"/>
          <w:lang w:eastAsia="pt-BR"/>
        </w:rPr>
        <w:t>4.2. Solução econômica proposta</w:t>
      </w:r>
      <w:bookmarkEnd w:id="19"/>
    </w:p>
    <w:p w14:paraId="0F2FCD8B"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solução econômica da PPP se sustenta em dois núcleos.</w:t>
      </w:r>
    </w:p>
    <w:p w14:paraId="37ED1055"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O primeiro núcleo é o </w:t>
      </w:r>
      <w:r w:rsidRPr="00B74E01">
        <w:rPr>
          <w:rFonts w:eastAsia="Times New Roman" w:cs="Arial"/>
          <w:b/>
          <w:bCs/>
          <w:kern w:val="0"/>
          <w:lang w:eastAsia="pt-BR"/>
          <w14:ligatures w14:val="none"/>
        </w:rPr>
        <w:t>núcleo contratual mínimo</w:t>
      </w:r>
      <w:r w:rsidRPr="00B74E01">
        <w:rPr>
          <w:rFonts w:eastAsia="Times New Roman" w:cs="Arial"/>
          <w:kern w:val="0"/>
          <w:lang w:eastAsia="pt-BR"/>
          <w14:ligatures w14:val="none"/>
        </w:rPr>
        <w:t>, composto pelas receitas principais da PPP:</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033"/>
        <w:gridCol w:w="6028"/>
      </w:tblGrid>
      <w:tr w:rsidR="00CF7ABE" w:rsidRPr="00B74E01" w14:paraId="33E80208" w14:textId="77777777" w:rsidTr="0058413D">
        <w:trPr>
          <w:tblHeader/>
          <w:tblCellSpacing w:w="15" w:type="dxa"/>
        </w:trPr>
        <w:tc>
          <w:tcPr>
            <w:tcW w:w="0" w:type="auto"/>
            <w:vAlign w:val="center"/>
            <w:hideMark/>
          </w:tcPr>
          <w:p w14:paraId="1C98679F" w14:textId="77777777" w:rsidR="00CF7ABE" w:rsidRPr="00B74E01" w:rsidRDefault="00CF7ABE" w:rsidP="002028D1">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Receita principal</w:t>
            </w:r>
          </w:p>
        </w:tc>
        <w:tc>
          <w:tcPr>
            <w:tcW w:w="0" w:type="auto"/>
            <w:vAlign w:val="center"/>
            <w:hideMark/>
          </w:tcPr>
          <w:p w14:paraId="1DCBF0F7" w14:textId="77777777" w:rsidR="00CF7ABE" w:rsidRPr="00B74E01" w:rsidRDefault="00CF7ABE" w:rsidP="002028D1">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Função econômica</w:t>
            </w:r>
          </w:p>
        </w:tc>
      </w:tr>
      <w:tr w:rsidR="00CF7ABE" w:rsidRPr="00B74E01" w14:paraId="2FBD503A" w14:textId="77777777" w:rsidTr="0058413D">
        <w:trPr>
          <w:tblCellSpacing w:w="15" w:type="dxa"/>
        </w:trPr>
        <w:tc>
          <w:tcPr>
            <w:tcW w:w="0" w:type="auto"/>
            <w:vAlign w:val="center"/>
            <w:hideMark/>
          </w:tcPr>
          <w:p w14:paraId="66A2BFA0"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Destinação/tratamento de RSU</w:t>
            </w:r>
          </w:p>
        </w:tc>
        <w:tc>
          <w:tcPr>
            <w:tcW w:w="0" w:type="auto"/>
            <w:vAlign w:val="center"/>
            <w:hideMark/>
          </w:tcPr>
          <w:p w14:paraId="0C9E4B59"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Remunerar a SPE pela obrigação de receber, tratar e destinar os resíduos sólidos urbanos, com quantidade mínima contratada de 80 t/dia</w:t>
            </w:r>
          </w:p>
        </w:tc>
      </w:tr>
      <w:tr w:rsidR="00CF7ABE" w:rsidRPr="00B74E01" w14:paraId="22E163B8" w14:textId="77777777" w:rsidTr="0058413D">
        <w:trPr>
          <w:tblCellSpacing w:w="15" w:type="dxa"/>
        </w:trPr>
        <w:tc>
          <w:tcPr>
            <w:tcW w:w="0" w:type="auto"/>
            <w:vAlign w:val="center"/>
            <w:hideMark/>
          </w:tcPr>
          <w:p w14:paraId="0CBB9212"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lastRenderedPageBreak/>
              <w:t>Disponibilização de capacidade energética</w:t>
            </w:r>
          </w:p>
        </w:tc>
        <w:tc>
          <w:tcPr>
            <w:tcW w:w="0" w:type="auto"/>
            <w:vAlign w:val="center"/>
            <w:hideMark/>
          </w:tcPr>
          <w:p w14:paraId="12DF7D94"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Remunerar a SPE pela disponibilização de capacidade de geração energética renovável ao Município, em valor inferior ao desembolso atualmente suportado com energia elétrica</w:t>
            </w:r>
          </w:p>
        </w:tc>
      </w:tr>
    </w:tbl>
    <w:p w14:paraId="3BBB523A"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O segundo núcleo é o </w:t>
      </w:r>
      <w:r w:rsidRPr="00B74E01">
        <w:rPr>
          <w:rFonts w:eastAsia="Times New Roman" w:cs="Arial"/>
          <w:b/>
          <w:bCs/>
          <w:kern w:val="0"/>
          <w:lang w:eastAsia="pt-BR"/>
          <w14:ligatures w14:val="none"/>
        </w:rPr>
        <w:t>núcleo acessório</w:t>
      </w:r>
      <w:r w:rsidRPr="00B74E01">
        <w:rPr>
          <w:rFonts w:eastAsia="Times New Roman" w:cs="Arial"/>
          <w:kern w:val="0"/>
          <w:lang w:eastAsia="pt-BR"/>
          <w14:ligatures w14:val="none"/>
        </w:rPr>
        <w:t>, composto por receitas potenciais decorrentes da exploração econômica de subprodutos e ativos ambientais: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017"/>
        <w:gridCol w:w="6044"/>
      </w:tblGrid>
      <w:tr w:rsidR="00CF7ABE" w:rsidRPr="00B74E01" w14:paraId="437EE6C6" w14:textId="77777777" w:rsidTr="0058413D">
        <w:trPr>
          <w:tblHeader/>
          <w:tblCellSpacing w:w="15" w:type="dxa"/>
        </w:trPr>
        <w:tc>
          <w:tcPr>
            <w:tcW w:w="0" w:type="auto"/>
            <w:vAlign w:val="center"/>
            <w:hideMark/>
          </w:tcPr>
          <w:p w14:paraId="1C4E4062" w14:textId="77777777" w:rsidR="00CF7ABE" w:rsidRPr="00B74E01" w:rsidRDefault="00CF7ABE" w:rsidP="002028D1">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Receita acessória</w:t>
            </w:r>
          </w:p>
        </w:tc>
        <w:tc>
          <w:tcPr>
            <w:tcW w:w="0" w:type="auto"/>
            <w:vAlign w:val="center"/>
            <w:hideMark/>
          </w:tcPr>
          <w:p w14:paraId="0108A3C1" w14:textId="77777777" w:rsidR="00CF7ABE" w:rsidRPr="00B74E01" w:rsidRDefault="00CF7ABE" w:rsidP="002028D1">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Função econômica</w:t>
            </w:r>
          </w:p>
        </w:tc>
      </w:tr>
      <w:tr w:rsidR="00CF7ABE" w:rsidRPr="00B74E01" w14:paraId="7BDDDCB5" w14:textId="77777777" w:rsidTr="0058413D">
        <w:trPr>
          <w:tblCellSpacing w:w="15" w:type="dxa"/>
        </w:trPr>
        <w:tc>
          <w:tcPr>
            <w:tcW w:w="0" w:type="auto"/>
            <w:vAlign w:val="center"/>
            <w:hideMark/>
          </w:tcPr>
          <w:p w14:paraId="76681497" w14:textId="77777777" w:rsidR="00CF7ABE" w:rsidRPr="00B74E01" w:rsidRDefault="00CF7ABE" w:rsidP="002028D1">
            <w:pPr>
              <w:spacing w:after="0" w:line="360" w:lineRule="auto"/>
              <w:rPr>
                <w:rFonts w:eastAsia="Times New Roman" w:cs="Arial"/>
                <w:kern w:val="0"/>
                <w:lang w:eastAsia="pt-BR"/>
                <w14:ligatures w14:val="none"/>
              </w:rPr>
            </w:pPr>
            <w:proofErr w:type="spellStart"/>
            <w:r w:rsidRPr="00B74E01">
              <w:rPr>
                <w:rFonts w:eastAsia="Times New Roman" w:cs="Arial"/>
                <w:kern w:val="0"/>
                <w:lang w:eastAsia="pt-BR"/>
                <w14:ligatures w14:val="none"/>
              </w:rPr>
              <w:t>Biochar</w:t>
            </w:r>
            <w:proofErr w:type="spellEnd"/>
            <w:r w:rsidRPr="00B74E01">
              <w:rPr>
                <w:rFonts w:eastAsia="Times New Roman" w:cs="Arial"/>
                <w:kern w:val="0"/>
                <w:lang w:eastAsia="pt-BR"/>
                <w14:ligatures w14:val="none"/>
              </w:rPr>
              <w:t>/material carbonáceo</w:t>
            </w:r>
          </w:p>
        </w:tc>
        <w:tc>
          <w:tcPr>
            <w:tcW w:w="0" w:type="auto"/>
            <w:vAlign w:val="center"/>
            <w:hideMark/>
          </w:tcPr>
          <w:p w14:paraId="11EAE848"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Incrementar receita da SPE mediante aproveitamento de subproduto</w:t>
            </w:r>
          </w:p>
        </w:tc>
      </w:tr>
      <w:tr w:rsidR="00CF7ABE" w:rsidRPr="00B74E01" w14:paraId="7844E5F4" w14:textId="77777777" w:rsidTr="0058413D">
        <w:trPr>
          <w:tblCellSpacing w:w="15" w:type="dxa"/>
        </w:trPr>
        <w:tc>
          <w:tcPr>
            <w:tcW w:w="0" w:type="auto"/>
            <w:vAlign w:val="center"/>
            <w:hideMark/>
          </w:tcPr>
          <w:p w14:paraId="096901B2"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 xml:space="preserve">Óleo </w:t>
            </w:r>
            <w:proofErr w:type="spellStart"/>
            <w:r w:rsidRPr="00B74E01">
              <w:rPr>
                <w:rFonts w:eastAsia="Times New Roman" w:cs="Arial"/>
                <w:kern w:val="0"/>
                <w:lang w:eastAsia="pt-BR"/>
                <w14:ligatures w14:val="none"/>
              </w:rPr>
              <w:t>pirolítico</w:t>
            </w:r>
            <w:proofErr w:type="spellEnd"/>
            <w:r w:rsidRPr="00B74E01">
              <w:rPr>
                <w:rFonts w:eastAsia="Times New Roman" w:cs="Arial"/>
                <w:kern w:val="0"/>
                <w:lang w:eastAsia="pt-BR"/>
                <w14:ligatures w14:val="none"/>
              </w:rPr>
              <w:t>/extrato líquido</w:t>
            </w:r>
          </w:p>
        </w:tc>
        <w:tc>
          <w:tcPr>
            <w:tcW w:w="0" w:type="auto"/>
            <w:vAlign w:val="center"/>
            <w:hideMark/>
          </w:tcPr>
          <w:p w14:paraId="1C72B98C"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Agregar valor econômico à operação, sujeito a laudo, uso final e mercado</w:t>
            </w:r>
          </w:p>
        </w:tc>
      </w:tr>
      <w:tr w:rsidR="00CF7ABE" w:rsidRPr="00B74E01" w14:paraId="5C74B33F" w14:textId="77777777" w:rsidTr="0058413D">
        <w:trPr>
          <w:tblCellSpacing w:w="15" w:type="dxa"/>
        </w:trPr>
        <w:tc>
          <w:tcPr>
            <w:tcW w:w="0" w:type="auto"/>
            <w:vAlign w:val="center"/>
            <w:hideMark/>
          </w:tcPr>
          <w:p w14:paraId="0636C764"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Créditos de carbono</w:t>
            </w:r>
          </w:p>
        </w:tc>
        <w:tc>
          <w:tcPr>
            <w:tcW w:w="0" w:type="auto"/>
            <w:vAlign w:val="center"/>
            <w:hideMark/>
          </w:tcPr>
          <w:p w14:paraId="7E8C03A4"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Monetizar eventual benefício climático, sujeito a metodologia, certificação e comprador</w:t>
            </w:r>
          </w:p>
        </w:tc>
      </w:tr>
      <w:tr w:rsidR="00CF7ABE" w:rsidRPr="00B74E01" w14:paraId="6168386B" w14:textId="77777777" w:rsidTr="0058413D">
        <w:trPr>
          <w:tblCellSpacing w:w="15" w:type="dxa"/>
        </w:trPr>
        <w:tc>
          <w:tcPr>
            <w:tcW w:w="0" w:type="auto"/>
            <w:vAlign w:val="center"/>
            <w:hideMark/>
          </w:tcPr>
          <w:p w14:paraId="040D5DB8"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Recicláveis eventualmente aproveitáveis</w:t>
            </w:r>
          </w:p>
        </w:tc>
        <w:tc>
          <w:tcPr>
            <w:tcW w:w="0" w:type="auto"/>
            <w:vAlign w:val="center"/>
            <w:hideMark/>
          </w:tcPr>
          <w:p w14:paraId="0FD1098E"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 acessória potencial adicional, condicionada à triagem, qualidade, volume e mercado comprador</w:t>
            </w:r>
          </w:p>
        </w:tc>
      </w:tr>
      <w:tr w:rsidR="00CF7ABE" w:rsidRPr="00B74E01" w14:paraId="6C0B074E" w14:textId="77777777" w:rsidTr="0058413D">
        <w:trPr>
          <w:tblCellSpacing w:w="15" w:type="dxa"/>
        </w:trPr>
        <w:tc>
          <w:tcPr>
            <w:tcW w:w="0" w:type="auto"/>
            <w:vAlign w:val="center"/>
            <w:hideMark/>
          </w:tcPr>
          <w:p w14:paraId="764944AC"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Outros ativos econômicos admitidos</w:t>
            </w:r>
          </w:p>
        </w:tc>
        <w:tc>
          <w:tcPr>
            <w:tcW w:w="0" w:type="auto"/>
            <w:vAlign w:val="center"/>
            <w:hideMark/>
          </w:tcPr>
          <w:p w14:paraId="73DC7896"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Ampliar a atratividade do projeto, desde que compatíveis com o contrato e a legislação</w:t>
            </w:r>
          </w:p>
        </w:tc>
      </w:tr>
    </w:tbl>
    <w:p w14:paraId="7E241C11"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separação entre esses dois núcleos é essencial. O projeto deve demonstrar que possui base mínima de sustentação com as receitas principais contratadas, enquanto as receitas acessórias devem ser tratadas como fator de fortalecimento econômico, e não como garantia absoluta de viabilidade.</w:t>
      </w:r>
    </w:p>
    <w:p w14:paraId="52AF5417" w14:textId="77777777" w:rsidR="00CF7ABE" w:rsidRPr="00B74E01" w:rsidRDefault="00CF7ABE" w:rsidP="002028D1">
      <w:pPr>
        <w:pStyle w:val="Ttulo2"/>
        <w:rPr>
          <w:rFonts w:eastAsia="Times New Roman"/>
          <w:lang w:eastAsia="pt-BR"/>
        </w:rPr>
      </w:pPr>
      <w:bookmarkStart w:id="20" w:name="_Toc230204022"/>
      <w:r w:rsidRPr="00B74E01">
        <w:rPr>
          <w:rFonts w:eastAsia="Times New Roman"/>
          <w:lang w:eastAsia="pt-BR"/>
        </w:rPr>
        <w:t>4.3. Economia energética como vetor de custeio ambiental</w:t>
      </w:r>
      <w:bookmarkEnd w:id="20"/>
    </w:p>
    <w:p w14:paraId="2B39E9E6"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O ponto central da lógica econômica é a comparação entre a economia estimada com energia elétrica e o custo mensal da destinação/tratamento do RSU.</w:t>
      </w:r>
    </w:p>
    <w:p w14:paraId="67CED37A"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lastRenderedPageBreak/>
        <w:t xml:space="preserve">No cenário-base, a modelagem adota tarifa de destinação de </w:t>
      </w:r>
      <w:r w:rsidRPr="00B74E01">
        <w:rPr>
          <w:rFonts w:eastAsia="Times New Roman" w:cs="Arial"/>
          <w:b/>
          <w:bCs/>
          <w:kern w:val="0"/>
          <w:lang w:eastAsia="pt-BR"/>
          <w14:ligatures w14:val="none"/>
        </w:rPr>
        <w:t>R$ 95,00/t</w:t>
      </w:r>
      <w:r w:rsidRPr="00B74E01">
        <w:rPr>
          <w:rFonts w:eastAsia="Times New Roman" w:cs="Arial"/>
          <w:kern w:val="0"/>
          <w:lang w:eastAsia="pt-BR"/>
          <w14:ligatures w14:val="none"/>
        </w:rPr>
        <w:t xml:space="preserve"> e quantidade mínima contratada de </w:t>
      </w:r>
      <w:r w:rsidRPr="00B74E01">
        <w:rPr>
          <w:rFonts w:eastAsia="Times New Roman" w:cs="Arial"/>
          <w:b/>
          <w:bCs/>
          <w:kern w:val="0"/>
          <w:lang w:eastAsia="pt-BR"/>
          <w14:ligatures w14:val="none"/>
        </w:rPr>
        <w:t>80 t/dia</w:t>
      </w:r>
      <w:r w:rsidRPr="00B74E01">
        <w:rPr>
          <w:rFonts w:eastAsia="Times New Roman" w:cs="Arial"/>
          <w:kern w:val="0"/>
          <w:lang w:eastAsia="pt-BR"/>
          <w14:ligatures w14:val="none"/>
        </w:rPr>
        <w:t>.</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540"/>
        <w:gridCol w:w="1653"/>
        <w:gridCol w:w="1868"/>
      </w:tblGrid>
      <w:tr w:rsidR="00CF7ABE" w:rsidRPr="00B74E01" w14:paraId="0BC61035" w14:textId="77777777" w:rsidTr="0058413D">
        <w:trPr>
          <w:tblHeader/>
          <w:tblCellSpacing w:w="15" w:type="dxa"/>
        </w:trPr>
        <w:tc>
          <w:tcPr>
            <w:tcW w:w="0" w:type="auto"/>
            <w:vAlign w:val="center"/>
            <w:hideMark/>
          </w:tcPr>
          <w:p w14:paraId="0493CEA2" w14:textId="77777777" w:rsidR="00CF7ABE" w:rsidRPr="00B74E01" w:rsidRDefault="00CF7ABE" w:rsidP="002028D1">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Item</w:t>
            </w:r>
          </w:p>
        </w:tc>
        <w:tc>
          <w:tcPr>
            <w:tcW w:w="0" w:type="auto"/>
            <w:vAlign w:val="center"/>
            <w:hideMark/>
          </w:tcPr>
          <w:p w14:paraId="356AD220" w14:textId="77777777" w:rsidR="00CF7ABE" w:rsidRPr="00B74E01" w:rsidRDefault="00CF7ABE" w:rsidP="002028D1">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Valor mensal</w:t>
            </w:r>
          </w:p>
        </w:tc>
        <w:tc>
          <w:tcPr>
            <w:tcW w:w="0" w:type="auto"/>
            <w:vAlign w:val="center"/>
            <w:hideMark/>
          </w:tcPr>
          <w:p w14:paraId="5E0BF515" w14:textId="77777777" w:rsidR="00CF7ABE" w:rsidRPr="00B74E01" w:rsidRDefault="00CF7ABE" w:rsidP="002028D1">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Valor anual</w:t>
            </w:r>
          </w:p>
        </w:tc>
      </w:tr>
      <w:tr w:rsidR="00CF7ABE" w:rsidRPr="00B74E01" w14:paraId="621BA427" w14:textId="77777777" w:rsidTr="0058413D">
        <w:trPr>
          <w:tblCellSpacing w:w="15" w:type="dxa"/>
        </w:trPr>
        <w:tc>
          <w:tcPr>
            <w:tcW w:w="0" w:type="auto"/>
            <w:vAlign w:val="center"/>
            <w:hideMark/>
          </w:tcPr>
          <w:p w14:paraId="4868721B" w14:textId="77777777" w:rsidR="00CF7ABE" w:rsidRPr="00B74E01" w:rsidRDefault="00CF7ABE" w:rsidP="002028D1">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Economia estimada com energia elétrica</w:t>
            </w:r>
          </w:p>
        </w:tc>
        <w:tc>
          <w:tcPr>
            <w:tcW w:w="0" w:type="auto"/>
            <w:vAlign w:val="center"/>
            <w:hideMark/>
          </w:tcPr>
          <w:p w14:paraId="69EE6021" w14:textId="77777777" w:rsidR="00CF7ABE" w:rsidRPr="00B74E01" w:rsidRDefault="00CF7ABE" w:rsidP="002028D1">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R$ 255.835,21</w:t>
            </w:r>
          </w:p>
        </w:tc>
        <w:tc>
          <w:tcPr>
            <w:tcW w:w="0" w:type="auto"/>
            <w:vAlign w:val="center"/>
            <w:hideMark/>
          </w:tcPr>
          <w:p w14:paraId="78EAC886" w14:textId="77777777" w:rsidR="00CF7ABE" w:rsidRPr="00B74E01" w:rsidRDefault="00CF7ABE" w:rsidP="002028D1">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R$ 3.070.022,52</w:t>
            </w:r>
          </w:p>
        </w:tc>
      </w:tr>
      <w:tr w:rsidR="00CF7ABE" w:rsidRPr="00B74E01" w14:paraId="172F21A5" w14:textId="77777777" w:rsidTr="0058413D">
        <w:trPr>
          <w:tblCellSpacing w:w="15" w:type="dxa"/>
        </w:trPr>
        <w:tc>
          <w:tcPr>
            <w:tcW w:w="0" w:type="auto"/>
            <w:vAlign w:val="center"/>
            <w:hideMark/>
          </w:tcPr>
          <w:p w14:paraId="59756686" w14:textId="77777777" w:rsidR="00CF7ABE" w:rsidRPr="00B74E01" w:rsidRDefault="00CF7ABE" w:rsidP="002028D1">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Custo da destinação/tratamento do RSU — R$ 95/t</w:t>
            </w:r>
          </w:p>
        </w:tc>
        <w:tc>
          <w:tcPr>
            <w:tcW w:w="0" w:type="auto"/>
            <w:vAlign w:val="center"/>
            <w:hideMark/>
          </w:tcPr>
          <w:p w14:paraId="07EB1446" w14:textId="77777777" w:rsidR="00CF7ABE" w:rsidRPr="00B74E01" w:rsidRDefault="00CF7ABE" w:rsidP="002028D1">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R$ 231.166,67</w:t>
            </w:r>
          </w:p>
        </w:tc>
        <w:tc>
          <w:tcPr>
            <w:tcW w:w="0" w:type="auto"/>
            <w:vAlign w:val="center"/>
            <w:hideMark/>
          </w:tcPr>
          <w:p w14:paraId="607582FE" w14:textId="77777777" w:rsidR="00CF7ABE" w:rsidRPr="00B74E01" w:rsidRDefault="00CF7ABE" w:rsidP="002028D1">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R$ 2.774.000,00</w:t>
            </w:r>
          </w:p>
        </w:tc>
      </w:tr>
      <w:tr w:rsidR="00CF7ABE" w:rsidRPr="00B74E01" w14:paraId="74BCB232" w14:textId="77777777" w:rsidTr="0058413D">
        <w:trPr>
          <w:tblCellSpacing w:w="15" w:type="dxa"/>
        </w:trPr>
        <w:tc>
          <w:tcPr>
            <w:tcW w:w="0" w:type="auto"/>
            <w:vAlign w:val="center"/>
            <w:hideMark/>
          </w:tcPr>
          <w:p w14:paraId="062A627B" w14:textId="77777777" w:rsidR="00CF7ABE" w:rsidRPr="00B74E01" w:rsidRDefault="00CF7ABE" w:rsidP="002028D1">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Saldo positivo estimado ao Município</w:t>
            </w:r>
          </w:p>
        </w:tc>
        <w:tc>
          <w:tcPr>
            <w:tcW w:w="0" w:type="auto"/>
            <w:vAlign w:val="center"/>
            <w:hideMark/>
          </w:tcPr>
          <w:p w14:paraId="2310AA41" w14:textId="77777777" w:rsidR="00CF7ABE" w:rsidRPr="00B74E01" w:rsidRDefault="00CF7ABE" w:rsidP="002028D1">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R$ 24.668,54</w:t>
            </w:r>
          </w:p>
        </w:tc>
        <w:tc>
          <w:tcPr>
            <w:tcW w:w="0" w:type="auto"/>
            <w:vAlign w:val="center"/>
            <w:hideMark/>
          </w:tcPr>
          <w:p w14:paraId="51604179" w14:textId="77777777" w:rsidR="00CF7ABE" w:rsidRPr="00B74E01" w:rsidRDefault="00CF7ABE" w:rsidP="002028D1">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R$ 296.022,52</w:t>
            </w:r>
          </w:p>
        </w:tc>
      </w:tr>
    </w:tbl>
    <w:p w14:paraId="060D0FF2"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Essa relação demonstra que, no cenário-base, a economia energética </w:t>
      </w:r>
      <w:proofErr w:type="gramStart"/>
      <w:r w:rsidRPr="00B74E01">
        <w:rPr>
          <w:rFonts w:eastAsia="Times New Roman" w:cs="Arial"/>
          <w:kern w:val="0"/>
          <w:lang w:eastAsia="pt-BR"/>
          <w14:ligatures w14:val="none"/>
        </w:rPr>
        <w:t>estimada cobre</w:t>
      </w:r>
      <w:proofErr w:type="gramEnd"/>
      <w:r w:rsidRPr="00B74E01">
        <w:rPr>
          <w:rFonts w:eastAsia="Times New Roman" w:cs="Arial"/>
          <w:kern w:val="0"/>
          <w:lang w:eastAsia="pt-BR"/>
          <w14:ligatures w14:val="none"/>
        </w:rPr>
        <w:t xml:space="preserve"> integralmente o custo da destinação/tratamento do RSU e ainda gera saldo positivo.</w:t>
      </w:r>
    </w:p>
    <w:p w14:paraId="3E295A0E"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Entretanto, essa tese deve ser apresentada com cuidado técnico. A vantajosidade da PPP não deve depender apenas da frase “a economia de energia paga o lixo”. Essa frase é útil como síntese política, mas é insuficiente como demonstração econômico-jurídica.</w:t>
      </w:r>
    </w:p>
    <w:p w14:paraId="5370AC31"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defesa adequada deve afirmar que a PPP gera vantajosidade porque:</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390"/>
        <w:gridCol w:w="7671"/>
      </w:tblGrid>
      <w:tr w:rsidR="00CF7ABE" w:rsidRPr="00B74E01" w14:paraId="437AFFE6" w14:textId="77777777" w:rsidTr="0058413D">
        <w:trPr>
          <w:tblHeader/>
          <w:tblCellSpacing w:w="15" w:type="dxa"/>
        </w:trPr>
        <w:tc>
          <w:tcPr>
            <w:tcW w:w="0" w:type="auto"/>
            <w:vAlign w:val="center"/>
            <w:hideMark/>
          </w:tcPr>
          <w:p w14:paraId="248ABD3A" w14:textId="77777777" w:rsidR="00CF7ABE" w:rsidRPr="00B74E01" w:rsidRDefault="00CF7ABE" w:rsidP="002028D1">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Dimensão</w:t>
            </w:r>
          </w:p>
        </w:tc>
        <w:tc>
          <w:tcPr>
            <w:tcW w:w="0" w:type="auto"/>
            <w:vAlign w:val="center"/>
            <w:hideMark/>
          </w:tcPr>
          <w:p w14:paraId="798A2359" w14:textId="77777777" w:rsidR="00CF7ABE" w:rsidRPr="00B74E01" w:rsidRDefault="00CF7ABE" w:rsidP="002028D1">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Ganho esperado</w:t>
            </w:r>
          </w:p>
        </w:tc>
      </w:tr>
      <w:tr w:rsidR="00CF7ABE" w:rsidRPr="00B74E01" w14:paraId="7417EC43" w14:textId="77777777" w:rsidTr="0058413D">
        <w:trPr>
          <w:tblCellSpacing w:w="15" w:type="dxa"/>
        </w:trPr>
        <w:tc>
          <w:tcPr>
            <w:tcW w:w="0" w:type="auto"/>
            <w:vAlign w:val="center"/>
            <w:hideMark/>
          </w:tcPr>
          <w:p w14:paraId="60B7EA0D"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Financeira</w:t>
            </w:r>
          </w:p>
        </w:tc>
        <w:tc>
          <w:tcPr>
            <w:tcW w:w="0" w:type="auto"/>
            <w:vAlign w:val="center"/>
            <w:hideMark/>
          </w:tcPr>
          <w:p w14:paraId="0A9AEA37"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Reduz despesa energética e contribui para custear a destinação do RSU</w:t>
            </w:r>
          </w:p>
        </w:tc>
      </w:tr>
      <w:tr w:rsidR="00CF7ABE" w:rsidRPr="00B74E01" w14:paraId="39AF1129" w14:textId="77777777" w:rsidTr="0058413D">
        <w:trPr>
          <w:tblCellSpacing w:w="15" w:type="dxa"/>
        </w:trPr>
        <w:tc>
          <w:tcPr>
            <w:tcW w:w="0" w:type="auto"/>
            <w:vAlign w:val="center"/>
            <w:hideMark/>
          </w:tcPr>
          <w:p w14:paraId="54CFAD97"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Ambiental</w:t>
            </w:r>
          </w:p>
        </w:tc>
        <w:tc>
          <w:tcPr>
            <w:tcW w:w="0" w:type="auto"/>
            <w:vAlign w:val="center"/>
            <w:hideMark/>
          </w:tcPr>
          <w:p w14:paraId="3E435F62"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Substitui destinação inadequada por solução industrial licenciável e fiscalizável</w:t>
            </w:r>
          </w:p>
        </w:tc>
      </w:tr>
      <w:tr w:rsidR="00CF7ABE" w:rsidRPr="00B74E01" w14:paraId="153B7E96" w14:textId="77777777" w:rsidTr="0058413D">
        <w:trPr>
          <w:tblCellSpacing w:w="15" w:type="dxa"/>
        </w:trPr>
        <w:tc>
          <w:tcPr>
            <w:tcW w:w="0" w:type="auto"/>
            <w:vAlign w:val="center"/>
            <w:hideMark/>
          </w:tcPr>
          <w:p w14:paraId="0C323494"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Sanitária</w:t>
            </w:r>
          </w:p>
        </w:tc>
        <w:tc>
          <w:tcPr>
            <w:tcW w:w="0" w:type="auto"/>
            <w:vAlign w:val="center"/>
            <w:hideMark/>
          </w:tcPr>
          <w:p w14:paraId="7D17CDB4"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Reduz riscos associados à disposição inadequada de resíduos</w:t>
            </w:r>
          </w:p>
        </w:tc>
      </w:tr>
      <w:tr w:rsidR="00CF7ABE" w:rsidRPr="00B74E01" w14:paraId="431DC2E7" w14:textId="77777777" w:rsidTr="0058413D">
        <w:trPr>
          <w:tblCellSpacing w:w="15" w:type="dxa"/>
        </w:trPr>
        <w:tc>
          <w:tcPr>
            <w:tcW w:w="0" w:type="auto"/>
            <w:vAlign w:val="center"/>
            <w:hideMark/>
          </w:tcPr>
          <w:p w14:paraId="2673EE46"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Institucional</w:t>
            </w:r>
          </w:p>
        </w:tc>
        <w:tc>
          <w:tcPr>
            <w:tcW w:w="0" w:type="auto"/>
            <w:vAlign w:val="center"/>
            <w:hideMark/>
          </w:tcPr>
          <w:p w14:paraId="4888CC98"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Diminui exposição a passivos ambientais e questionamentos de controle</w:t>
            </w:r>
          </w:p>
        </w:tc>
      </w:tr>
      <w:tr w:rsidR="00CF7ABE" w:rsidRPr="00B74E01" w14:paraId="6A1314B5" w14:textId="77777777" w:rsidTr="0058413D">
        <w:trPr>
          <w:tblCellSpacing w:w="15" w:type="dxa"/>
        </w:trPr>
        <w:tc>
          <w:tcPr>
            <w:tcW w:w="0" w:type="auto"/>
            <w:vAlign w:val="center"/>
            <w:hideMark/>
          </w:tcPr>
          <w:p w14:paraId="67CAF008"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Operacional</w:t>
            </w:r>
          </w:p>
        </w:tc>
        <w:tc>
          <w:tcPr>
            <w:tcW w:w="0" w:type="auto"/>
            <w:vAlign w:val="center"/>
            <w:hideMark/>
          </w:tcPr>
          <w:p w14:paraId="6F67541F"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Estrutura obrigação de desempenho, fiscalização e indicadores</w:t>
            </w:r>
          </w:p>
        </w:tc>
      </w:tr>
      <w:tr w:rsidR="00CF7ABE" w:rsidRPr="00B74E01" w14:paraId="6D010EB0" w14:textId="77777777" w:rsidTr="0058413D">
        <w:trPr>
          <w:tblCellSpacing w:w="15" w:type="dxa"/>
        </w:trPr>
        <w:tc>
          <w:tcPr>
            <w:tcW w:w="0" w:type="auto"/>
            <w:vAlign w:val="center"/>
            <w:hideMark/>
          </w:tcPr>
          <w:p w14:paraId="790E4FDF"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Econômica</w:t>
            </w:r>
          </w:p>
        </w:tc>
        <w:tc>
          <w:tcPr>
            <w:tcW w:w="0" w:type="auto"/>
            <w:vAlign w:val="center"/>
            <w:hideMark/>
          </w:tcPr>
          <w:p w14:paraId="351B2256"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Atrai investimento privado e potencializa receitas acessórias</w:t>
            </w:r>
          </w:p>
        </w:tc>
      </w:tr>
      <w:tr w:rsidR="00CF7ABE" w:rsidRPr="00B74E01" w14:paraId="622CC00A" w14:textId="77777777" w:rsidTr="0058413D">
        <w:trPr>
          <w:tblCellSpacing w:w="15" w:type="dxa"/>
        </w:trPr>
        <w:tc>
          <w:tcPr>
            <w:tcW w:w="0" w:type="auto"/>
            <w:vAlign w:val="center"/>
            <w:hideMark/>
          </w:tcPr>
          <w:p w14:paraId="5C9D60C9"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Tecnológica</w:t>
            </w:r>
          </w:p>
        </w:tc>
        <w:tc>
          <w:tcPr>
            <w:tcW w:w="0" w:type="auto"/>
            <w:vAlign w:val="center"/>
            <w:hideMark/>
          </w:tcPr>
          <w:p w14:paraId="1C96D9C3"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Integra tratamento de RSU, energia e valorização de subprodutos</w:t>
            </w:r>
          </w:p>
        </w:tc>
      </w:tr>
      <w:tr w:rsidR="00CF7ABE" w:rsidRPr="00B74E01" w14:paraId="21C5F6BD" w14:textId="77777777" w:rsidTr="0058413D">
        <w:trPr>
          <w:tblCellSpacing w:w="15" w:type="dxa"/>
        </w:trPr>
        <w:tc>
          <w:tcPr>
            <w:tcW w:w="0" w:type="auto"/>
            <w:vAlign w:val="center"/>
            <w:hideMark/>
          </w:tcPr>
          <w:p w14:paraId="69D0344B"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Pública</w:t>
            </w:r>
          </w:p>
        </w:tc>
        <w:tc>
          <w:tcPr>
            <w:tcW w:w="0" w:type="auto"/>
            <w:vAlign w:val="center"/>
            <w:hideMark/>
          </w:tcPr>
          <w:p w14:paraId="73731A54"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Cria potencial de recursos ao Fundo Municipal de Meio Ambiente e Tecnologia Pública</w:t>
            </w:r>
          </w:p>
        </w:tc>
      </w:tr>
    </w:tbl>
    <w:p w14:paraId="4608D774" w14:textId="77777777" w:rsidR="00CF7ABE" w:rsidRPr="00B74E01" w:rsidRDefault="00CF7ABE" w:rsidP="002028D1">
      <w:pPr>
        <w:pStyle w:val="Ttulo2"/>
        <w:rPr>
          <w:rFonts w:eastAsia="Times New Roman"/>
          <w:lang w:eastAsia="pt-BR"/>
        </w:rPr>
      </w:pPr>
      <w:bookmarkStart w:id="21" w:name="_Toc230204023"/>
      <w:r w:rsidRPr="00B74E01">
        <w:rPr>
          <w:rFonts w:eastAsia="Times New Roman"/>
          <w:lang w:eastAsia="pt-BR"/>
        </w:rPr>
        <w:lastRenderedPageBreak/>
        <w:t>4.4. Comparação com destinação convencional em aterro sanitário</w:t>
      </w:r>
      <w:bookmarkEnd w:id="21"/>
    </w:p>
    <w:p w14:paraId="5C3E606B"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 referência regional de destinação de RSU entre </w:t>
      </w:r>
      <w:r w:rsidRPr="00B74E01">
        <w:rPr>
          <w:rFonts w:eastAsia="Times New Roman" w:cs="Arial"/>
          <w:b/>
          <w:bCs/>
          <w:kern w:val="0"/>
          <w:lang w:eastAsia="pt-BR"/>
          <w14:ligatures w14:val="none"/>
        </w:rPr>
        <w:t>R$ 95/t e R$ 140/t</w:t>
      </w:r>
      <w:r w:rsidRPr="00B74E01">
        <w:rPr>
          <w:rFonts w:eastAsia="Times New Roman" w:cs="Arial"/>
          <w:kern w:val="0"/>
          <w:lang w:eastAsia="pt-BR"/>
          <w14:ligatures w14:val="none"/>
        </w:rPr>
        <w:t xml:space="preserve"> é importante para a licitação porque oferece parâmetro de mercado.</w:t>
      </w:r>
    </w:p>
    <w:p w14:paraId="6005DC8F"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Ocorre que, em muitos casos, esses valores estão associados à destinação convencional em aterros sanitários, que podem cumprir a função de disposição final, mas normalmente não entregam ao Município os benefícios integrados previstos nesta PPP.</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579"/>
        <w:gridCol w:w="2427"/>
        <w:gridCol w:w="3055"/>
      </w:tblGrid>
      <w:tr w:rsidR="00CF7ABE" w:rsidRPr="00B74E01" w14:paraId="06E1BDAA" w14:textId="77777777" w:rsidTr="0058413D">
        <w:trPr>
          <w:tblHeader/>
          <w:tblCellSpacing w:w="15" w:type="dxa"/>
        </w:trPr>
        <w:tc>
          <w:tcPr>
            <w:tcW w:w="0" w:type="auto"/>
            <w:vAlign w:val="center"/>
            <w:hideMark/>
          </w:tcPr>
          <w:p w14:paraId="5BEB452C" w14:textId="77777777" w:rsidR="00CF7ABE" w:rsidRPr="00B74E01" w:rsidRDefault="00CF7ABE" w:rsidP="002028D1">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Aspecto comparativo</w:t>
            </w:r>
          </w:p>
        </w:tc>
        <w:tc>
          <w:tcPr>
            <w:tcW w:w="0" w:type="auto"/>
            <w:vAlign w:val="center"/>
            <w:hideMark/>
          </w:tcPr>
          <w:p w14:paraId="6BC9800C" w14:textId="77777777" w:rsidR="00CF7ABE" w:rsidRPr="00B74E01" w:rsidRDefault="00CF7ABE" w:rsidP="002028D1">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Aterro sanitário convencional</w:t>
            </w:r>
          </w:p>
        </w:tc>
        <w:tc>
          <w:tcPr>
            <w:tcW w:w="0" w:type="auto"/>
            <w:vAlign w:val="center"/>
            <w:hideMark/>
          </w:tcPr>
          <w:p w14:paraId="2C424F1C" w14:textId="77777777" w:rsidR="00CF7ABE" w:rsidRPr="00B74E01" w:rsidRDefault="00CF7ABE" w:rsidP="002028D1">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PPP proposta</w:t>
            </w:r>
          </w:p>
        </w:tc>
      </w:tr>
      <w:tr w:rsidR="00CF7ABE" w:rsidRPr="00B74E01" w14:paraId="450C5081" w14:textId="77777777" w:rsidTr="0058413D">
        <w:trPr>
          <w:tblCellSpacing w:w="15" w:type="dxa"/>
        </w:trPr>
        <w:tc>
          <w:tcPr>
            <w:tcW w:w="0" w:type="auto"/>
            <w:vAlign w:val="center"/>
            <w:hideMark/>
          </w:tcPr>
          <w:p w14:paraId="1D35EA18"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Destinação formal do RSU</w:t>
            </w:r>
          </w:p>
        </w:tc>
        <w:tc>
          <w:tcPr>
            <w:tcW w:w="0" w:type="auto"/>
            <w:vAlign w:val="center"/>
            <w:hideMark/>
          </w:tcPr>
          <w:p w14:paraId="38624B33"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Sim</w:t>
            </w:r>
          </w:p>
        </w:tc>
        <w:tc>
          <w:tcPr>
            <w:tcW w:w="0" w:type="auto"/>
            <w:vAlign w:val="center"/>
            <w:hideMark/>
          </w:tcPr>
          <w:p w14:paraId="2DEBAB03"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Sim</w:t>
            </w:r>
          </w:p>
        </w:tc>
      </w:tr>
      <w:tr w:rsidR="00CF7ABE" w:rsidRPr="00B74E01" w14:paraId="49B144F3" w14:textId="77777777" w:rsidTr="0058413D">
        <w:trPr>
          <w:tblCellSpacing w:w="15" w:type="dxa"/>
        </w:trPr>
        <w:tc>
          <w:tcPr>
            <w:tcW w:w="0" w:type="auto"/>
            <w:vAlign w:val="center"/>
            <w:hideMark/>
          </w:tcPr>
          <w:p w14:paraId="04794A78"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Redução da conta de energia municipal</w:t>
            </w:r>
          </w:p>
        </w:tc>
        <w:tc>
          <w:tcPr>
            <w:tcW w:w="0" w:type="auto"/>
            <w:vAlign w:val="center"/>
            <w:hideMark/>
          </w:tcPr>
          <w:p w14:paraId="3C2A9CC2"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Não</w:t>
            </w:r>
          </w:p>
        </w:tc>
        <w:tc>
          <w:tcPr>
            <w:tcW w:w="0" w:type="auto"/>
            <w:vAlign w:val="center"/>
            <w:hideMark/>
          </w:tcPr>
          <w:p w14:paraId="49CC9D09"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Sim</w:t>
            </w:r>
          </w:p>
        </w:tc>
      </w:tr>
      <w:tr w:rsidR="00CF7ABE" w:rsidRPr="00B74E01" w14:paraId="58D8EB19" w14:textId="77777777" w:rsidTr="0058413D">
        <w:trPr>
          <w:tblCellSpacing w:w="15" w:type="dxa"/>
        </w:trPr>
        <w:tc>
          <w:tcPr>
            <w:tcW w:w="0" w:type="auto"/>
            <w:vAlign w:val="center"/>
            <w:hideMark/>
          </w:tcPr>
          <w:p w14:paraId="30AF0096"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Disponibilização de capacidade energética renovável</w:t>
            </w:r>
          </w:p>
        </w:tc>
        <w:tc>
          <w:tcPr>
            <w:tcW w:w="0" w:type="auto"/>
            <w:vAlign w:val="center"/>
            <w:hideMark/>
          </w:tcPr>
          <w:p w14:paraId="44B639F5"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Não</w:t>
            </w:r>
          </w:p>
        </w:tc>
        <w:tc>
          <w:tcPr>
            <w:tcW w:w="0" w:type="auto"/>
            <w:vAlign w:val="center"/>
            <w:hideMark/>
          </w:tcPr>
          <w:p w14:paraId="1DDA4013"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Sim</w:t>
            </w:r>
          </w:p>
        </w:tc>
      </w:tr>
      <w:tr w:rsidR="00CF7ABE" w:rsidRPr="00B74E01" w14:paraId="55C71E2D" w14:textId="77777777" w:rsidTr="0058413D">
        <w:trPr>
          <w:tblCellSpacing w:w="15" w:type="dxa"/>
        </w:trPr>
        <w:tc>
          <w:tcPr>
            <w:tcW w:w="0" w:type="auto"/>
            <w:vAlign w:val="center"/>
            <w:hideMark/>
          </w:tcPr>
          <w:p w14:paraId="14C001E4"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Valorização de subprodutos</w:t>
            </w:r>
          </w:p>
        </w:tc>
        <w:tc>
          <w:tcPr>
            <w:tcW w:w="0" w:type="auto"/>
            <w:vAlign w:val="center"/>
            <w:hideMark/>
          </w:tcPr>
          <w:p w14:paraId="25153935"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Limitada ou inexistente</w:t>
            </w:r>
          </w:p>
        </w:tc>
        <w:tc>
          <w:tcPr>
            <w:tcW w:w="0" w:type="auto"/>
            <w:vAlign w:val="center"/>
            <w:hideMark/>
          </w:tcPr>
          <w:p w14:paraId="3A4074A1"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Sim, conforme viabilidade técnica e comercial</w:t>
            </w:r>
          </w:p>
        </w:tc>
      </w:tr>
      <w:tr w:rsidR="00CF7ABE" w:rsidRPr="00B74E01" w14:paraId="0C562E8B" w14:textId="77777777" w:rsidTr="0058413D">
        <w:trPr>
          <w:tblCellSpacing w:w="15" w:type="dxa"/>
        </w:trPr>
        <w:tc>
          <w:tcPr>
            <w:tcW w:w="0" w:type="auto"/>
            <w:vAlign w:val="center"/>
            <w:hideMark/>
          </w:tcPr>
          <w:p w14:paraId="52DD8E72"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 acessória potencial</w:t>
            </w:r>
          </w:p>
        </w:tc>
        <w:tc>
          <w:tcPr>
            <w:tcW w:w="0" w:type="auto"/>
            <w:vAlign w:val="center"/>
            <w:hideMark/>
          </w:tcPr>
          <w:p w14:paraId="18AE8D0C"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Em regra, restrita</w:t>
            </w:r>
          </w:p>
        </w:tc>
        <w:tc>
          <w:tcPr>
            <w:tcW w:w="0" w:type="auto"/>
            <w:vAlign w:val="center"/>
            <w:hideMark/>
          </w:tcPr>
          <w:p w14:paraId="7B65D2D5"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Sim</w:t>
            </w:r>
          </w:p>
        </w:tc>
      </w:tr>
      <w:tr w:rsidR="00CF7ABE" w:rsidRPr="00B74E01" w14:paraId="6BA23BDB" w14:textId="77777777" w:rsidTr="0058413D">
        <w:trPr>
          <w:tblCellSpacing w:w="15" w:type="dxa"/>
        </w:trPr>
        <w:tc>
          <w:tcPr>
            <w:tcW w:w="0" w:type="auto"/>
            <w:vAlign w:val="center"/>
            <w:hideMark/>
          </w:tcPr>
          <w:p w14:paraId="61443308"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Repasse ao Fundo Municipal</w:t>
            </w:r>
          </w:p>
        </w:tc>
        <w:tc>
          <w:tcPr>
            <w:tcW w:w="0" w:type="auto"/>
            <w:vAlign w:val="center"/>
            <w:hideMark/>
          </w:tcPr>
          <w:p w14:paraId="10669E04"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Em regra, inexistente</w:t>
            </w:r>
          </w:p>
        </w:tc>
        <w:tc>
          <w:tcPr>
            <w:tcW w:w="0" w:type="auto"/>
            <w:vAlign w:val="center"/>
            <w:hideMark/>
          </w:tcPr>
          <w:p w14:paraId="4BC8A657"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Sim, conforme modelagem</w:t>
            </w:r>
          </w:p>
        </w:tc>
      </w:tr>
      <w:tr w:rsidR="00CF7ABE" w:rsidRPr="00B74E01" w14:paraId="607EE4F3" w14:textId="77777777" w:rsidTr="0058413D">
        <w:trPr>
          <w:tblCellSpacing w:w="15" w:type="dxa"/>
        </w:trPr>
        <w:tc>
          <w:tcPr>
            <w:tcW w:w="0" w:type="auto"/>
            <w:vAlign w:val="center"/>
            <w:hideMark/>
          </w:tcPr>
          <w:p w14:paraId="49DF421C"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Integração tecnológica</w:t>
            </w:r>
          </w:p>
        </w:tc>
        <w:tc>
          <w:tcPr>
            <w:tcW w:w="0" w:type="auto"/>
            <w:vAlign w:val="center"/>
            <w:hideMark/>
          </w:tcPr>
          <w:p w14:paraId="14F80843"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Baixa</w:t>
            </w:r>
          </w:p>
        </w:tc>
        <w:tc>
          <w:tcPr>
            <w:tcW w:w="0" w:type="auto"/>
            <w:vAlign w:val="center"/>
            <w:hideMark/>
          </w:tcPr>
          <w:p w14:paraId="0A61AEE3"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Alta</w:t>
            </w:r>
          </w:p>
        </w:tc>
      </w:tr>
      <w:tr w:rsidR="00CF7ABE" w:rsidRPr="00B74E01" w14:paraId="2CEE730B" w14:textId="77777777" w:rsidTr="0058413D">
        <w:trPr>
          <w:tblCellSpacing w:w="15" w:type="dxa"/>
        </w:trPr>
        <w:tc>
          <w:tcPr>
            <w:tcW w:w="0" w:type="auto"/>
            <w:vAlign w:val="center"/>
            <w:hideMark/>
          </w:tcPr>
          <w:p w14:paraId="7F2217BD"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Redução de passivo ambiental com solução industrial</w:t>
            </w:r>
          </w:p>
        </w:tc>
        <w:tc>
          <w:tcPr>
            <w:tcW w:w="0" w:type="auto"/>
            <w:vAlign w:val="center"/>
            <w:hideMark/>
          </w:tcPr>
          <w:p w14:paraId="59F5A937"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Parcial</w:t>
            </w:r>
          </w:p>
        </w:tc>
        <w:tc>
          <w:tcPr>
            <w:tcW w:w="0" w:type="auto"/>
            <w:vAlign w:val="center"/>
            <w:hideMark/>
          </w:tcPr>
          <w:p w14:paraId="4069910D"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Sim, conforme licenciamento e desempenho</w:t>
            </w:r>
          </w:p>
        </w:tc>
      </w:tr>
      <w:tr w:rsidR="00CF7ABE" w:rsidRPr="00B74E01" w14:paraId="7B454C28" w14:textId="77777777" w:rsidTr="0058413D">
        <w:trPr>
          <w:tblCellSpacing w:w="15" w:type="dxa"/>
        </w:trPr>
        <w:tc>
          <w:tcPr>
            <w:tcW w:w="0" w:type="auto"/>
            <w:vAlign w:val="center"/>
            <w:hideMark/>
          </w:tcPr>
          <w:p w14:paraId="52C0463C"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Matriz de desempenho contratual</w:t>
            </w:r>
          </w:p>
        </w:tc>
        <w:tc>
          <w:tcPr>
            <w:tcW w:w="0" w:type="auto"/>
            <w:vAlign w:val="center"/>
            <w:hideMark/>
          </w:tcPr>
          <w:p w14:paraId="35535273"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Variável</w:t>
            </w:r>
          </w:p>
        </w:tc>
        <w:tc>
          <w:tcPr>
            <w:tcW w:w="0" w:type="auto"/>
            <w:vAlign w:val="center"/>
            <w:hideMark/>
          </w:tcPr>
          <w:p w14:paraId="588ED9C5"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Deve ser objetiva e fiscalizável</w:t>
            </w:r>
          </w:p>
        </w:tc>
      </w:tr>
      <w:tr w:rsidR="00CF7ABE" w:rsidRPr="00B74E01" w14:paraId="405B0977" w14:textId="77777777" w:rsidTr="0058413D">
        <w:trPr>
          <w:tblCellSpacing w:w="15" w:type="dxa"/>
        </w:trPr>
        <w:tc>
          <w:tcPr>
            <w:tcW w:w="0" w:type="auto"/>
            <w:vAlign w:val="center"/>
            <w:hideMark/>
          </w:tcPr>
          <w:p w14:paraId="2C878275"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Potencial de inovação pública</w:t>
            </w:r>
          </w:p>
        </w:tc>
        <w:tc>
          <w:tcPr>
            <w:tcW w:w="0" w:type="auto"/>
            <w:vAlign w:val="center"/>
            <w:hideMark/>
          </w:tcPr>
          <w:p w14:paraId="65A499F1"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Baixo</w:t>
            </w:r>
          </w:p>
        </w:tc>
        <w:tc>
          <w:tcPr>
            <w:tcW w:w="0" w:type="auto"/>
            <w:vAlign w:val="center"/>
            <w:hideMark/>
          </w:tcPr>
          <w:p w14:paraId="76B2B1C7"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Elevado</w:t>
            </w:r>
          </w:p>
        </w:tc>
      </w:tr>
    </w:tbl>
    <w:p w14:paraId="7F8702E7"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Portanto, a comparação não deve ser feita apenas pelo preço da tonelada. Um aterro sanitário pode cobrar valor igual ou superior ao adotado na modelagem e, ainda </w:t>
      </w:r>
      <w:r w:rsidRPr="00B74E01">
        <w:rPr>
          <w:rFonts w:eastAsia="Times New Roman" w:cs="Arial"/>
          <w:kern w:val="0"/>
          <w:lang w:eastAsia="pt-BR"/>
          <w14:ligatures w14:val="none"/>
        </w:rPr>
        <w:lastRenderedPageBreak/>
        <w:t>assim, não gerar economia energética, não produzir receita acessória relevante, não criar fonte de recursos para fundo ambiental e não agregar inovação tecnológica à gestão pública.</w:t>
      </w:r>
    </w:p>
    <w:p w14:paraId="79874E9A"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Isso fortalece a tese de </w:t>
      </w:r>
      <w:proofErr w:type="spellStart"/>
      <w:r w:rsidRPr="00B74E01">
        <w:rPr>
          <w:rFonts w:eastAsia="Times New Roman" w:cs="Arial"/>
          <w:b/>
          <w:bCs/>
          <w:kern w:val="0"/>
          <w:lang w:eastAsia="pt-BR"/>
          <w14:ligatures w14:val="none"/>
        </w:rPr>
        <w:t>Value</w:t>
      </w:r>
      <w:proofErr w:type="spellEnd"/>
      <w:r w:rsidRPr="00B74E01">
        <w:rPr>
          <w:rFonts w:eastAsia="Times New Roman" w:cs="Arial"/>
          <w:b/>
          <w:bCs/>
          <w:kern w:val="0"/>
          <w:lang w:eastAsia="pt-BR"/>
          <w14:ligatures w14:val="none"/>
        </w:rPr>
        <w:t xml:space="preserve"> for Money</w:t>
      </w:r>
      <w:r w:rsidRPr="00B74E01">
        <w:rPr>
          <w:rFonts w:eastAsia="Times New Roman" w:cs="Arial"/>
          <w:kern w:val="0"/>
          <w:lang w:eastAsia="pt-BR"/>
          <w14:ligatures w14:val="none"/>
        </w:rPr>
        <w:t>: a PPP deve ser avaliada pelo conjunto de valor entregue ao Município, e não apenas pela tarifa unitária de destinação.</w:t>
      </w:r>
    </w:p>
    <w:p w14:paraId="525A182C" w14:textId="77777777" w:rsidR="00CF7ABE" w:rsidRPr="00B74E01" w:rsidRDefault="00CF7ABE" w:rsidP="002028D1">
      <w:pPr>
        <w:pStyle w:val="Ttulo2"/>
        <w:rPr>
          <w:rFonts w:eastAsia="Times New Roman"/>
          <w:lang w:eastAsia="pt-BR"/>
        </w:rPr>
      </w:pPr>
      <w:bookmarkStart w:id="22" w:name="_Toc230204024"/>
      <w:r w:rsidRPr="00B74E01">
        <w:rPr>
          <w:rFonts w:eastAsia="Times New Roman"/>
          <w:lang w:eastAsia="pt-BR"/>
        </w:rPr>
        <w:t xml:space="preserve">4.5. </w:t>
      </w:r>
      <w:proofErr w:type="spellStart"/>
      <w:r w:rsidRPr="00B74E01">
        <w:rPr>
          <w:rFonts w:eastAsia="Times New Roman"/>
          <w:lang w:eastAsia="pt-BR"/>
        </w:rPr>
        <w:t>Value</w:t>
      </w:r>
      <w:proofErr w:type="spellEnd"/>
      <w:r w:rsidRPr="00B74E01">
        <w:rPr>
          <w:rFonts w:eastAsia="Times New Roman"/>
          <w:lang w:eastAsia="pt-BR"/>
        </w:rPr>
        <w:t xml:space="preserve"> for Money e custo evitado</w:t>
      </w:r>
      <w:bookmarkEnd w:id="22"/>
    </w:p>
    <w:p w14:paraId="655E4253"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 análise de vantajosidade em PPP deve observar a lógica de </w:t>
      </w:r>
      <w:proofErr w:type="spellStart"/>
      <w:r w:rsidRPr="00B74E01">
        <w:rPr>
          <w:rFonts w:eastAsia="Times New Roman" w:cs="Arial"/>
          <w:b/>
          <w:bCs/>
          <w:kern w:val="0"/>
          <w:lang w:eastAsia="pt-BR"/>
          <w14:ligatures w14:val="none"/>
        </w:rPr>
        <w:t>Value</w:t>
      </w:r>
      <w:proofErr w:type="spellEnd"/>
      <w:r w:rsidRPr="00B74E01">
        <w:rPr>
          <w:rFonts w:eastAsia="Times New Roman" w:cs="Arial"/>
          <w:b/>
          <w:bCs/>
          <w:kern w:val="0"/>
          <w:lang w:eastAsia="pt-BR"/>
          <w14:ligatures w14:val="none"/>
        </w:rPr>
        <w:t xml:space="preserve"> for Money</w:t>
      </w:r>
      <w:r w:rsidRPr="00B74E01">
        <w:rPr>
          <w:rFonts w:eastAsia="Times New Roman" w:cs="Arial"/>
          <w:kern w:val="0"/>
          <w:lang w:eastAsia="pt-BR"/>
          <w14:ligatures w14:val="none"/>
        </w:rPr>
        <w:t>, isto é, se a contratação por PPP entrega ao Poder Público resultado superior ao que seria obtido por alternativas convencionais, considerando custo, risco, qualidade, prazo, investimento, sustentabilidade e externalidades.</w:t>
      </w:r>
    </w:p>
    <w:p w14:paraId="6C234B08"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No caso concreto, o </w:t>
      </w:r>
      <w:proofErr w:type="spellStart"/>
      <w:r w:rsidRPr="00B74E01">
        <w:rPr>
          <w:rFonts w:eastAsia="Times New Roman" w:cs="Arial"/>
          <w:kern w:val="0"/>
          <w:lang w:eastAsia="pt-BR"/>
          <w14:ligatures w14:val="none"/>
        </w:rPr>
        <w:t>Value</w:t>
      </w:r>
      <w:proofErr w:type="spellEnd"/>
      <w:r w:rsidRPr="00B74E01">
        <w:rPr>
          <w:rFonts w:eastAsia="Times New Roman" w:cs="Arial"/>
          <w:kern w:val="0"/>
          <w:lang w:eastAsia="pt-BR"/>
          <w14:ligatures w14:val="none"/>
        </w:rPr>
        <w:t xml:space="preserve"> for Money não decorre apenas de eventual redução direta de despesa. Ele decorre da combinação entre: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70"/>
        <w:gridCol w:w="5901"/>
      </w:tblGrid>
      <w:tr w:rsidR="00CF7ABE" w:rsidRPr="00B74E01" w14:paraId="285B729F" w14:textId="77777777">
        <w:trPr>
          <w:tblHeader/>
          <w:tblCellSpacing w:w="15" w:type="dxa"/>
        </w:trPr>
        <w:tc>
          <w:tcPr>
            <w:tcW w:w="0" w:type="auto"/>
            <w:vAlign w:val="center"/>
            <w:hideMark/>
          </w:tcPr>
          <w:p w14:paraId="21026CCA" w14:textId="77777777" w:rsidR="00CF7ABE" w:rsidRPr="00B74E01" w:rsidRDefault="00CF7ABE" w:rsidP="002028D1">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 xml:space="preserve">Elemento de </w:t>
            </w:r>
            <w:proofErr w:type="spellStart"/>
            <w:r w:rsidRPr="00B74E01">
              <w:rPr>
                <w:rFonts w:eastAsia="Times New Roman" w:cs="Arial"/>
                <w:b/>
                <w:bCs/>
                <w:kern w:val="0"/>
                <w:lang w:eastAsia="pt-BR"/>
                <w14:ligatures w14:val="none"/>
              </w:rPr>
              <w:t>Value</w:t>
            </w:r>
            <w:proofErr w:type="spellEnd"/>
            <w:r w:rsidRPr="00B74E01">
              <w:rPr>
                <w:rFonts w:eastAsia="Times New Roman" w:cs="Arial"/>
                <w:b/>
                <w:bCs/>
                <w:kern w:val="0"/>
                <w:lang w:eastAsia="pt-BR"/>
                <w14:ligatures w14:val="none"/>
              </w:rPr>
              <w:t xml:space="preserve"> for Money</w:t>
            </w:r>
          </w:p>
        </w:tc>
        <w:tc>
          <w:tcPr>
            <w:tcW w:w="0" w:type="auto"/>
            <w:vAlign w:val="center"/>
            <w:hideMark/>
          </w:tcPr>
          <w:p w14:paraId="75145706" w14:textId="77777777" w:rsidR="00CF7ABE" w:rsidRPr="00B74E01" w:rsidRDefault="00CF7ABE" w:rsidP="002028D1">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Justificativa</w:t>
            </w:r>
          </w:p>
        </w:tc>
      </w:tr>
      <w:tr w:rsidR="00CF7ABE" w:rsidRPr="00B74E01" w14:paraId="2BA46E5A" w14:textId="77777777">
        <w:trPr>
          <w:tblCellSpacing w:w="15" w:type="dxa"/>
        </w:trPr>
        <w:tc>
          <w:tcPr>
            <w:tcW w:w="0" w:type="auto"/>
            <w:vAlign w:val="center"/>
            <w:hideMark/>
          </w:tcPr>
          <w:p w14:paraId="574917E6"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Investimento privado</w:t>
            </w:r>
          </w:p>
        </w:tc>
        <w:tc>
          <w:tcPr>
            <w:tcW w:w="0" w:type="auto"/>
            <w:vAlign w:val="center"/>
            <w:hideMark/>
          </w:tcPr>
          <w:p w14:paraId="2A26C01A"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Reduz necessidade de desembolso direto inicial pelo Município</w:t>
            </w:r>
          </w:p>
        </w:tc>
      </w:tr>
      <w:tr w:rsidR="00CF7ABE" w:rsidRPr="00B74E01" w14:paraId="1FA0F234" w14:textId="77777777">
        <w:trPr>
          <w:tblCellSpacing w:w="15" w:type="dxa"/>
        </w:trPr>
        <w:tc>
          <w:tcPr>
            <w:tcW w:w="0" w:type="auto"/>
            <w:vAlign w:val="center"/>
            <w:hideMark/>
          </w:tcPr>
          <w:p w14:paraId="5E2A426B"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Tratamento do passivo ambiental</w:t>
            </w:r>
          </w:p>
        </w:tc>
        <w:tc>
          <w:tcPr>
            <w:tcW w:w="0" w:type="auto"/>
            <w:vAlign w:val="center"/>
            <w:hideMark/>
          </w:tcPr>
          <w:p w14:paraId="1642E6E7"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Enfrenta problema público existente e reduz risco futuro</w:t>
            </w:r>
          </w:p>
        </w:tc>
      </w:tr>
      <w:tr w:rsidR="00CF7ABE" w:rsidRPr="00B74E01" w14:paraId="3AEA2378" w14:textId="77777777">
        <w:trPr>
          <w:tblCellSpacing w:w="15" w:type="dxa"/>
        </w:trPr>
        <w:tc>
          <w:tcPr>
            <w:tcW w:w="0" w:type="auto"/>
            <w:vAlign w:val="center"/>
            <w:hideMark/>
          </w:tcPr>
          <w:p w14:paraId="7C7876E6"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Redução de despesa energética</w:t>
            </w:r>
          </w:p>
        </w:tc>
        <w:tc>
          <w:tcPr>
            <w:tcW w:w="0" w:type="auto"/>
            <w:vAlign w:val="center"/>
            <w:hideMark/>
          </w:tcPr>
          <w:p w14:paraId="347656BB"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Gera economia recorrente em relação à despesa atual</w:t>
            </w:r>
          </w:p>
        </w:tc>
      </w:tr>
      <w:tr w:rsidR="00CF7ABE" w:rsidRPr="00B74E01" w14:paraId="30DC4FE1" w14:textId="77777777">
        <w:trPr>
          <w:tblCellSpacing w:w="15" w:type="dxa"/>
        </w:trPr>
        <w:tc>
          <w:tcPr>
            <w:tcW w:w="0" w:type="auto"/>
            <w:vAlign w:val="center"/>
            <w:hideMark/>
          </w:tcPr>
          <w:p w14:paraId="435F7CC6"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 principal contratada</w:t>
            </w:r>
          </w:p>
        </w:tc>
        <w:tc>
          <w:tcPr>
            <w:tcW w:w="0" w:type="auto"/>
            <w:vAlign w:val="center"/>
            <w:hideMark/>
          </w:tcPr>
          <w:p w14:paraId="41428B07"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 xml:space="preserve">Estrutura fluxo previsível para </w:t>
            </w:r>
            <w:proofErr w:type="spellStart"/>
            <w:r w:rsidRPr="00B74E01">
              <w:rPr>
                <w:rFonts w:eastAsia="Times New Roman" w:cs="Arial"/>
                <w:kern w:val="0"/>
                <w:lang w:eastAsia="pt-BR"/>
                <w14:ligatures w14:val="none"/>
              </w:rPr>
              <w:t>bancabilidade</w:t>
            </w:r>
            <w:proofErr w:type="spellEnd"/>
          </w:p>
        </w:tc>
      </w:tr>
      <w:tr w:rsidR="00CF7ABE" w:rsidRPr="00B74E01" w14:paraId="6EE7DC51" w14:textId="77777777">
        <w:trPr>
          <w:tblCellSpacing w:w="15" w:type="dxa"/>
        </w:trPr>
        <w:tc>
          <w:tcPr>
            <w:tcW w:w="0" w:type="auto"/>
            <w:vAlign w:val="center"/>
            <w:hideMark/>
          </w:tcPr>
          <w:p w14:paraId="0EF13765"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Quantidade mínima de RSU</w:t>
            </w:r>
          </w:p>
        </w:tc>
        <w:tc>
          <w:tcPr>
            <w:tcW w:w="0" w:type="auto"/>
            <w:vAlign w:val="center"/>
            <w:hideMark/>
          </w:tcPr>
          <w:p w14:paraId="56E6CA33"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Dá estabilidade à operação e reduz risco de demanda</w:t>
            </w:r>
          </w:p>
        </w:tc>
      </w:tr>
      <w:tr w:rsidR="00CF7ABE" w:rsidRPr="00B74E01" w14:paraId="4B5F227C" w14:textId="77777777">
        <w:trPr>
          <w:tblCellSpacing w:w="15" w:type="dxa"/>
        </w:trPr>
        <w:tc>
          <w:tcPr>
            <w:tcW w:w="0" w:type="auto"/>
            <w:vAlign w:val="center"/>
            <w:hideMark/>
          </w:tcPr>
          <w:p w14:paraId="4FFC0ECE"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Garantia pública</w:t>
            </w:r>
          </w:p>
        </w:tc>
        <w:tc>
          <w:tcPr>
            <w:tcW w:w="0" w:type="auto"/>
            <w:vAlign w:val="center"/>
            <w:hideMark/>
          </w:tcPr>
          <w:p w14:paraId="13D0C696"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Protege o fluxo mínimo contratual</w:t>
            </w:r>
          </w:p>
        </w:tc>
      </w:tr>
      <w:tr w:rsidR="00CF7ABE" w:rsidRPr="00B74E01" w14:paraId="6939C915" w14:textId="77777777">
        <w:trPr>
          <w:tblCellSpacing w:w="15" w:type="dxa"/>
        </w:trPr>
        <w:tc>
          <w:tcPr>
            <w:tcW w:w="0" w:type="auto"/>
            <w:vAlign w:val="center"/>
            <w:hideMark/>
          </w:tcPr>
          <w:p w14:paraId="1BBADF84"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Receitas acessórias</w:t>
            </w:r>
          </w:p>
        </w:tc>
        <w:tc>
          <w:tcPr>
            <w:tcW w:w="0" w:type="auto"/>
            <w:vAlign w:val="center"/>
            <w:hideMark/>
          </w:tcPr>
          <w:p w14:paraId="6B1D9714"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Ampliam robustez, sem substituir a base contratual</w:t>
            </w:r>
          </w:p>
        </w:tc>
      </w:tr>
      <w:tr w:rsidR="00CF7ABE" w:rsidRPr="00B74E01" w14:paraId="3901FACB" w14:textId="77777777">
        <w:trPr>
          <w:tblCellSpacing w:w="15" w:type="dxa"/>
        </w:trPr>
        <w:tc>
          <w:tcPr>
            <w:tcW w:w="0" w:type="auto"/>
            <w:vAlign w:val="center"/>
            <w:hideMark/>
          </w:tcPr>
          <w:p w14:paraId="68E41D58"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Fundo Municipal</w:t>
            </w:r>
          </w:p>
        </w:tc>
        <w:tc>
          <w:tcPr>
            <w:tcW w:w="0" w:type="auto"/>
            <w:vAlign w:val="center"/>
            <w:hideMark/>
          </w:tcPr>
          <w:p w14:paraId="12469655"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Permite retorno institucional de parte dos benefícios ao Município</w:t>
            </w:r>
          </w:p>
        </w:tc>
      </w:tr>
      <w:tr w:rsidR="00CF7ABE" w:rsidRPr="00B74E01" w14:paraId="51EAFD09" w14:textId="77777777">
        <w:trPr>
          <w:tblCellSpacing w:w="15" w:type="dxa"/>
        </w:trPr>
        <w:tc>
          <w:tcPr>
            <w:tcW w:w="0" w:type="auto"/>
            <w:vAlign w:val="center"/>
            <w:hideMark/>
          </w:tcPr>
          <w:p w14:paraId="1BFF1544"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Indicadores e fiscalização</w:t>
            </w:r>
          </w:p>
        </w:tc>
        <w:tc>
          <w:tcPr>
            <w:tcW w:w="0" w:type="auto"/>
            <w:vAlign w:val="center"/>
            <w:hideMark/>
          </w:tcPr>
          <w:p w14:paraId="23DF8B2D"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Melhoram controle e qualidade da prestação</w:t>
            </w:r>
          </w:p>
        </w:tc>
      </w:tr>
      <w:tr w:rsidR="00CF7ABE" w:rsidRPr="00B74E01" w14:paraId="7768D8C5" w14:textId="77777777">
        <w:trPr>
          <w:tblCellSpacing w:w="15" w:type="dxa"/>
        </w:trPr>
        <w:tc>
          <w:tcPr>
            <w:tcW w:w="0" w:type="auto"/>
            <w:vAlign w:val="center"/>
            <w:hideMark/>
          </w:tcPr>
          <w:p w14:paraId="3EFA2B3F"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lastRenderedPageBreak/>
              <w:t>Alocação de riscos</w:t>
            </w:r>
          </w:p>
        </w:tc>
        <w:tc>
          <w:tcPr>
            <w:tcW w:w="0" w:type="auto"/>
            <w:vAlign w:val="center"/>
            <w:hideMark/>
          </w:tcPr>
          <w:p w14:paraId="1E59D5B9"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Transfere ao privado riscos que ele pode gerenciar melhor</w:t>
            </w:r>
          </w:p>
        </w:tc>
      </w:tr>
    </w:tbl>
    <w:p w14:paraId="0C50F11C"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Também deve ser considerado o </w:t>
      </w:r>
      <w:r w:rsidRPr="00B74E01">
        <w:rPr>
          <w:rFonts w:eastAsia="Times New Roman" w:cs="Arial"/>
          <w:b/>
          <w:bCs/>
          <w:kern w:val="0"/>
          <w:lang w:eastAsia="pt-BR"/>
          <w14:ligatures w14:val="none"/>
        </w:rPr>
        <w:t>custo evitado</w:t>
      </w:r>
      <w:r w:rsidRPr="00B74E01">
        <w:rPr>
          <w:rFonts w:eastAsia="Times New Roman" w:cs="Arial"/>
          <w:kern w:val="0"/>
          <w:lang w:eastAsia="pt-BR"/>
          <w14:ligatures w14:val="none"/>
        </w:rPr>
        <w:t>. A permanência em solução inadequada ou em modelo meramente convencional pode gerar custos não capturados imediatamente na tarifa, como:</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156"/>
        <w:gridCol w:w="6905"/>
      </w:tblGrid>
      <w:tr w:rsidR="00CF7ABE" w:rsidRPr="00B74E01" w14:paraId="6E8EF9F6" w14:textId="77777777" w:rsidTr="0058413D">
        <w:trPr>
          <w:tblHeader/>
          <w:tblCellSpacing w:w="15" w:type="dxa"/>
        </w:trPr>
        <w:tc>
          <w:tcPr>
            <w:tcW w:w="0" w:type="auto"/>
            <w:vAlign w:val="center"/>
            <w:hideMark/>
          </w:tcPr>
          <w:p w14:paraId="183E763F" w14:textId="77777777" w:rsidR="00CF7ABE" w:rsidRPr="00B74E01" w:rsidRDefault="00CF7ABE" w:rsidP="002028D1">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Tipo de custo evitado</w:t>
            </w:r>
          </w:p>
        </w:tc>
        <w:tc>
          <w:tcPr>
            <w:tcW w:w="0" w:type="auto"/>
            <w:vAlign w:val="center"/>
            <w:hideMark/>
          </w:tcPr>
          <w:p w14:paraId="2F4B15C5" w14:textId="77777777" w:rsidR="00CF7ABE" w:rsidRPr="00B74E01" w:rsidRDefault="00CF7ABE" w:rsidP="002028D1">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Descrição</w:t>
            </w:r>
          </w:p>
        </w:tc>
      </w:tr>
      <w:tr w:rsidR="00CF7ABE" w:rsidRPr="00B74E01" w14:paraId="515E8C45" w14:textId="77777777" w:rsidTr="0058413D">
        <w:trPr>
          <w:tblCellSpacing w:w="15" w:type="dxa"/>
        </w:trPr>
        <w:tc>
          <w:tcPr>
            <w:tcW w:w="0" w:type="auto"/>
            <w:vAlign w:val="center"/>
            <w:hideMark/>
          </w:tcPr>
          <w:p w14:paraId="7E183292"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Custo ambiental</w:t>
            </w:r>
          </w:p>
        </w:tc>
        <w:tc>
          <w:tcPr>
            <w:tcW w:w="0" w:type="auto"/>
            <w:vAlign w:val="center"/>
            <w:hideMark/>
          </w:tcPr>
          <w:p w14:paraId="015913F0"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Mitigação de passivos associados à disposição inadequada</w:t>
            </w:r>
          </w:p>
        </w:tc>
      </w:tr>
      <w:tr w:rsidR="00CF7ABE" w:rsidRPr="00B74E01" w14:paraId="6A322188" w14:textId="77777777" w:rsidTr="0058413D">
        <w:trPr>
          <w:tblCellSpacing w:w="15" w:type="dxa"/>
        </w:trPr>
        <w:tc>
          <w:tcPr>
            <w:tcW w:w="0" w:type="auto"/>
            <w:vAlign w:val="center"/>
            <w:hideMark/>
          </w:tcPr>
          <w:p w14:paraId="333801BE"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Custo sanitário</w:t>
            </w:r>
          </w:p>
        </w:tc>
        <w:tc>
          <w:tcPr>
            <w:tcW w:w="0" w:type="auto"/>
            <w:vAlign w:val="center"/>
            <w:hideMark/>
          </w:tcPr>
          <w:p w14:paraId="06A7B0B1"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Redução de riscos à saúde pública e ao entorno</w:t>
            </w:r>
          </w:p>
        </w:tc>
      </w:tr>
      <w:tr w:rsidR="00CF7ABE" w:rsidRPr="00B74E01" w14:paraId="72060E2E" w14:textId="77777777" w:rsidTr="0058413D">
        <w:trPr>
          <w:tblCellSpacing w:w="15" w:type="dxa"/>
        </w:trPr>
        <w:tc>
          <w:tcPr>
            <w:tcW w:w="0" w:type="auto"/>
            <w:vAlign w:val="center"/>
            <w:hideMark/>
          </w:tcPr>
          <w:p w14:paraId="203D5731"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Custo institucional</w:t>
            </w:r>
          </w:p>
        </w:tc>
        <w:tc>
          <w:tcPr>
            <w:tcW w:w="0" w:type="auto"/>
            <w:vAlign w:val="center"/>
            <w:hideMark/>
          </w:tcPr>
          <w:p w14:paraId="6C46C525"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Menor exposição a ações, recomendações, TACs, multas e cobranças de órgãos de controle</w:t>
            </w:r>
          </w:p>
        </w:tc>
      </w:tr>
      <w:tr w:rsidR="00CF7ABE" w:rsidRPr="00B74E01" w14:paraId="0EB2EF6B" w14:textId="77777777" w:rsidTr="0058413D">
        <w:trPr>
          <w:tblCellSpacing w:w="15" w:type="dxa"/>
        </w:trPr>
        <w:tc>
          <w:tcPr>
            <w:tcW w:w="0" w:type="auto"/>
            <w:vAlign w:val="center"/>
            <w:hideMark/>
          </w:tcPr>
          <w:p w14:paraId="6D5AF0B8"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Custo logístico</w:t>
            </w:r>
          </w:p>
        </w:tc>
        <w:tc>
          <w:tcPr>
            <w:tcW w:w="0" w:type="auto"/>
            <w:vAlign w:val="center"/>
            <w:hideMark/>
          </w:tcPr>
          <w:p w14:paraId="54D1C658"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Possível redução de dependência de soluções externas ou longas distâncias</w:t>
            </w:r>
          </w:p>
        </w:tc>
      </w:tr>
      <w:tr w:rsidR="00CF7ABE" w:rsidRPr="00B74E01" w14:paraId="737FB3EE" w14:textId="77777777" w:rsidTr="0058413D">
        <w:trPr>
          <w:tblCellSpacing w:w="15" w:type="dxa"/>
        </w:trPr>
        <w:tc>
          <w:tcPr>
            <w:tcW w:w="0" w:type="auto"/>
            <w:vAlign w:val="center"/>
            <w:hideMark/>
          </w:tcPr>
          <w:p w14:paraId="0197A05C"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Custo energético</w:t>
            </w:r>
          </w:p>
        </w:tc>
        <w:tc>
          <w:tcPr>
            <w:tcW w:w="0" w:type="auto"/>
            <w:vAlign w:val="center"/>
            <w:hideMark/>
          </w:tcPr>
          <w:p w14:paraId="30EF9DA6"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Redução da despesa recorrente com energia elétrica</w:t>
            </w:r>
          </w:p>
        </w:tc>
      </w:tr>
      <w:tr w:rsidR="00CF7ABE" w:rsidRPr="00B74E01" w14:paraId="7D59282E" w14:textId="77777777" w:rsidTr="0058413D">
        <w:trPr>
          <w:tblCellSpacing w:w="15" w:type="dxa"/>
        </w:trPr>
        <w:tc>
          <w:tcPr>
            <w:tcW w:w="0" w:type="auto"/>
            <w:vAlign w:val="center"/>
            <w:hideMark/>
          </w:tcPr>
          <w:p w14:paraId="0526B9DF"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Custo de oportunidade</w:t>
            </w:r>
          </w:p>
        </w:tc>
        <w:tc>
          <w:tcPr>
            <w:tcW w:w="0" w:type="auto"/>
            <w:vAlign w:val="center"/>
            <w:hideMark/>
          </w:tcPr>
          <w:p w14:paraId="39B55A62"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Aproveitamento econômico de resíduos antes tratados apenas como problema</w:t>
            </w:r>
          </w:p>
        </w:tc>
      </w:tr>
      <w:tr w:rsidR="00CF7ABE" w:rsidRPr="00B74E01" w14:paraId="79E50890" w14:textId="77777777" w:rsidTr="0058413D">
        <w:trPr>
          <w:tblCellSpacing w:w="15" w:type="dxa"/>
        </w:trPr>
        <w:tc>
          <w:tcPr>
            <w:tcW w:w="0" w:type="auto"/>
            <w:vAlign w:val="center"/>
            <w:hideMark/>
          </w:tcPr>
          <w:p w14:paraId="606770F5"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Custo tecnológico</w:t>
            </w:r>
          </w:p>
        </w:tc>
        <w:tc>
          <w:tcPr>
            <w:tcW w:w="0" w:type="auto"/>
            <w:vAlign w:val="center"/>
            <w:hideMark/>
          </w:tcPr>
          <w:p w14:paraId="7B6557C5"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Modernização da gestão municipal de resíduos e energia</w:t>
            </w:r>
          </w:p>
        </w:tc>
      </w:tr>
    </w:tbl>
    <w:p w14:paraId="62868102"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análise econômico-financeira, portanto, deve evidenciar que a PPP não é apenas uma despesa contratual. É uma estrutura de substituição de custos, mitigação de passivos e geração de valor público.</w:t>
      </w:r>
    </w:p>
    <w:p w14:paraId="4E5975D3" w14:textId="77777777" w:rsidR="00CF7ABE" w:rsidRPr="00B74E01" w:rsidRDefault="00CF7ABE" w:rsidP="002028D1">
      <w:pPr>
        <w:pStyle w:val="Ttulo2"/>
        <w:rPr>
          <w:rFonts w:eastAsia="Times New Roman"/>
          <w:lang w:eastAsia="pt-BR"/>
        </w:rPr>
      </w:pPr>
      <w:bookmarkStart w:id="23" w:name="_Toc230204025"/>
      <w:r w:rsidRPr="00B74E01">
        <w:rPr>
          <w:rFonts w:eastAsia="Times New Roman"/>
          <w:lang w:eastAsia="pt-BR"/>
        </w:rPr>
        <w:t>4.6. Cuidado com a aparência de otimismo excessivo</w:t>
      </w:r>
      <w:bookmarkEnd w:id="23"/>
    </w:p>
    <w:p w14:paraId="590A003C"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Os indicadores do projeto podem parecer muito fortes, especialmente no cenário com receitas acessórias, com DSCR elevado, </w:t>
      </w:r>
      <w:proofErr w:type="spellStart"/>
      <w:r w:rsidRPr="00B74E01">
        <w:rPr>
          <w:rFonts w:eastAsia="Times New Roman" w:cs="Arial"/>
          <w:kern w:val="0"/>
          <w:lang w:eastAsia="pt-BR"/>
          <w14:ligatures w14:val="none"/>
        </w:rPr>
        <w:t>payback</w:t>
      </w:r>
      <w:proofErr w:type="spellEnd"/>
      <w:r w:rsidRPr="00B74E01">
        <w:rPr>
          <w:rFonts w:eastAsia="Times New Roman" w:cs="Arial"/>
          <w:kern w:val="0"/>
          <w:lang w:eastAsia="pt-BR"/>
          <w14:ligatures w14:val="none"/>
        </w:rPr>
        <w:t xml:space="preserve"> curto e retorno expressivo.</w:t>
      </w:r>
    </w:p>
    <w:p w14:paraId="6FB7DCCE"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lastRenderedPageBreak/>
        <w:t>Essa observação é pertinente e deve ser incorporada à lógica econômica do caderno.</w:t>
      </w:r>
    </w:p>
    <w:p w14:paraId="7B9EB0F6"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O projeto deve ser apresentado em camadas: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864"/>
        <w:gridCol w:w="6207"/>
      </w:tblGrid>
      <w:tr w:rsidR="00CF7ABE" w:rsidRPr="00B74E01" w14:paraId="12B145FF" w14:textId="77777777">
        <w:trPr>
          <w:tblHeader/>
          <w:tblCellSpacing w:w="15" w:type="dxa"/>
        </w:trPr>
        <w:tc>
          <w:tcPr>
            <w:tcW w:w="0" w:type="auto"/>
            <w:vAlign w:val="center"/>
            <w:hideMark/>
          </w:tcPr>
          <w:p w14:paraId="11F7BD63" w14:textId="77777777" w:rsidR="00CF7ABE" w:rsidRPr="00B74E01" w:rsidRDefault="00CF7ABE" w:rsidP="002028D1">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Camada</w:t>
            </w:r>
          </w:p>
        </w:tc>
        <w:tc>
          <w:tcPr>
            <w:tcW w:w="0" w:type="auto"/>
            <w:vAlign w:val="center"/>
            <w:hideMark/>
          </w:tcPr>
          <w:p w14:paraId="682947B8" w14:textId="77777777" w:rsidR="00CF7ABE" w:rsidRPr="00B74E01" w:rsidRDefault="00CF7ABE" w:rsidP="002028D1">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Função</w:t>
            </w:r>
          </w:p>
        </w:tc>
      </w:tr>
      <w:tr w:rsidR="00CF7ABE" w:rsidRPr="00B74E01" w14:paraId="3650E0BF" w14:textId="77777777">
        <w:trPr>
          <w:tblCellSpacing w:w="15" w:type="dxa"/>
        </w:trPr>
        <w:tc>
          <w:tcPr>
            <w:tcW w:w="0" w:type="auto"/>
            <w:vAlign w:val="center"/>
            <w:hideMark/>
          </w:tcPr>
          <w:p w14:paraId="35D70D8C"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Cenário mínimo contratual</w:t>
            </w:r>
          </w:p>
        </w:tc>
        <w:tc>
          <w:tcPr>
            <w:tcW w:w="0" w:type="auto"/>
            <w:vAlign w:val="center"/>
            <w:hideMark/>
          </w:tcPr>
          <w:p w14:paraId="162F7965"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Demonstra se a PPP fecha com receitas principais</w:t>
            </w:r>
          </w:p>
        </w:tc>
      </w:tr>
      <w:tr w:rsidR="00CF7ABE" w:rsidRPr="00B74E01" w14:paraId="32C605D6" w14:textId="77777777">
        <w:trPr>
          <w:tblCellSpacing w:w="15" w:type="dxa"/>
        </w:trPr>
        <w:tc>
          <w:tcPr>
            <w:tcW w:w="0" w:type="auto"/>
            <w:vAlign w:val="center"/>
            <w:hideMark/>
          </w:tcPr>
          <w:p w14:paraId="57CADD0C"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Cenário ampliado com acessórias</w:t>
            </w:r>
          </w:p>
        </w:tc>
        <w:tc>
          <w:tcPr>
            <w:tcW w:w="0" w:type="auto"/>
            <w:vAlign w:val="center"/>
            <w:hideMark/>
          </w:tcPr>
          <w:p w14:paraId="1C8EF126"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Demonstra potencial de robustez e atratividade</w:t>
            </w:r>
          </w:p>
        </w:tc>
      </w:tr>
      <w:tr w:rsidR="00CF7ABE" w:rsidRPr="00B74E01" w14:paraId="6778FC14" w14:textId="77777777">
        <w:trPr>
          <w:tblCellSpacing w:w="15" w:type="dxa"/>
        </w:trPr>
        <w:tc>
          <w:tcPr>
            <w:tcW w:w="0" w:type="auto"/>
            <w:vAlign w:val="center"/>
            <w:hideMark/>
          </w:tcPr>
          <w:p w14:paraId="71DAC412"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Cenários conservadores</w:t>
            </w:r>
          </w:p>
        </w:tc>
        <w:tc>
          <w:tcPr>
            <w:tcW w:w="0" w:type="auto"/>
            <w:vAlign w:val="center"/>
            <w:hideMark/>
          </w:tcPr>
          <w:p w14:paraId="70A0E4DE"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Testam queda de receitas e aumento de custos</w:t>
            </w:r>
          </w:p>
        </w:tc>
      </w:tr>
      <w:tr w:rsidR="00CF7ABE" w:rsidRPr="00B74E01" w14:paraId="267123E3" w14:textId="77777777">
        <w:trPr>
          <w:tblCellSpacing w:w="15" w:type="dxa"/>
        </w:trPr>
        <w:tc>
          <w:tcPr>
            <w:tcW w:w="0" w:type="auto"/>
            <w:vAlign w:val="center"/>
            <w:hideMark/>
          </w:tcPr>
          <w:p w14:paraId="276B669B"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Cenários severos</w:t>
            </w:r>
          </w:p>
        </w:tc>
        <w:tc>
          <w:tcPr>
            <w:tcW w:w="0" w:type="auto"/>
            <w:vAlign w:val="center"/>
            <w:hideMark/>
          </w:tcPr>
          <w:p w14:paraId="5E4C0BE4"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Verificam resistência a atrasos, perda de receita e estresse operacional</w:t>
            </w:r>
          </w:p>
        </w:tc>
      </w:tr>
      <w:tr w:rsidR="00CF7ABE" w:rsidRPr="00B74E01" w14:paraId="755F9D20" w14:textId="77777777">
        <w:trPr>
          <w:tblCellSpacing w:w="15" w:type="dxa"/>
        </w:trPr>
        <w:tc>
          <w:tcPr>
            <w:tcW w:w="0" w:type="auto"/>
            <w:vAlign w:val="center"/>
            <w:hideMark/>
          </w:tcPr>
          <w:p w14:paraId="5D7A912E"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Validações futuras dos licitantes</w:t>
            </w:r>
          </w:p>
        </w:tc>
        <w:tc>
          <w:tcPr>
            <w:tcW w:w="0" w:type="auto"/>
            <w:vAlign w:val="center"/>
            <w:hideMark/>
          </w:tcPr>
          <w:p w14:paraId="42208A1F" w14:textId="77777777" w:rsidR="00CF7ABE" w:rsidRPr="00B74E01" w:rsidRDefault="00CF7ABE" w:rsidP="002028D1">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Transferem ao proponente a obrigação de comprovar capacidade, tecnologia e mercado</w:t>
            </w:r>
          </w:p>
        </w:tc>
      </w:tr>
    </w:tbl>
    <w:p w14:paraId="701BDAF8"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leitura correta é a seguinte:</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197"/>
        <w:gridCol w:w="6864"/>
      </w:tblGrid>
      <w:tr w:rsidR="00CF7ABE" w:rsidRPr="00B74E01" w14:paraId="1C74FE35" w14:textId="77777777" w:rsidTr="0058413D">
        <w:trPr>
          <w:tblHeader/>
          <w:tblCellSpacing w:w="15" w:type="dxa"/>
        </w:trPr>
        <w:tc>
          <w:tcPr>
            <w:tcW w:w="0" w:type="auto"/>
            <w:vAlign w:val="center"/>
            <w:hideMark/>
          </w:tcPr>
          <w:p w14:paraId="77AC5028" w14:textId="77777777" w:rsidR="00CF7ABE" w:rsidRPr="00B74E01" w:rsidRDefault="00CF7ABE" w:rsidP="009C2BE9">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Aspecto</w:t>
            </w:r>
          </w:p>
        </w:tc>
        <w:tc>
          <w:tcPr>
            <w:tcW w:w="0" w:type="auto"/>
            <w:vAlign w:val="center"/>
            <w:hideMark/>
          </w:tcPr>
          <w:p w14:paraId="288BF64F" w14:textId="77777777" w:rsidR="00CF7ABE" w:rsidRPr="00B74E01" w:rsidRDefault="00CF7ABE" w:rsidP="009C2BE9">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Leitura técnica</w:t>
            </w:r>
          </w:p>
        </w:tc>
      </w:tr>
      <w:tr w:rsidR="00CF7ABE" w:rsidRPr="00B74E01" w14:paraId="7C940817" w14:textId="77777777" w:rsidTr="0058413D">
        <w:trPr>
          <w:tblCellSpacing w:w="15" w:type="dxa"/>
        </w:trPr>
        <w:tc>
          <w:tcPr>
            <w:tcW w:w="0" w:type="auto"/>
            <w:vAlign w:val="center"/>
            <w:hideMark/>
          </w:tcPr>
          <w:p w14:paraId="4F48F1FF" w14:textId="77777777" w:rsidR="00CF7ABE" w:rsidRPr="00B74E01" w:rsidRDefault="00CF7ABE" w:rsidP="009C2BE9">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Sem receitas acessórias</w:t>
            </w:r>
          </w:p>
        </w:tc>
        <w:tc>
          <w:tcPr>
            <w:tcW w:w="0" w:type="auto"/>
            <w:vAlign w:val="center"/>
            <w:hideMark/>
          </w:tcPr>
          <w:p w14:paraId="3C78AD10" w14:textId="77777777" w:rsidR="00CF7ABE" w:rsidRPr="00B74E01" w:rsidRDefault="00CF7ABE" w:rsidP="009C2BE9">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 operação fecha positivamente, mas com margem restrita</w:t>
            </w:r>
          </w:p>
        </w:tc>
      </w:tr>
      <w:tr w:rsidR="00CF7ABE" w:rsidRPr="00B74E01" w14:paraId="451AD1EC" w14:textId="77777777" w:rsidTr="0058413D">
        <w:trPr>
          <w:tblCellSpacing w:w="15" w:type="dxa"/>
        </w:trPr>
        <w:tc>
          <w:tcPr>
            <w:tcW w:w="0" w:type="auto"/>
            <w:vAlign w:val="center"/>
            <w:hideMark/>
          </w:tcPr>
          <w:p w14:paraId="56074CEB" w14:textId="77777777" w:rsidR="00CF7ABE" w:rsidRPr="00B74E01" w:rsidRDefault="00CF7ABE" w:rsidP="009C2BE9">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Com receitas acessórias</w:t>
            </w:r>
          </w:p>
        </w:tc>
        <w:tc>
          <w:tcPr>
            <w:tcW w:w="0" w:type="auto"/>
            <w:vAlign w:val="center"/>
            <w:hideMark/>
          </w:tcPr>
          <w:p w14:paraId="711EC93B" w14:textId="77777777" w:rsidR="00CF7ABE" w:rsidRPr="00B74E01" w:rsidRDefault="00CF7ABE" w:rsidP="009C2BE9">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 operação fica muito robusta</w:t>
            </w:r>
          </w:p>
        </w:tc>
      </w:tr>
      <w:tr w:rsidR="00CF7ABE" w:rsidRPr="00B74E01" w14:paraId="52CB15CA" w14:textId="77777777" w:rsidTr="0058413D">
        <w:trPr>
          <w:tblCellSpacing w:w="15" w:type="dxa"/>
        </w:trPr>
        <w:tc>
          <w:tcPr>
            <w:tcW w:w="0" w:type="auto"/>
            <w:vAlign w:val="center"/>
            <w:hideMark/>
          </w:tcPr>
          <w:p w14:paraId="30F41D62" w14:textId="77777777" w:rsidR="00CF7ABE" w:rsidRPr="00B74E01" w:rsidRDefault="00CF7ABE" w:rsidP="009C2BE9">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Receitas acessórias</w:t>
            </w:r>
          </w:p>
        </w:tc>
        <w:tc>
          <w:tcPr>
            <w:tcW w:w="0" w:type="auto"/>
            <w:vAlign w:val="center"/>
            <w:hideMark/>
          </w:tcPr>
          <w:p w14:paraId="2017F97E" w14:textId="77777777" w:rsidR="00CF7ABE" w:rsidRPr="00B74E01" w:rsidRDefault="00CF7ABE" w:rsidP="009C2BE9">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Devem ser validadas e tratadas como risco empresarial da SPE</w:t>
            </w:r>
          </w:p>
        </w:tc>
      </w:tr>
      <w:tr w:rsidR="00CF7ABE" w:rsidRPr="00B74E01" w14:paraId="02CEAE15" w14:textId="77777777" w:rsidTr="0058413D">
        <w:trPr>
          <w:tblCellSpacing w:w="15" w:type="dxa"/>
        </w:trPr>
        <w:tc>
          <w:tcPr>
            <w:tcW w:w="0" w:type="auto"/>
            <w:vAlign w:val="center"/>
            <w:hideMark/>
          </w:tcPr>
          <w:p w14:paraId="540FB701" w14:textId="77777777" w:rsidR="00CF7ABE" w:rsidRPr="00B74E01" w:rsidRDefault="00CF7ABE" w:rsidP="009C2BE9">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Órgãos de controle</w:t>
            </w:r>
          </w:p>
        </w:tc>
        <w:tc>
          <w:tcPr>
            <w:tcW w:w="0" w:type="auto"/>
            <w:vAlign w:val="center"/>
            <w:hideMark/>
          </w:tcPr>
          <w:p w14:paraId="79EC8C48" w14:textId="77777777" w:rsidR="00CF7ABE" w:rsidRPr="00B74E01" w:rsidRDefault="00CF7ABE" w:rsidP="009C2BE9">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Devem enxergar prudência, memória de cálculo e separação de riscos</w:t>
            </w:r>
          </w:p>
        </w:tc>
      </w:tr>
      <w:tr w:rsidR="00CF7ABE" w:rsidRPr="00B74E01" w14:paraId="74438B10" w14:textId="77777777" w:rsidTr="0058413D">
        <w:trPr>
          <w:tblCellSpacing w:w="15" w:type="dxa"/>
        </w:trPr>
        <w:tc>
          <w:tcPr>
            <w:tcW w:w="0" w:type="auto"/>
            <w:vAlign w:val="center"/>
            <w:hideMark/>
          </w:tcPr>
          <w:p w14:paraId="4DF8FBEC" w14:textId="77777777" w:rsidR="00CF7ABE" w:rsidRPr="00B74E01" w:rsidRDefault="00CF7ABE" w:rsidP="009C2BE9">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Licitação</w:t>
            </w:r>
          </w:p>
        </w:tc>
        <w:tc>
          <w:tcPr>
            <w:tcW w:w="0" w:type="auto"/>
            <w:vAlign w:val="center"/>
            <w:hideMark/>
          </w:tcPr>
          <w:p w14:paraId="63E57197" w14:textId="77777777" w:rsidR="00CF7ABE" w:rsidRPr="00B74E01" w:rsidRDefault="00CF7ABE" w:rsidP="009C2BE9">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Deve exigir comprovação de tecnologia, desempenho, garantias e capacidade operacional</w:t>
            </w:r>
          </w:p>
        </w:tc>
      </w:tr>
    </w:tbl>
    <w:p w14:paraId="5E3AE384"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Essa postura fortalece o projeto. Não enfraquece. Projeto sério não esconde risco; organiza, mede, aloca e mitiga.</w:t>
      </w:r>
    </w:p>
    <w:p w14:paraId="21A4EB13" w14:textId="77777777" w:rsidR="00CF7ABE" w:rsidRPr="00B74E01" w:rsidRDefault="00CF7ABE" w:rsidP="00077895">
      <w:pPr>
        <w:pStyle w:val="Ttulo2"/>
        <w:rPr>
          <w:rFonts w:eastAsia="Times New Roman"/>
          <w:lang w:eastAsia="pt-BR"/>
        </w:rPr>
      </w:pPr>
      <w:bookmarkStart w:id="24" w:name="_Toc230204026"/>
      <w:r w:rsidRPr="00B74E01">
        <w:rPr>
          <w:rFonts w:eastAsia="Times New Roman"/>
          <w:lang w:eastAsia="pt-BR"/>
        </w:rPr>
        <w:lastRenderedPageBreak/>
        <w:t>4.7. Papel das receitas acessórias na lógica econômica</w:t>
      </w:r>
      <w:bookmarkEnd w:id="24"/>
    </w:p>
    <w:p w14:paraId="4EDAFA83"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As receitas acessórias são relevantes para a atratividade do projeto, mas não devem ser apresentadas como receita garantida.</w:t>
      </w:r>
    </w:p>
    <w:p w14:paraId="41C95FC9"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Elas dependem de fatores técnicos e comerciais, como:</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035"/>
        <w:gridCol w:w="6026"/>
      </w:tblGrid>
      <w:tr w:rsidR="00CF7ABE" w:rsidRPr="00B74E01" w14:paraId="054C706E" w14:textId="77777777" w:rsidTr="0058413D">
        <w:trPr>
          <w:tblHeade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656C86F2" w14:textId="77777777" w:rsidR="00CF7ABE" w:rsidRPr="00B74E01" w:rsidRDefault="00CF7ABE" w:rsidP="00077895">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Receita acessória</w:t>
            </w:r>
          </w:p>
        </w:tc>
        <w:tc>
          <w:tcPr>
            <w:tcW w:w="0" w:type="auto"/>
            <w:tcBorders>
              <w:top w:val="single" w:sz="4" w:space="0" w:color="auto"/>
              <w:left w:val="single" w:sz="4" w:space="0" w:color="auto"/>
              <w:bottom w:val="single" w:sz="4" w:space="0" w:color="auto"/>
              <w:right w:val="single" w:sz="4" w:space="0" w:color="auto"/>
            </w:tcBorders>
            <w:vAlign w:val="center"/>
            <w:hideMark/>
          </w:tcPr>
          <w:p w14:paraId="0F81E575" w14:textId="77777777" w:rsidR="00CF7ABE" w:rsidRPr="00B74E01" w:rsidRDefault="00CF7ABE" w:rsidP="00077895">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Condicionantes</w:t>
            </w:r>
          </w:p>
        </w:tc>
      </w:tr>
      <w:tr w:rsidR="00CF7ABE" w:rsidRPr="00B74E01" w14:paraId="5466DDD4" w14:textId="77777777" w:rsidTr="0058413D">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6081E4E8" w14:textId="77777777" w:rsidR="00CF7ABE" w:rsidRPr="00B74E01" w:rsidRDefault="00CF7ABE" w:rsidP="00077895">
            <w:pPr>
              <w:spacing w:after="0" w:line="360" w:lineRule="auto"/>
              <w:rPr>
                <w:rFonts w:eastAsia="Times New Roman" w:cs="Arial"/>
                <w:kern w:val="0"/>
                <w:lang w:eastAsia="pt-BR"/>
                <w14:ligatures w14:val="none"/>
              </w:rPr>
            </w:pPr>
            <w:proofErr w:type="spellStart"/>
            <w:r w:rsidRPr="00B74E01">
              <w:rPr>
                <w:rFonts w:eastAsia="Times New Roman" w:cs="Arial"/>
                <w:kern w:val="0"/>
                <w:lang w:eastAsia="pt-BR"/>
                <w14:ligatures w14:val="none"/>
              </w:rPr>
              <w:t>Biochar</w:t>
            </w:r>
            <w:proofErr w:type="spellEnd"/>
            <w:r w:rsidRPr="00B74E01">
              <w:rPr>
                <w:rFonts w:eastAsia="Times New Roman" w:cs="Arial"/>
                <w:kern w:val="0"/>
                <w:lang w:eastAsia="pt-BR"/>
                <w14:ligatures w14:val="none"/>
              </w:rPr>
              <w:t>/material carbonáceo</w:t>
            </w:r>
          </w:p>
        </w:tc>
        <w:tc>
          <w:tcPr>
            <w:tcW w:w="0" w:type="auto"/>
            <w:tcBorders>
              <w:top w:val="single" w:sz="4" w:space="0" w:color="auto"/>
              <w:left w:val="single" w:sz="4" w:space="0" w:color="auto"/>
              <w:bottom w:val="single" w:sz="4" w:space="0" w:color="auto"/>
              <w:right w:val="single" w:sz="4" w:space="0" w:color="auto"/>
            </w:tcBorders>
            <w:vAlign w:val="center"/>
            <w:hideMark/>
          </w:tcPr>
          <w:p w14:paraId="723773EA" w14:textId="77777777" w:rsidR="00CF7ABE" w:rsidRPr="00B74E01" w:rsidRDefault="00CF7ABE" w:rsidP="0007789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Qualidade do produto, laudos, contaminantes, mercado comprador, logística e uso final</w:t>
            </w:r>
          </w:p>
        </w:tc>
      </w:tr>
      <w:tr w:rsidR="00CF7ABE" w:rsidRPr="00B74E01" w14:paraId="6583F7A4" w14:textId="77777777" w:rsidTr="0058413D">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0958F7BE" w14:textId="77777777" w:rsidR="00CF7ABE" w:rsidRPr="00B74E01" w:rsidRDefault="00CF7ABE" w:rsidP="0007789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 xml:space="preserve">Óleo </w:t>
            </w:r>
            <w:proofErr w:type="spellStart"/>
            <w:r w:rsidRPr="00B74E01">
              <w:rPr>
                <w:rFonts w:eastAsia="Times New Roman" w:cs="Arial"/>
                <w:kern w:val="0"/>
                <w:lang w:eastAsia="pt-BR"/>
                <w14:ligatures w14:val="none"/>
              </w:rPr>
              <w:t>pirolítico</w:t>
            </w:r>
            <w:proofErr w:type="spellEnd"/>
            <w:r w:rsidRPr="00B74E01">
              <w:rPr>
                <w:rFonts w:eastAsia="Times New Roman" w:cs="Arial"/>
                <w:kern w:val="0"/>
                <w:lang w:eastAsia="pt-BR"/>
                <w14:ligatures w14:val="none"/>
              </w:rPr>
              <w:t>/extrato líquido</w:t>
            </w:r>
          </w:p>
        </w:tc>
        <w:tc>
          <w:tcPr>
            <w:tcW w:w="0" w:type="auto"/>
            <w:tcBorders>
              <w:top w:val="single" w:sz="4" w:space="0" w:color="auto"/>
              <w:left w:val="single" w:sz="4" w:space="0" w:color="auto"/>
              <w:bottom w:val="single" w:sz="4" w:space="0" w:color="auto"/>
              <w:right w:val="single" w:sz="4" w:space="0" w:color="auto"/>
            </w:tcBorders>
            <w:vAlign w:val="center"/>
            <w:hideMark/>
          </w:tcPr>
          <w:p w14:paraId="3524F2D0" w14:textId="77777777" w:rsidR="00CF7ABE" w:rsidRPr="00B74E01" w:rsidRDefault="00CF7ABE" w:rsidP="0007789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Enquadramento regulatório, especificação técnica, armazenamento, transporte e comprador</w:t>
            </w:r>
          </w:p>
        </w:tc>
      </w:tr>
      <w:tr w:rsidR="00CF7ABE" w:rsidRPr="00B74E01" w14:paraId="7578D6EA" w14:textId="77777777" w:rsidTr="0058413D">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12C045DE" w14:textId="77777777" w:rsidR="00CF7ABE" w:rsidRPr="00B74E01" w:rsidRDefault="00CF7ABE" w:rsidP="0007789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Créditos de carbono</w:t>
            </w:r>
          </w:p>
        </w:tc>
        <w:tc>
          <w:tcPr>
            <w:tcW w:w="0" w:type="auto"/>
            <w:tcBorders>
              <w:top w:val="single" w:sz="4" w:space="0" w:color="auto"/>
              <w:left w:val="single" w:sz="4" w:space="0" w:color="auto"/>
              <w:bottom w:val="single" w:sz="4" w:space="0" w:color="auto"/>
              <w:right w:val="single" w:sz="4" w:space="0" w:color="auto"/>
            </w:tcBorders>
            <w:vAlign w:val="center"/>
            <w:hideMark/>
          </w:tcPr>
          <w:p w14:paraId="75450FB7" w14:textId="77777777" w:rsidR="00CF7ABE" w:rsidRPr="00B74E01" w:rsidRDefault="00CF7ABE" w:rsidP="0007789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Metodologia aplicável, adicionalidade, MRV, validação, verificação, certificadora e preço de mercado</w:t>
            </w:r>
          </w:p>
        </w:tc>
      </w:tr>
      <w:tr w:rsidR="00CF7ABE" w:rsidRPr="00B74E01" w14:paraId="7C365DF1" w14:textId="77777777" w:rsidTr="0058413D">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37D9BD87" w14:textId="77777777" w:rsidR="00CF7ABE" w:rsidRPr="00B74E01" w:rsidRDefault="00CF7ABE" w:rsidP="0007789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Recicláveis eventualmente aproveitáveis</w:t>
            </w:r>
          </w:p>
        </w:tc>
        <w:tc>
          <w:tcPr>
            <w:tcW w:w="0" w:type="auto"/>
            <w:tcBorders>
              <w:top w:val="single" w:sz="4" w:space="0" w:color="auto"/>
              <w:left w:val="single" w:sz="4" w:space="0" w:color="auto"/>
              <w:bottom w:val="single" w:sz="4" w:space="0" w:color="auto"/>
              <w:right w:val="single" w:sz="4" w:space="0" w:color="auto"/>
            </w:tcBorders>
            <w:vAlign w:val="center"/>
            <w:hideMark/>
          </w:tcPr>
          <w:p w14:paraId="3748BAE3" w14:textId="77777777" w:rsidR="00CF7ABE" w:rsidRPr="00B74E01" w:rsidRDefault="00CF7ABE" w:rsidP="0007789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Triagem, qualidade, contaminação, volume, mercado local e arranjo operacional</w:t>
            </w:r>
          </w:p>
        </w:tc>
      </w:tr>
    </w:tbl>
    <w:p w14:paraId="4CBEF1B1"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Caso a modelagem técnica da operação preveja triagem e aproveitamento de recicláveis, esse item poderá constar como receita acessória adicional ou como fator de redução de rejeitos, desde que não seja superestimado e que dependa de comprovação técnica e comercial pelos licitantes.</w:t>
      </w:r>
    </w:p>
    <w:p w14:paraId="544AF8FA"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inclusão de recicláveis deve ser feita com cautela porque o RSU misto pode apresentar contaminação, umidade, baixa qualidade de separação e variação de mercado. Assim, o tratamento recomendável é:</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231"/>
        <w:gridCol w:w="5830"/>
      </w:tblGrid>
      <w:tr w:rsidR="00CF7ABE" w:rsidRPr="00B74E01" w14:paraId="32AD7D57" w14:textId="77777777" w:rsidTr="0058413D">
        <w:trPr>
          <w:tblHeader/>
          <w:tblCellSpacing w:w="15" w:type="dxa"/>
        </w:trPr>
        <w:tc>
          <w:tcPr>
            <w:tcW w:w="0" w:type="auto"/>
            <w:vAlign w:val="center"/>
            <w:hideMark/>
          </w:tcPr>
          <w:p w14:paraId="5B3E7B51" w14:textId="77777777" w:rsidR="00CF7ABE" w:rsidRPr="00B74E01" w:rsidRDefault="00CF7ABE" w:rsidP="00077895">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Tratamento possível dos recicláveis</w:t>
            </w:r>
          </w:p>
        </w:tc>
        <w:tc>
          <w:tcPr>
            <w:tcW w:w="0" w:type="auto"/>
            <w:vAlign w:val="center"/>
            <w:hideMark/>
          </w:tcPr>
          <w:p w14:paraId="070DACDE" w14:textId="77777777" w:rsidR="00CF7ABE" w:rsidRPr="00B74E01" w:rsidRDefault="00CF7ABE" w:rsidP="00077895">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Recomendação</w:t>
            </w:r>
          </w:p>
        </w:tc>
      </w:tr>
      <w:tr w:rsidR="00CF7ABE" w:rsidRPr="00B74E01" w14:paraId="2254092B" w14:textId="77777777" w:rsidTr="0058413D">
        <w:trPr>
          <w:tblCellSpacing w:w="15" w:type="dxa"/>
        </w:trPr>
        <w:tc>
          <w:tcPr>
            <w:tcW w:w="0" w:type="auto"/>
            <w:vAlign w:val="center"/>
            <w:hideMark/>
          </w:tcPr>
          <w:p w14:paraId="44AE5164" w14:textId="77777777" w:rsidR="00CF7ABE" w:rsidRPr="00B74E01" w:rsidRDefault="00CF7ABE" w:rsidP="0007789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 acessória estimada</w:t>
            </w:r>
          </w:p>
        </w:tc>
        <w:tc>
          <w:tcPr>
            <w:tcW w:w="0" w:type="auto"/>
            <w:vAlign w:val="center"/>
            <w:hideMark/>
          </w:tcPr>
          <w:p w14:paraId="6E753A8C" w14:textId="77777777" w:rsidR="00CF7ABE" w:rsidRPr="00B74E01" w:rsidRDefault="00CF7ABE" w:rsidP="0007789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Somente se houver base técnica, volume, preço e mercado comprador</w:t>
            </w:r>
          </w:p>
        </w:tc>
      </w:tr>
      <w:tr w:rsidR="00CF7ABE" w:rsidRPr="00B74E01" w14:paraId="72FC1C42" w14:textId="77777777" w:rsidTr="0058413D">
        <w:trPr>
          <w:tblCellSpacing w:w="15" w:type="dxa"/>
        </w:trPr>
        <w:tc>
          <w:tcPr>
            <w:tcW w:w="0" w:type="auto"/>
            <w:vAlign w:val="center"/>
            <w:hideMark/>
          </w:tcPr>
          <w:p w14:paraId="0CF0774A" w14:textId="77777777" w:rsidR="00CF7ABE" w:rsidRPr="00B74E01" w:rsidRDefault="00CF7ABE" w:rsidP="0007789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 não monetizada</w:t>
            </w:r>
          </w:p>
        </w:tc>
        <w:tc>
          <w:tcPr>
            <w:tcW w:w="0" w:type="auto"/>
            <w:vAlign w:val="center"/>
            <w:hideMark/>
          </w:tcPr>
          <w:p w14:paraId="001CFBFF" w14:textId="77777777" w:rsidR="00CF7ABE" w:rsidRPr="00B74E01" w:rsidRDefault="00CF7ABE" w:rsidP="0007789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Pode ser mencionada como benefício ambiental e operacional</w:t>
            </w:r>
          </w:p>
        </w:tc>
      </w:tr>
      <w:tr w:rsidR="00CF7ABE" w:rsidRPr="00B74E01" w14:paraId="244C70DB" w14:textId="77777777" w:rsidTr="0058413D">
        <w:trPr>
          <w:tblCellSpacing w:w="15" w:type="dxa"/>
        </w:trPr>
        <w:tc>
          <w:tcPr>
            <w:tcW w:w="0" w:type="auto"/>
            <w:vAlign w:val="center"/>
            <w:hideMark/>
          </w:tcPr>
          <w:p w14:paraId="4CD4F9C7" w14:textId="77777777" w:rsidR="00CF7ABE" w:rsidRPr="00B74E01" w:rsidRDefault="00CF7ABE" w:rsidP="0007789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lastRenderedPageBreak/>
              <w:t>Obrigação de triagem</w:t>
            </w:r>
          </w:p>
        </w:tc>
        <w:tc>
          <w:tcPr>
            <w:tcW w:w="0" w:type="auto"/>
            <w:vAlign w:val="center"/>
            <w:hideMark/>
          </w:tcPr>
          <w:p w14:paraId="217F1B71" w14:textId="77777777" w:rsidR="00CF7ABE" w:rsidRPr="00B74E01" w:rsidRDefault="00CF7ABE" w:rsidP="0007789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Pode ser tratada no caderno técnico e indicadores de desempenho</w:t>
            </w:r>
          </w:p>
        </w:tc>
      </w:tr>
      <w:tr w:rsidR="00CF7ABE" w:rsidRPr="00B74E01" w14:paraId="0CF3196A" w14:textId="77777777" w:rsidTr="0058413D">
        <w:trPr>
          <w:tblCellSpacing w:w="15" w:type="dxa"/>
        </w:trPr>
        <w:tc>
          <w:tcPr>
            <w:tcW w:w="0" w:type="auto"/>
            <w:vAlign w:val="center"/>
            <w:hideMark/>
          </w:tcPr>
          <w:p w14:paraId="23923AE1" w14:textId="77777777" w:rsidR="00CF7ABE" w:rsidRPr="00B74E01" w:rsidRDefault="00CF7ABE" w:rsidP="0007789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Integração com catadores</w:t>
            </w:r>
          </w:p>
        </w:tc>
        <w:tc>
          <w:tcPr>
            <w:tcW w:w="0" w:type="auto"/>
            <w:vAlign w:val="center"/>
            <w:hideMark/>
          </w:tcPr>
          <w:p w14:paraId="3BE9A1DB" w14:textId="77777777" w:rsidR="00CF7ABE" w:rsidRPr="00B74E01" w:rsidRDefault="00CF7ABE" w:rsidP="0007789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Deve ser tratada com cuidado para não descaracterizar a planta industrial</w:t>
            </w:r>
          </w:p>
        </w:tc>
      </w:tr>
    </w:tbl>
    <w:p w14:paraId="6522BC97"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Para fins do caderno econômico, a melhor redação é reconhecer os recicláveis como </w:t>
      </w:r>
      <w:r w:rsidRPr="00B74E01">
        <w:rPr>
          <w:rFonts w:eastAsia="Times New Roman" w:cs="Arial"/>
          <w:b/>
          <w:bCs/>
          <w:kern w:val="0"/>
          <w:lang w:eastAsia="pt-BR"/>
          <w14:ligatures w14:val="none"/>
        </w:rPr>
        <w:t>receita acessória potencial adicional</w:t>
      </w:r>
      <w:r w:rsidRPr="00B74E01">
        <w:rPr>
          <w:rFonts w:eastAsia="Times New Roman" w:cs="Arial"/>
          <w:kern w:val="0"/>
          <w:lang w:eastAsia="pt-BR"/>
          <w14:ligatures w14:val="none"/>
        </w:rPr>
        <w:t>, dependente de confirmação técnica e comercial, sem incorporá-los de imediato ao cenário-base financeiro, salvo decisão expressa da modelagem.</w:t>
      </w:r>
    </w:p>
    <w:p w14:paraId="0EF00D0B" w14:textId="77777777" w:rsidR="00CF7ABE" w:rsidRPr="00B74E01" w:rsidRDefault="00CF7ABE" w:rsidP="00077895">
      <w:pPr>
        <w:pStyle w:val="Ttulo2"/>
        <w:rPr>
          <w:rFonts w:eastAsia="Times New Roman"/>
          <w:lang w:eastAsia="pt-BR"/>
        </w:rPr>
      </w:pPr>
      <w:bookmarkStart w:id="25" w:name="_Toc230204027"/>
      <w:r w:rsidRPr="00B74E01">
        <w:rPr>
          <w:rFonts w:eastAsia="Times New Roman"/>
          <w:lang w:eastAsia="pt-BR"/>
        </w:rPr>
        <w:t>4.8. Quantidade mínima contratada e estabilidade da receita</w:t>
      </w:r>
      <w:bookmarkEnd w:id="25"/>
    </w:p>
    <w:p w14:paraId="2A31122D"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 quantidade mínima contratada de </w:t>
      </w:r>
      <w:r w:rsidRPr="00B74E01">
        <w:rPr>
          <w:rFonts w:eastAsia="Times New Roman" w:cs="Arial"/>
          <w:b/>
          <w:bCs/>
          <w:kern w:val="0"/>
          <w:lang w:eastAsia="pt-BR"/>
          <w14:ligatures w14:val="none"/>
        </w:rPr>
        <w:t>80 t/dia</w:t>
      </w:r>
      <w:r w:rsidRPr="00B74E01">
        <w:rPr>
          <w:rFonts w:eastAsia="Times New Roman" w:cs="Arial"/>
          <w:kern w:val="0"/>
          <w:lang w:eastAsia="pt-BR"/>
          <w14:ligatures w14:val="none"/>
        </w:rPr>
        <w:t xml:space="preserve"> é elemento fundamental da lógica econômica.</w:t>
      </w:r>
    </w:p>
    <w:p w14:paraId="379309A6"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Ela permite estabilizar a receita principal de destinação/tratamento e reduzir o risco de demanda da SPE. Sem essa garantia mínima, a operação ficaria mais exposta à oscilação de volume entregue, o que poderia comprometer a </w:t>
      </w:r>
      <w:proofErr w:type="spellStart"/>
      <w:r w:rsidRPr="00B74E01">
        <w:rPr>
          <w:rFonts w:eastAsia="Times New Roman" w:cs="Arial"/>
          <w:kern w:val="0"/>
          <w:lang w:eastAsia="pt-BR"/>
          <w14:ligatures w14:val="none"/>
        </w:rPr>
        <w:t>bancabilidade</w:t>
      </w:r>
      <w:proofErr w:type="spellEnd"/>
      <w:r w:rsidRPr="00B74E01">
        <w:rPr>
          <w:rFonts w:eastAsia="Times New Roman" w:cs="Arial"/>
          <w:kern w:val="0"/>
          <w:lang w:eastAsia="pt-BR"/>
          <w14:ligatures w14:val="none"/>
        </w:rPr>
        <w:t>.</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837"/>
        <w:gridCol w:w="6224"/>
      </w:tblGrid>
      <w:tr w:rsidR="00CF7ABE" w:rsidRPr="00B74E01" w14:paraId="54333C11" w14:textId="77777777" w:rsidTr="0058413D">
        <w:trPr>
          <w:tblHeader/>
          <w:tblCellSpacing w:w="15" w:type="dxa"/>
        </w:trPr>
        <w:tc>
          <w:tcPr>
            <w:tcW w:w="0" w:type="auto"/>
            <w:vAlign w:val="center"/>
            <w:hideMark/>
          </w:tcPr>
          <w:p w14:paraId="1EE5F777" w14:textId="77777777" w:rsidR="00CF7ABE" w:rsidRPr="00B74E01" w:rsidRDefault="00CF7ABE" w:rsidP="00077895">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Situação</w:t>
            </w:r>
          </w:p>
        </w:tc>
        <w:tc>
          <w:tcPr>
            <w:tcW w:w="0" w:type="auto"/>
            <w:vAlign w:val="center"/>
            <w:hideMark/>
          </w:tcPr>
          <w:p w14:paraId="77535D67" w14:textId="77777777" w:rsidR="00CF7ABE" w:rsidRPr="00B74E01" w:rsidRDefault="00CF7ABE" w:rsidP="00077895">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Tratamento econômico</w:t>
            </w:r>
          </w:p>
        </w:tc>
      </w:tr>
      <w:tr w:rsidR="00CF7ABE" w:rsidRPr="00B74E01" w14:paraId="247361ED" w14:textId="77777777" w:rsidTr="0058413D">
        <w:trPr>
          <w:tblCellSpacing w:w="15" w:type="dxa"/>
        </w:trPr>
        <w:tc>
          <w:tcPr>
            <w:tcW w:w="0" w:type="auto"/>
            <w:vAlign w:val="center"/>
            <w:hideMark/>
          </w:tcPr>
          <w:p w14:paraId="4C94378F" w14:textId="77777777" w:rsidR="00CF7ABE" w:rsidRPr="00B74E01" w:rsidRDefault="00CF7ABE" w:rsidP="0007789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Entrega inferior a 80 t/dia</w:t>
            </w:r>
          </w:p>
        </w:tc>
        <w:tc>
          <w:tcPr>
            <w:tcW w:w="0" w:type="auto"/>
            <w:vAlign w:val="center"/>
            <w:hideMark/>
          </w:tcPr>
          <w:p w14:paraId="6D244B8D" w14:textId="77777777" w:rsidR="00CF7ABE" w:rsidRPr="00B74E01" w:rsidRDefault="00CF7ABE" w:rsidP="0007789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Faturamento mínimo sobre 80 t/dia, salvo hipóteses contratuais específicas</w:t>
            </w:r>
          </w:p>
        </w:tc>
      </w:tr>
      <w:tr w:rsidR="00CF7ABE" w:rsidRPr="00B74E01" w14:paraId="75D6F3D2" w14:textId="77777777" w:rsidTr="0058413D">
        <w:trPr>
          <w:tblCellSpacing w:w="15" w:type="dxa"/>
        </w:trPr>
        <w:tc>
          <w:tcPr>
            <w:tcW w:w="0" w:type="auto"/>
            <w:vAlign w:val="center"/>
            <w:hideMark/>
          </w:tcPr>
          <w:p w14:paraId="798084C1" w14:textId="77777777" w:rsidR="00CF7ABE" w:rsidRPr="00B74E01" w:rsidRDefault="00CF7ABE" w:rsidP="0007789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Entrega igual a 80 t/dia</w:t>
            </w:r>
          </w:p>
        </w:tc>
        <w:tc>
          <w:tcPr>
            <w:tcW w:w="0" w:type="auto"/>
            <w:vAlign w:val="center"/>
            <w:hideMark/>
          </w:tcPr>
          <w:p w14:paraId="5271E124" w14:textId="77777777" w:rsidR="00CF7ABE" w:rsidRPr="00B74E01" w:rsidRDefault="00CF7ABE" w:rsidP="0007789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Faturamento sobre a base contratada</w:t>
            </w:r>
          </w:p>
        </w:tc>
      </w:tr>
      <w:tr w:rsidR="00CF7ABE" w:rsidRPr="00B74E01" w14:paraId="5AB4A908" w14:textId="77777777" w:rsidTr="0058413D">
        <w:trPr>
          <w:tblCellSpacing w:w="15" w:type="dxa"/>
        </w:trPr>
        <w:tc>
          <w:tcPr>
            <w:tcW w:w="0" w:type="auto"/>
            <w:vAlign w:val="center"/>
            <w:hideMark/>
          </w:tcPr>
          <w:p w14:paraId="5254C602" w14:textId="77777777" w:rsidR="00CF7ABE" w:rsidRPr="00B74E01" w:rsidRDefault="00CF7ABE" w:rsidP="0007789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Entrega superior a 80 t/dia</w:t>
            </w:r>
          </w:p>
        </w:tc>
        <w:tc>
          <w:tcPr>
            <w:tcW w:w="0" w:type="auto"/>
            <w:vAlign w:val="center"/>
            <w:hideMark/>
          </w:tcPr>
          <w:p w14:paraId="193D2B59" w14:textId="77777777" w:rsidR="00CF7ABE" w:rsidRPr="00B74E01" w:rsidRDefault="00CF7ABE" w:rsidP="0007789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Faturamento adicional se previsto contratualmente</w:t>
            </w:r>
          </w:p>
        </w:tc>
      </w:tr>
      <w:tr w:rsidR="00CF7ABE" w:rsidRPr="00B74E01" w14:paraId="20183041" w14:textId="77777777" w:rsidTr="0058413D">
        <w:trPr>
          <w:tblCellSpacing w:w="15" w:type="dxa"/>
        </w:trPr>
        <w:tc>
          <w:tcPr>
            <w:tcW w:w="0" w:type="auto"/>
            <w:vAlign w:val="center"/>
            <w:hideMark/>
          </w:tcPr>
          <w:p w14:paraId="5FC57E7B" w14:textId="77777777" w:rsidR="00CF7ABE" w:rsidRPr="00B74E01" w:rsidRDefault="00CF7ABE" w:rsidP="0007789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Impacto nas receitas acessórias</w:t>
            </w:r>
          </w:p>
        </w:tc>
        <w:tc>
          <w:tcPr>
            <w:tcW w:w="0" w:type="auto"/>
            <w:vAlign w:val="center"/>
            <w:hideMark/>
          </w:tcPr>
          <w:p w14:paraId="36922813" w14:textId="77777777" w:rsidR="00CF7ABE" w:rsidRPr="00B74E01" w:rsidRDefault="00CF7ABE" w:rsidP="0007789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Variam conforme volume efetivamente processado</w:t>
            </w:r>
          </w:p>
        </w:tc>
      </w:tr>
    </w:tbl>
    <w:p w14:paraId="5AFFEECD"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lastRenderedPageBreak/>
        <w:t>Esse ponto deve constar com clareza no contrato. A receita principal de destinação é protegida pela quantidade mínima contratada; as receitas acessórias, por sua vez, dependem do volume real e da qualidade do resíduo processado.</w:t>
      </w:r>
    </w:p>
    <w:p w14:paraId="6968F4EC" w14:textId="77777777" w:rsidR="00CF7ABE" w:rsidRPr="00B74E01" w:rsidRDefault="00CF7ABE" w:rsidP="00077895">
      <w:pPr>
        <w:pStyle w:val="Ttulo2"/>
        <w:rPr>
          <w:rFonts w:eastAsia="Times New Roman"/>
          <w:lang w:eastAsia="pt-BR"/>
        </w:rPr>
      </w:pPr>
      <w:bookmarkStart w:id="26" w:name="_Toc230204028"/>
      <w:r w:rsidRPr="00B74E01">
        <w:rPr>
          <w:rFonts w:eastAsia="Times New Roman"/>
          <w:lang w:eastAsia="pt-BR"/>
        </w:rPr>
        <w:t>4.9. Energia como componente econômico da solução integrada</w:t>
      </w:r>
      <w:bookmarkEnd w:id="26"/>
    </w:p>
    <w:p w14:paraId="7A88EE27"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remuneração energética da SPE deve ser tratada como componente econômico da solução integrada da PPP.</w:t>
      </w:r>
    </w:p>
    <w:p w14:paraId="72254800"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O texto deve evitar formulações que possam ser interpretadas como venda direta irregular de energia elétrica. O mais adequado é vincular a rubrica à disponibilização de capacidade de geração energética renovável no âmbito da infraestrutura concedida, com o devido enquadramento jurídico-regulatório.</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571"/>
        <w:gridCol w:w="6490"/>
      </w:tblGrid>
      <w:tr w:rsidR="00CF7ABE" w:rsidRPr="00B74E01" w14:paraId="06A80DE0" w14:textId="77777777" w:rsidTr="0058413D">
        <w:trPr>
          <w:tblHeader/>
          <w:tblCellSpacing w:w="15" w:type="dxa"/>
        </w:trPr>
        <w:tc>
          <w:tcPr>
            <w:tcW w:w="0" w:type="auto"/>
            <w:vAlign w:val="center"/>
            <w:hideMark/>
          </w:tcPr>
          <w:p w14:paraId="1B480F54" w14:textId="77777777" w:rsidR="00CF7ABE" w:rsidRPr="00B74E01" w:rsidRDefault="00CF7ABE" w:rsidP="00077895">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Elemento</w:t>
            </w:r>
          </w:p>
        </w:tc>
        <w:tc>
          <w:tcPr>
            <w:tcW w:w="0" w:type="auto"/>
            <w:vAlign w:val="center"/>
            <w:hideMark/>
          </w:tcPr>
          <w:p w14:paraId="3680CF93" w14:textId="77777777" w:rsidR="00CF7ABE" w:rsidRPr="00B74E01" w:rsidRDefault="00CF7ABE" w:rsidP="00077895">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Tratamento recomendado</w:t>
            </w:r>
          </w:p>
        </w:tc>
      </w:tr>
      <w:tr w:rsidR="00CF7ABE" w:rsidRPr="00B74E01" w14:paraId="46096F93" w14:textId="77777777" w:rsidTr="0058413D">
        <w:trPr>
          <w:tblCellSpacing w:w="15" w:type="dxa"/>
        </w:trPr>
        <w:tc>
          <w:tcPr>
            <w:tcW w:w="0" w:type="auto"/>
            <w:vAlign w:val="center"/>
            <w:hideMark/>
          </w:tcPr>
          <w:p w14:paraId="78290B2F" w14:textId="77777777" w:rsidR="00CF7ABE" w:rsidRPr="00B74E01" w:rsidRDefault="00CF7ABE" w:rsidP="00077895">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Conta atual da Coelba</w:t>
            </w:r>
          </w:p>
        </w:tc>
        <w:tc>
          <w:tcPr>
            <w:tcW w:w="0" w:type="auto"/>
            <w:vAlign w:val="center"/>
            <w:hideMark/>
          </w:tcPr>
          <w:p w14:paraId="599F0ED9" w14:textId="77777777" w:rsidR="00CF7ABE" w:rsidRPr="00B74E01" w:rsidRDefault="00CF7ABE" w:rsidP="00077895">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Base de comparação econômica da despesa municipal</w:t>
            </w:r>
          </w:p>
        </w:tc>
      </w:tr>
      <w:tr w:rsidR="00CF7ABE" w:rsidRPr="00B74E01" w14:paraId="7101953E" w14:textId="77777777" w:rsidTr="0058413D">
        <w:trPr>
          <w:tblCellSpacing w:w="15" w:type="dxa"/>
        </w:trPr>
        <w:tc>
          <w:tcPr>
            <w:tcW w:w="0" w:type="auto"/>
            <w:vAlign w:val="center"/>
            <w:hideMark/>
          </w:tcPr>
          <w:p w14:paraId="730A44F3" w14:textId="77777777" w:rsidR="00CF7ABE" w:rsidRPr="00B74E01" w:rsidRDefault="00CF7ABE" w:rsidP="00077895">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Remuneração da SPE</w:t>
            </w:r>
          </w:p>
        </w:tc>
        <w:tc>
          <w:tcPr>
            <w:tcW w:w="0" w:type="auto"/>
            <w:vAlign w:val="center"/>
            <w:hideMark/>
          </w:tcPr>
          <w:p w14:paraId="6C04035A" w14:textId="77777777" w:rsidR="00CF7ABE" w:rsidRPr="00B74E01" w:rsidRDefault="00CF7ABE" w:rsidP="00077895">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Disponibilização de capacidade energética renovável</w:t>
            </w:r>
          </w:p>
        </w:tc>
      </w:tr>
      <w:tr w:rsidR="00CF7ABE" w:rsidRPr="00B74E01" w14:paraId="1EF9BC81" w14:textId="77777777" w:rsidTr="0058413D">
        <w:trPr>
          <w:tblCellSpacing w:w="15" w:type="dxa"/>
        </w:trPr>
        <w:tc>
          <w:tcPr>
            <w:tcW w:w="0" w:type="auto"/>
            <w:vAlign w:val="center"/>
            <w:hideMark/>
          </w:tcPr>
          <w:p w14:paraId="64C76DF9" w14:textId="77777777" w:rsidR="00CF7ABE" w:rsidRPr="00B74E01" w:rsidRDefault="00CF7ABE" w:rsidP="00077895">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Economia ao Município</w:t>
            </w:r>
          </w:p>
        </w:tc>
        <w:tc>
          <w:tcPr>
            <w:tcW w:w="0" w:type="auto"/>
            <w:vAlign w:val="center"/>
            <w:hideMark/>
          </w:tcPr>
          <w:p w14:paraId="51D2CC70" w14:textId="77777777" w:rsidR="00CF7ABE" w:rsidRPr="00B74E01" w:rsidRDefault="00CF7ABE" w:rsidP="00077895">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Diferença entre despesa atual e remuneração proposta</w:t>
            </w:r>
          </w:p>
        </w:tc>
      </w:tr>
      <w:tr w:rsidR="00CF7ABE" w:rsidRPr="00B74E01" w14:paraId="121FF6EA" w14:textId="77777777" w:rsidTr="0058413D">
        <w:trPr>
          <w:tblCellSpacing w:w="15" w:type="dxa"/>
        </w:trPr>
        <w:tc>
          <w:tcPr>
            <w:tcW w:w="0" w:type="auto"/>
            <w:vAlign w:val="center"/>
            <w:hideMark/>
          </w:tcPr>
          <w:p w14:paraId="6DC17634" w14:textId="77777777" w:rsidR="00CF7ABE" w:rsidRPr="00B74E01" w:rsidRDefault="00CF7ABE" w:rsidP="00077895">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Regulação aplicável</w:t>
            </w:r>
          </w:p>
        </w:tc>
        <w:tc>
          <w:tcPr>
            <w:tcW w:w="0" w:type="auto"/>
            <w:vAlign w:val="center"/>
            <w:hideMark/>
          </w:tcPr>
          <w:p w14:paraId="31E0A4D3" w14:textId="77777777" w:rsidR="00CF7ABE" w:rsidRPr="00B74E01" w:rsidRDefault="00CF7ABE" w:rsidP="00077895">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A ser tratada no edital, contrato e parecer jurídico-regulatório</w:t>
            </w:r>
          </w:p>
        </w:tc>
      </w:tr>
      <w:tr w:rsidR="00CF7ABE" w:rsidRPr="00B74E01" w14:paraId="388FAFBD" w14:textId="77777777" w:rsidTr="0058413D">
        <w:trPr>
          <w:tblCellSpacing w:w="15" w:type="dxa"/>
        </w:trPr>
        <w:tc>
          <w:tcPr>
            <w:tcW w:w="0" w:type="auto"/>
            <w:vAlign w:val="center"/>
            <w:hideMark/>
          </w:tcPr>
          <w:p w14:paraId="6F5034B0" w14:textId="77777777" w:rsidR="00CF7ABE" w:rsidRPr="00B74E01" w:rsidRDefault="00CF7ABE" w:rsidP="00077895">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Risco regulatório</w:t>
            </w:r>
          </w:p>
        </w:tc>
        <w:tc>
          <w:tcPr>
            <w:tcW w:w="0" w:type="auto"/>
            <w:vAlign w:val="center"/>
            <w:hideMark/>
          </w:tcPr>
          <w:p w14:paraId="7302414A" w14:textId="77777777" w:rsidR="00CF7ABE" w:rsidRPr="00B74E01" w:rsidRDefault="00CF7ABE" w:rsidP="00077895">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Deve constar na matriz de riscos</w:t>
            </w:r>
          </w:p>
        </w:tc>
      </w:tr>
    </w:tbl>
    <w:p w14:paraId="7B55C93D"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Essa formulação protege o caderno contra questionamentos futuros e evita simplificações perigosas.</w:t>
      </w:r>
    </w:p>
    <w:p w14:paraId="5ACB2E29" w14:textId="77777777" w:rsidR="00CF7ABE" w:rsidRPr="00B74E01" w:rsidRDefault="00CF7ABE" w:rsidP="00077895">
      <w:pPr>
        <w:pStyle w:val="Ttulo2"/>
        <w:rPr>
          <w:rFonts w:eastAsia="Times New Roman"/>
          <w:lang w:eastAsia="pt-BR"/>
        </w:rPr>
      </w:pPr>
      <w:bookmarkStart w:id="27" w:name="_Toc230204029"/>
      <w:r w:rsidRPr="00B74E01">
        <w:rPr>
          <w:rFonts w:eastAsia="Times New Roman"/>
          <w:lang w:eastAsia="pt-BR"/>
        </w:rPr>
        <w:t>4.10. Síntese da lógica econômica</w:t>
      </w:r>
      <w:bookmarkEnd w:id="27"/>
    </w:p>
    <w:p w14:paraId="3FB6B376"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lógica econômica da PPP pode ser sintetizada da seguinte forma:</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428"/>
        <w:gridCol w:w="4633"/>
      </w:tblGrid>
      <w:tr w:rsidR="00CF7ABE" w:rsidRPr="00B74E01" w14:paraId="60D44FD3" w14:textId="77777777" w:rsidTr="0058413D">
        <w:trPr>
          <w:tblHeader/>
          <w:tblCellSpacing w:w="15" w:type="dxa"/>
        </w:trPr>
        <w:tc>
          <w:tcPr>
            <w:tcW w:w="0" w:type="auto"/>
            <w:vAlign w:val="center"/>
            <w:hideMark/>
          </w:tcPr>
          <w:p w14:paraId="5F0F842A" w14:textId="77777777" w:rsidR="00CF7ABE" w:rsidRPr="00B74E01" w:rsidRDefault="00CF7ABE" w:rsidP="00077895">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Etapa</w:t>
            </w:r>
          </w:p>
        </w:tc>
        <w:tc>
          <w:tcPr>
            <w:tcW w:w="0" w:type="auto"/>
            <w:vAlign w:val="center"/>
            <w:hideMark/>
          </w:tcPr>
          <w:p w14:paraId="714E3857" w14:textId="77777777" w:rsidR="00CF7ABE" w:rsidRPr="00B74E01" w:rsidRDefault="00CF7ABE" w:rsidP="00077895">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Resultado esperado</w:t>
            </w:r>
          </w:p>
        </w:tc>
      </w:tr>
      <w:tr w:rsidR="00CF7ABE" w:rsidRPr="00B74E01" w14:paraId="4F1515DF" w14:textId="77777777" w:rsidTr="0058413D">
        <w:trPr>
          <w:tblCellSpacing w:w="15" w:type="dxa"/>
        </w:trPr>
        <w:tc>
          <w:tcPr>
            <w:tcW w:w="0" w:type="auto"/>
            <w:vAlign w:val="center"/>
            <w:hideMark/>
          </w:tcPr>
          <w:p w14:paraId="4C0732FC" w14:textId="77777777" w:rsidR="00CF7ABE" w:rsidRPr="00B74E01" w:rsidRDefault="00CF7ABE" w:rsidP="00077895">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Município disponibiliza área</w:t>
            </w:r>
          </w:p>
        </w:tc>
        <w:tc>
          <w:tcPr>
            <w:tcW w:w="0" w:type="auto"/>
            <w:vAlign w:val="center"/>
            <w:hideMark/>
          </w:tcPr>
          <w:p w14:paraId="4B3BC583" w14:textId="77777777" w:rsidR="00CF7ABE" w:rsidRPr="00B74E01" w:rsidRDefault="00CF7ABE" w:rsidP="00077895">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Reduz CAPEX da SPE e viabiliza implantação</w:t>
            </w:r>
          </w:p>
        </w:tc>
      </w:tr>
      <w:tr w:rsidR="00CF7ABE" w:rsidRPr="00B74E01" w14:paraId="5985E35F" w14:textId="77777777" w:rsidTr="0058413D">
        <w:trPr>
          <w:tblCellSpacing w:w="15" w:type="dxa"/>
        </w:trPr>
        <w:tc>
          <w:tcPr>
            <w:tcW w:w="0" w:type="auto"/>
            <w:vAlign w:val="center"/>
            <w:hideMark/>
          </w:tcPr>
          <w:p w14:paraId="76F4D956" w14:textId="77777777" w:rsidR="00CF7ABE" w:rsidRPr="00B74E01" w:rsidRDefault="00CF7ABE" w:rsidP="00077895">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lastRenderedPageBreak/>
              <w:t>SPE implanta infraestrutura</w:t>
            </w:r>
          </w:p>
        </w:tc>
        <w:tc>
          <w:tcPr>
            <w:tcW w:w="0" w:type="auto"/>
            <w:vAlign w:val="center"/>
            <w:hideMark/>
          </w:tcPr>
          <w:p w14:paraId="2A42A377" w14:textId="77777777" w:rsidR="00CF7ABE" w:rsidRPr="00B74E01" w:rsidRDefault="00CF7ABE" w:rsidP="00077895">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Investimento privado em solução ambiental e energética</w:t>
            </w:r>
          </w:p>
        </w:tc>
      </w:tr>
      <w:tr w:rsidR="00CF7ABE" w:rsidRPr="00B74E01" w14:paraId="33A382A8" w14:textId="77777777" w:rsidTr="0058413D">
        <w:trPr>
          <w:tblCellSpacing w:w="15" w:type="dxa"/>
        </w:trPr>
        <w:tc>
          <w:tcPr>
            <w:tcW w:w="0" w:type="auto"/>
            <w:vAlign w:val="center"/>
            <w:hideMark/>
          </w:tcPr>
          <w:p w14:paraId="007096DF" w14:textId="77777777" w:rsidR="00CF7ABE" w:rsidRPr="00B74E01" w:rsidRDefault="00CF7ABE" w:rsidP="00077895">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Município remunera destinação de RSU</w:t>
            </w:r>
          </w:p>
        </w:tc>
        <w:tc>
          <w:tcPr>
            <w:tcW w:w="0" w:type="auto"/>
            <w:vAlign w:val="center"/>
            <w:hideMark/>
          </w:tcPr>
          <w:p w14:paraId="7A5896F1" w14:textId="77777777" w:rsidR="00CF7ABE" w:rsidRPr="00B74E01" w:rsidRDefault="00CF7ABE" w:rsidP="00077895">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Garante tratamento adequado do passivo ambiental</w:t>
            </w:r>
          </w:p>
        </w:tc>
      </w:tr>
      <w:tr w:rsidR="00CF7ABE" w:rsidRPr="00B74E01" w14:paraId="1B9FCD9C" w14:textId="77777777" w:rsidTr="0058413D">
        <w:trPr>
          <w:tblCellSpacing w:w="15" w:type="dxa"/>
        </w:trPr>
        <w:tc>
          <w:tcPr>
            <w:tcW w:w="0" w:type="auto"/>
            <w:vAlign w:val="center"/>
            <w:hideMark/>
          </w:tcPr>
          <w:p w14:paraId="22D823A6" w14:textId="77777777" w:rsidR="00CF7ABE" w:rsidRPr="00B74E01" w:rsidRDefault="00CF7ABE" w:rsidP="00077895">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SPE disponibiliza capacidade energética</w:t>
            </w:r>
          </w:p>
        </w:tc>
        <w:tc>
          <w:tcPr>
            <w:tcW w:w="0" w:type="auto"/>
            <w:vAlign w:val="center"/>
            <w:hideMark/>
          </w:tcPr>
          <w:p w14:paraId="58DC6F1F" w14:textId="77777777" w:rsidR="00CF7ABE" w:rsidRPr="00B74E01" w:rsidRDefault="00CF7ABE" w:rsidP="00077895">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Reduz despesa energética municipal</w:t>
            </w:r>
          </w:p>
        </w:tc>
      </w:tr>
      <w:tr w:rsidR="00CF7ABE" w:rsidRPr="00B74E01" w14:paraId="59FBD9F1" w14:textId="77777777" w:rsidTr="0058413D">
        <w:trPr>
          <w:tblCellSpacing w:w="15" w:type="dxa"/>
        </w:trPr>
        <w:tc>
          <w:tcPr>
            <w:tcW w:w="0" w:type="auto"/>
            <w:vAlign w:val="center"/>
            <w:hideMark/>
          </w:tcPr>
          <w:p w14:paraId="5C9F88E0" w14:textId="77777777" w:rsidR="00CF7ABE" w:rsidRPr="00B74E01" w:rsidRDefault="00CF7ABE" w:rsidP="00077895">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Economia energética cobre o RSU no cenário-base</w:t>
            </w:r>
          </w:p>
        </w:tc>
        <w:tc>
          <w:tcPr>
            <w:tcW w:w="0" w:type="auto"/>
            <w:vAlign w:val="center"/>
            <w:hideMark/>
          </w:tcPr>
          <w:p w14:paraId="6F52E3D8" w14:textId="77777777" w:rsidR="00CF7ABE" w:rsidRPr="00B74E01" w:rsidRDefault="00CF7ABE" w:rsidP="00077895">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Demonstra vantajosidade direta</w:t>
            </w:r>
          </w:p>
        </w:tc>
      </w:tr>
      <w:tr w:rsidR="00CF7ABE" w:rsidRPr="00B74E01" w14:paraId="3FC8A384" w14:textId="77777777" w:rsidTr="0058413D">
        <w:trPr>
          <w:tblCellSpacing w:w="15" w:type="dxa"/>
        </w:trPr>
        <w:tc>
          <w:tcPr>
            <w:tcW w:w="0" w:type="auto"/>
            <w:vAlign w:val="center"/>
            <w:hideMark/>
          </w:tcPr>
          <w:p w14:paraId="2DE4D1C9" w14:textId="77777777" w:rsidR="00CF7ABE" w:rsidRPr="00B74E01" w:rsidRDefault="00CF7ABE" w:rsidP="00077895">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Receitas acessórias reforçam caixa</w:t>
            </w:r>
          </w:p>
        </w:tc>
        <w:tc>
          <w:tcPr>
            <w:tcW w:w="0" w:type="auto"/>
            <w:vAlign w:val="center"/>
            <w:hideMark/>
          </w:tcPr>
          <w:p w14:paraId="3E50E0B0" w14:textId="77777777" w:rsidR="00CF7ABE" w:rsidRPr="00B74E01" w:rsidRDefault="00CF7ABE" w:rsidP="00077895">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 xml:space="preserve">Melhoram </w:t>
            </w:r>
            <w:proofErr w:type="spellStart"/>
            <w:r w:rsidRPr="00B74E01">
              <w:rPr>
                <w:rFonts w:eastAsia="Times New Roman" w:cs="Arial"/>
                <w:kern w:val="0"/>
                <w:lang w:eastAsia="pt-BR"/>
                <w14:ligatures w14:val="none"/>
              </w:rPr>
              <w:t>bancabilidade</w:t>
            </w:r>
            <w:proofErr w:type="spellEnd"/>
            <w:r w:rsidRPr="00B74E01">
              <w:rPr>
                <w:rFonts w:eastAsia="Times New Roman" w:cs="Arial"/>
                <w:kern w:val="0"/>
                <w:lang w:eastAsia="pt-BR"/>
                <w14:ligatures w14:val="none"/>
              </w:rPr>
              <w:t xml:space="preserve"> e atratividade</w:t>
            </w:r>
          </w:p>
        </w:tc>
      </w:tr>
      <w:tr w:rsidR="00CF7ABE" w:rsidRPr="00B74E01" w14:paraId="0D016EDA" w14:textId="77777777" w:rsidTr="0058413D">
        <w:trPr>
          <w:tblCellSpacing w:w="15" w:type="dxa"/>
        </w:trPr>
        <w:tc>
          <w:tcPr>
            <w:tcW w:w="0" w:type="auto"/>
            <w:vAlign w:val="center"/>
            <w:hideMark/>
          </w:tcPr>
          <w:p w14:paraId="0F35E828" w14:textId="77777777" w:rsidR="00CF7ABE" w:rsidRPr="00B74E01" w:rsidRDefault="00CF7ABE" w:rsidP="00077895">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Parte dos benefícios vai ao Fundo Municipal</w:t>
            </w:r>
          </w:p>
        </w:tc>
        <w:tc>
          <w:tcPr>
            <w:tcW w:w="0" w:type="auto"/>
            <w:vAlign w:val="center"/>
            <w:hideMark/>
          </w:tcPr>
          <w:p w14:paraId="2217FAE9" w14:textId="77777777" w:rsidR="00CF7ABE" w:rsidRPr="00B74E01" w:rsidRDefault="00CF7ABE" w:rsidP="00077895">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Fortalece políticas ambientais e tecnológicas</w:t>
            </w:r>
          </w:p>
        </w:tc>
      </w:tr>
      <w:tr w:rsidR="00CF7ABE" w:rsidRPr="00B74E01" w14:paraId="5C4850C2" w14:textId="77777777" w:rsidTr="0058413D">
        <w:trPr>
          <w:tblCellSpacing w:w="15" w:type="dxa"/>
        </w:trPr>
        <w:tc>
          <w:tcPr>
            <w:tcW w:w="0" w:type="auto"/>
            <w:vAlign w:val="center"/>
            <w:hideMark/>
          </w:tcPr>
          <w:p w14:paraId="0B064923" w14:textId="77777777" w:rsidR="00CF7ABE" w:rsidRPr="00B74E01" w:rsidRDefault="00CF7ABE" w:rsidP="00077895">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Fundo Garantidor protege receitas principais</w:t>
            </w:r>
          </w:p>
        </w:tc>
        <w:tc>
          <w:tcPr>
            <w:tcW w:w="0" w:type="auto"/>
            <w:vAlign w:val="center"/>
            <w:hideMark/>
          </w:tcPr>
          <w:p w14:paraId="0B307013" w14:textId="77777777" w:rsidR="00CF7ABE" w:rsidRPr="00B74E01" w:rsidRDefault="00CF7ABE" w:rsidP="00077895">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Melhora segurança para financiador e investidor</w:t>
            </w:r>
          </w:p>
        </w:tc>
      </w:tr>
      <w:tr w:rsidR="00CF7ABE" w:rsidRPr="00B74E01" w14:paraId="63CA68A5" w14:textId="77777777" w:rsidTr="0058413D">
        <w:trPr>
          <w:tblCellSpacing w:w="15" w:type="dxa"/>
        </w:trPr>
        <w:tc>
          <w:tcPr>
            <w:tcW w:w="0" w:type="auto"/>
            <w:vAlign w:val="center"/>
            <w:hideMark/>
          </w:tcPr>
          <w:p w14:paraId="5D4F03BB" w14:textId="77777777" w:rsidR="00CF7ABE" w:rsidRPr="00B74E01" w:rsidRDefault="00CF7ABE" w:rsidP="00077895">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Matriz de riscos organiza responsabilidades</w:t>
            </w:r>
          </w:p>
        </w:tc>
        <w:tc>
          <w:tcPr>
            <w:tcW w:w="0" w:type="auto"/>
            <w:vAlign w:val="center"/>
            <w:hideMark/>
          </w:tcPr>
          <w:p w14:paraId="3B4F144C" w14:textId="77777777" w:rsidR="00CF7ABE" w:rsidRPr="00B74E01" w:rsidRDefault="00CF7ABE" w:rsidP="00077895">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Reduz litígios e melhora governança</w:t>
            </w:r>
          </w:p>
        </w:tc>
      </w:tr>
    </w:tbl>
    <w:p w14:paraId="671D7541"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PPP, portanto, não deve ser apresentada como simples compra de serviço de destinação de lixo, nem como simples projeto de geração de energia. Trata-se de uma estrutura integrada de investimento, tratamento ambiental, eficiência econômica, inovação e governança pública.</w:t>
      </w:r>
    </w:p>
    <w:p w14:paraId="5060E7BB" w14:textId="77777777" w:rsidR="00CF7ABE" w:rsidRPr="00B74E01" w:rsidRDefault="00CF7ABE" w:rsidP="00077895">
      <w:pPr>
        <w:pStyle w:val="Ttulo2"/>
        <w:rPr>
          <w:rFonts w:eastAsia="Times New Roman"/>
          <w:lang w:eastAsia="pt-BR"/>
        </w:rPr>
      </w:pPr>
      <w:bookmarkStart w:id="28" w:name="_Toc230204030"/>
      <w:r w:rsidRPr="00B74E01">
        <w:rPr>
          <w:rFonts w:eastAsia="Times New Roman"/>
          <w:lang w:eastAsia="pt-BR"/>
        </w:rPr>
        <w:t>4.11. Conclusão do tópico</w:t>
      </w:r>
      <w:bookmarkEnd w:id="28"/>
    </w:p>
    <w:p w14:paraId="30A6CB86"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lógica econômica da PPP demonstra que o projeto busca transformar duas obrigações municipais recorrentes — destinação adequada do RSU e pagamento de energia elétrica — em uma solução integrada capaz de gerar eficiência, previsibilidade, investimento privado e benefícios ambientais.</w:t>
      </w:r>
    </w:p>
    <w:p w14:paraId="09DA9E50"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No cenário-base, a economia energética estimada é suficiente para custear a destinação/tratamento do RSU a </w:t>
      </w:r>
      <w:r w:rsidRPr="00B74E01">
        <w:rPr>
          <w:rFonts w:eastAsia="Times New Roman" w:cs="Arial"/>
          <w:b/>
          <w:bCs/>
          <w:kern w:val="0"/>
          <w:lang w:eastAsia="pt-BR"/>
          <w14:ligatures w14:val="none"/>
        </w:rPr>
        <w:t>R$ 95/t</w:t>
      </w:r>
      <w:r w:rsidRPr="00B74E01">
        <w:rPr>
          <w:rFonts w:eastAsia="Times New Roman" w:cs="Arial"/>
          <w:kern w:val="0"/>
          <w:lang w:eastAsia="pt-BR"/>
          <w14:ligatures w14:val="none"/>
        </w:rPr>
        <w:t xml:space="preserve"> e ainda gerar saldo positivo ao Município. Como referência regional, tarifas de destinação podem alcançar </w:t>
      </w:r>
      <w:r w:rsidRPr="00B74E01">
        <w:rPr>
          <w:rFonts w:eastAsia="Times New Roman" w:cs="Arial"/>
          <w:b/>
          <w:bCs/>
          <w:kern w:val="0"/>
          <w:lang w:eastAsia="pt-BR"/>
          <w14:ligatures w14:val="none"/>
        </w:rPr>
        <w:t>R$ 140/t</w:t>
      </w:r>
      <w:r w:rsidRPr="00B74E01">
        <w:rPr>
          <w:rFonts w:eastAsia="Times New Roman" w:cs="Arial"/>
          <w:kern w:val="0"/>
          <w:lang w:eastAsia="pt-BR"/>
          <w14:ligatures w14:val="none"/>
        </w:rPr>
        <w:t xml:space="preserve"> em soluções convencionais de aterro sanitário, as quais normalmente não entregam a mesma </w:t>
      </w:r>
      <w:r w:rsidRPr="00B74E01">
        <w:rPr>
          <w:rFonts w:eastAsia="Times New Roman" w:cs="Arial"/>
          <w:kern w:val="0"/>
          <w:lang w:eastAsia="pt-BR"/>
          <w14:ligatures w14:val="none"/>
        </w:rPr>
        <w:lastRenderedPageBreak/>
        <w:t>combinação de economia energética, valorização de subprodutos, inovação ambiental e fortalecimento do Fundo Municipal.</w:t>
      </w:r>
    </w:p>
    <w:p w14:paraId="22F8133E" w14:textId="06D58F0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 modelagem demonstra que a operação se sustenta com as receitas principais contratadas, embora com margem restrita, e se torna significativamente mais robusta com receitas acessórias. Essa conclusão deve ser apresentada com prudência, deixando claro que as receitas acessórias são </w:t>
      </w:r>
      <w:r w:rsidR="0058413D" w:rsidRPr="00B74E01">
        <w:rPr>
          <w:rFonts w:eastAsia="Times New Roman" w:cs="Arial"/>
          <w:kern w:val="0"/>
          <w:lang w:eastAsia="pt-BR"/>
          <w14:ligatures w14:val="none"/>
        </w:rPr>
        <w:t>potenciais</w:t>
      </w:r>
      <w:r w:rsidRPr="00B74E01">
        <w:rPr>
          <w:rFonts w:eastAsia="Times New Roman" w:cs="Arial"/>
          <w:kern w:val="0"/>
          <w:lang w:eastAsia="pt-BR"/>
          <w14:ligatures w14:val="none"/>
        </w:rPr>
        <w:t xml:space="preserve"> econômico da SPE, sujeitas a validação técnica, comercial e regulatória.</w:t>
      </w:r>
    </w:p>
    <w:p w14:paraId="2207037F"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 adequada estruturação da PPP exige, portanto, três cuidados centrais: proteção das receitas principais por garantias contratuais, tratamento prudente das receitas acessórias e demonstração de vantajosidade ampla, incluindo </w:t>
      </w:r>
      <w:proofErr w:type="spellStart"/>
      <w:r w:rsidRPr="00B74E01">
        <w:rPr>
          <w:rFonts w:eastAsia="Times New Roman" w:cs="Arial"/>
          <w:kern w:val="0"/>
          <w:lang w:eastAsia="pt-BR"/>
          <w14:ligatures w14:val="none"/>
        </w:rPr>
        <w:t>Value</w:t>
      </w:r>
      <w:proofErr w:type="spellEnd"/>
      <w:r w:rsidRPr="00B74E01">
        <w:rPr>
          <w:rFonts w:eastAsia="Times New Roman" w:cs="Arial"/>
          <w:kern w:val="0"/>
          <w:lang w:eastAsia="pt-BR"/>
          <w14:ligatures w14:val="none"/>
        </w:rPr>
        <w:t xml:space="preserve"> for Money, custo evitado, mitigação de passivo ambiental e benefícios institucionais ao Município.</w:t>
      </w:r>
    </w:p>
    <w:p w14:paraId="021DEE0A" w14:textId="70033F6E" w:rsidR="00CF7ABE" w:rsidRDefault="00CF7ABE" w:rsidP="00B74E01">
      <w:pPr>
        <w:spacing w:after="0" w:line="360" w:lineRule="auto"/>
        <w:ind w:firstLine="709"/>
        <w:jc w:val="both"/>
        <w:rPr>
          <w:rFonts w:eastAsia="Times New Roman" w:cs="Arial"/>
          <w:kern w:val="0"/>
          <w:lang w:eastAsia="pt-BR"/>
          <w14:ligatures w14:val="none"/>
        </w:rPr>
      </w:pPr>
    </w:p>
    <w:p w14:paraId="2BD0DC25" w14:textId="77777777" w:rsidR="00077895" w:rsidRDefault="00077895" w:rsidP="00B74E01">
      <w:pPr>
        <w:spacing w:after="0" w:line="360" w:lineRule="auto"/>
        <w:ind w:firstLine="709"/>
        <w:jc w:val="both"/>
        <w:rPr>
          <w:rFonts w:eastAsia="Times New Roman" w:cs="Arial"/>
          <w:kern w:val="0"/>
          <w:lang w:eastAsia="pt-BR"/>
          <w14:ligatures w14:val="none"/>
        </w:rPr>
      </w:pPr>
    </w:p>
    <w:p w14:paraId="673BBF33" w14:textId="77777777" w:rsidR="00077895" w:rsidRDefault="00077895" w:rsidP="00B74E01">
      <w:pPr>
        <w:spacing w:after="0" w:line="360" w:lineRule="auto"/>
        <w:ind w:firstLine="709"/>
        <w:jc w:val="both"/>
        <w:rPr>
          <w:rFonts w:eastAsia="Times New Roman" w:cs="Arial"/>
          <w:kern w:val="0"/>
          <w:lang w:eastAsia="pt-BR"/>
          <w14:ligatures w14:val="none"/>
        </w:rPr>
      </w:pPr>
    </w:p>
    <w:p w14:paraId="2A76DEEE" w14:textId="77777777" w:rsidR="00077895" w:rsidRDefault="00077895" w:rsidP="00B74E01">
      <w:pPr>
        <w:spacing w:after="0" w:line="360" w:lineRule="auto"/>
        <w:ind w:firstLine="709"/>
        <w:jc w:val="both"/>
        <w:rPr>
          <w:rFonts w:eastAsia="Times New Roman" w:cs="Arial"/>
          <w:kern w:val="0"/>
          <w:lang w:eastAsia="pt-BR"/>
          <w14:ligatures w14:val="none"/>
        </w:rPr>
      </w:pPr>
    </w:p>
    <w:p w14:paraId="67C1BDB7" w14:textId="77777777" w:rsidR="00077895" w:rsidRDefault="00077895" w:rsidP="00B74E01">
      <w:pPr>
        <w:spacing w:after="0" w:line="360" w:lineRule="auto"/>
        <w:ind w:firstLine="709"/>
        <w:jc w:val="both"/>
        <w:rPr>
          <w:rFonts w:eastAsia="Times New Roman" w:cs="Arial"/>
          <w:kern w:val="0"/>
          <w:lang w:eastAsia="pt-BR"/>
          <w14:ligatures w14:val="none"/>
        </w:rPr>
      </w:pPr>
    </w:p>
    <w:p w14:paraId="796284D1" w14:textId="77777777" w:rsidR="00077895" w:rsidRDefault="00077895" w:rsidP="00B74E01">
      <w:pPr>
        <w:spacing w:after="0" w:line="360" w:lineRule="auto"/>
        <w:ind w:firstLine="709"/>
        <w:jc w:val="both"/>
        <w:rPr>
          <w:rFonts w:eastAsia="Times New Roman" w:cs="Arial"/>
          <w:kern w:val="0"/>
          <w:lang w:eastAsia="pt-BR"/>
          <w14:ligatures w14:val="none"/>
        </w:rPr>
      </w:pPr>
    </w:p>
    <w:p w14:paraId="10AFD992" w14:textId="77777777" w:rsidR="00077895" w:rsidRDefault="00077895" w:rsidP="00B74E01">
      <w:pPr>
        <w:spacing w:after="0" w:line="360" w:lineRule="auto"/>
        <w:ind w:firstLine="709"/>
        <w:jc w:val="both"/>
        <w:rPr>
          <w:rFonts w:eastAsia="Times New Roman" w:cs="Arial"/>
          <w:kern w:val="0"/>
          <w:lang w:eastAsia="pt-BR"/>
          <w14:ligatures w14:val="none"/>
        </w:rPr>
      </w:pPr>
    </w:p>
    <w:p w14:paraId="6E674DAE" w14:textId="77777777" w:rsidR="00077895" w:rsidRDefault="00077895" w:rsidP="00B74E01">
      <w:pPr>
        <w:spacing w:after="0" w:line="360" w:lineRule="auto"/>
        <w:ind w:firstLine="709"/>
        <w:jc w:val="both"/>
        <w:rPr>
          <w:rFonts w:eastAsia="Times New Roman" w:cs="Arial"/>
          <w:kern w:val="0"/>
          <w:lang w:eastAsia="pt-BR"/>
          <w14:ligatures w14:val="none"/>
        </w:rPr>
      </w:pPr>
    </w:p>
    <w:p w14:paraId="2A9975BE" w14:textId="77777777" w:rsidR="00077895" w:rsidRDefault="00077895" w:rsidP="00B74E01">
      <w:pPr>
        <w:spacing w:after="0" w:line="360" w:lineRule="auto"/>
        <w:ind w:firstLine="709"/>
        <w:jc w:val="both"/>
        <w:rPr>
          <w:rFonts w:eastAsia="Times New Roman" w:cs="Arial"/>
          <w:kern w:val="0"/>
          <w:lang w:eastAsia="pt-BR"/>
          <w14:ligatures w14:val="none"/>
        </w:rPr>
      </w:pPr>
    </w:p>
    <w:p w14:paraId="21F8D0F4" w14:textId="77777777" w:rsidR="00077895" w:rsidRDefault="00077895" w:rsidP="00B74E01">
      <w:pPr>
        <w:spacing w:after="0" w:line="360" w:lineRule="auto"/>
        <w:ind w:firstLine="709"/>
        <w:jc w:val="both"/>
        <w:rPr>
          <w:rFonts w:eastAsia="Times New Roman" w:cs="Arial"/>
          <w:kern w:val="0"/>
          <w:lang w:eastAsia="pt-BR"/>
          <w14:ligatures w14:val="none"/>
        </w:rPr>
      </w:pPr>
    </w:p>
    <w:p w14:paraId="5D500E29" w14:textId="77777777" w:rsidR="00077895" w:rsidRDefault="00077895" w:rsidP="00B74E01">
      <w:pPr>
        <w:spacing w:after="0" w:line="360" w:lineRule="auto"/>
        <w:ind w:firstLine="709"/>
        <w:jc w:val="both"/>
        <w:rPr>
          <w:rFonts w:eastAsia="Times New Roman" w:cs="Arial"/>
          <w:kern w:val="0"/>
          <w:lang w:eastAsia="pt-BR"/>
          <w14:ligatures w14:val="none"/>
        </w:rPr>
      </w:pPr>
    </w:p>
    <w:p w14:paraId="136FDC69" w14:textId="77777777" w:rsidR="00077895" w:rsidRDefault="00077895" w:rsidP="00B74E01">
      <w:pPr>
        <w:spacing w:after="0" w:line="360" w:lineRule="auto"/>
        <w:ind w:firstLine="709"/>
        <w:jc w:val="both"/>
        <w:rPr>
          <w:rFonts w:eastAsia="Times New Roman" w:cs="Arial"/>
          <w:kern w:val="0"/>
          <w:lang w:eastAsia="pt-BR"/>
          <w14:ligatures w14:val="none"/>
        </w:rPr>
      </w:pPr>
    </w:p>
    <w:p w14:paraId="2B51FBFE" w14:textId="77777777" w:rsidR="00077895" w:rsidRDefault="00077895" w:rsidP="00B74E01">
      <w:pPr>
        <w:spacing w:after="0" w:line="360" w:lineRule="auto"/>
        <w:ind w:firstLine="709"/>
        <w:jc w:val="both"/>
        <w:rPr>
          <w:rFonts w:eastAsia="Times New Roman" w:cs="Arial"/>
          <w:kern w:val="0"/>
          <w:lang w:eastAsia="pt-BR"/>
          <w14:ligatures w14:val="none"/>
        </w:rPr>
      </w:pPr>
    </w:p>
    <w:p w14:paraId="582A7407" w14:textId="77777777" w:rsidR="00077895" w:rsidRDefault="00077895" w:rsidP="00B74E01">
      <w:pPr>
        <w:spacing w:after="0" w:line="360" w:lineRule="auto"/>
        <w:ind w:firstLine="709"/>
        <w:jc w:val="both"/>
        <w:rPr>
          <w:rFonts w:eastAsia="Times New Roman" w:cs="Arial"/>
          <w:kern w:val="0"/>
          <w:lang w:eastAsia="pt-BR"/>
          <w14:ligatures w14:val="none"/>
        </w:rPr>
      </w:pPr>
    </w:p>
    <w:p w14:paraId="1DE60787" w14:textId="77777777" w:rsidR="00077895" w:rsidRDefault="00077895" w:rsidP="00B74E01">
      <w:pPr>
        <w:spacing w:after="0" w:line="360" w:lineRule="auto"/>
        <w:ind w:firstLine="709"/>
        <w:jc w:val="both"/>
        <w:rPr>
          <w:rFonts w:eastAsia="Times New Roman" w:cs="Arial"/>
          <w:kern w:val="0"/>
          <w:lang w:eastAsia="pt-BR"/>
          <w14:ligatures w14:val="none"/>
        </w:rPr>
      </w:pPr>
    </w:p>
    <w:p w14:paraId="603A2917" w14:textId="77777777" w:rsidR="00077895" w:rsidRDefault="00077895" w:rsidP="00B74E01">
      <w:pPr>
        <w:spacing w:after="0" w:line="360" w:lineRule="auto"/>
        <w:ind w:firstLine="709"/>
        <w:jc w:val="both"/>
        <w:rPr>
          <w:rFonts w:eastAsia="Times New Roman" w:cs="Arial"/>
          <w:kern w:val="0"/>
          <w:lang w:eastAsia="pt-BR"/>
          <w14:ligatures w14:val="none"/>
        </w:rPr>
      </w:pPr>
    </w:p>
    <w:p w14:paraId="70D255DA" w14:textId="77777777" w:rsidR="00077895" w:rsidRDefault="00077895" w:rsidP="00B74E01">
      <w:pPr>
        <w:spacing w:after="0" w:line="360" w:lineRule="auto"/>
        <w:ind w:firstLine="709"/>
        <w:jc w:val="both"/>
        <w:rPr>
          <w:rFonts w:eastAsia="Times New Roman" w:cs="Arial"/>
          <w:kern w:val="0"/>
          <w:lang w:eastAsia="pt-BR"/>
          <w14:ligatures w14:val="none"/>
        </w:rPr>
      </w:pPr>
    </w:p>
    <w:p w14:paraId="064F2C9B" w14:textId="77777777" w:rsidR="00077895" w:rsidRDefault="00077895" w:rsidP="00B74E01">
      <w:pPr>
        <w:spacing w:after="0" w:line="360" w:lineRule="auto"/>
        <w:ind w:firstLine="709"/>
        <w:jc w:val="both"/>
        <w:rPr>
          <w:rFonts w:eastAsia="Times New Roman" w:cs="Arial"/>
          <w:kern w:val="0"/>
          <w:lang w:eastAsia="pt-BR"/>
          <w14:ligatures w14:val="none"/>
        </w:rPr>
      </w:pPr>
    </w:p>
    <w:p w14:paraId="0739BF23" w14:textId="77777777" w:rsidR="00077895" w:rsidRDefault="00077895" w:rsidP="00B74E01">
      <w:pPr>
        <w:spacing w:after="0" w:line="360" w:lineRule="auto"/>
        <w:ind w:firstLine="709"/>
        <w:jc w:val="both"/>
        <w:rPr>
          <w:rFonts w:eastAsia="Times New Roman" w:cs="Arial"/>
          <w:kern w:val="0"/>
          <w:lang w:eastAsia="pt-BR"/>
          <w14:ligatures w14:val="none"/>
        </w:rPr>
      </w:pPr>
    </w:p>
    <w:p w14:paraId="1EE9F9CA" w14:textId="77777777" w:rsidR="00CF7ABE" w:rsidRPr="00B74E01" w:rsidRDefault="00CF7ABE" w:rsidP="00077895">
      <w:pPr>
        <w:pStyle w:val="Ttulo1"/>
        <w:rPr>
          <w:rFonts w:eastAsia="Times New Roman"/>
          <w:lang w:eastAsia="pt-BR"/>
        </w:rPr>
      </w:pPr>
      <w:bookmarkStart w:id="29" w:name="_Toc230204031"/>
      <w:r w:rsidRPr="00B74E01">
        <w:rPr>
          <w:rFonts w:eastAsia="Times New Roman"/>
          <w:lang w:eastAsia="pt-BR"/>
        </w:rPr>
        <w:lastRenderedPageBreak/>
        <w:t>5. Separação entre Receitas Principais e Receitas Acessórias</w:t>
      </w:r>
      <w:bookmarkEnd w:id="29"/>
    </w:p>
    <w:p w14:paraId="112081CB"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separação entre receitas principais e receitas acessórias é uma das premissas centrais da modelagem econômico-financeira da PPP. Essa distinção é necessária para evitar confusão entre aquilo que constitui a base contratual mínima da concessão e aquilo que representa potencial econômico adicional da SPE.</w:t>
      </w:r>
    </w:p>
    <w:p w14:paraId="27200032"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Em projetos de PPP, essa separação é especialmente importante porque interfere diretamente na </w:t>
      </w:r>
      <w:proofErr w:type="spellStart"/>
      <w:r w:rsidRPr="00B74E01">
        <w:rPr>
          <w:rFonts w:eastAsia="Times New Roman" w:cs="Arial"/>
          <w:kern w:val="0"/>
          <w:lang w:eastAsia="pt-BR"/>
          <w14:ligatures w14:val="none"/>
        </w:rPr>
        <w:t>bancabilidade</w:t>
      </w:r>
      <w:proofErr w:type="spellEnd"/>
      <w:r w:rsidRPr="00B74E01">
        <w:rPr>
          <w:rFonts w:eastAsia="Times New Roman" w:cs="Arial"/>
          <w:kern w:val="0"/>
          <w:lang w:eastAsia="pt-BR"/>
          <w14:ligatures w14:val="none"/>
        </w:rPr>
        <w:t>, na matriz de riscos, na estrutura de garantias, na análise de vantajosidade, na definição de reequilíbrio econômico-financeiro e na leitura do projeto pelos órgãos de controle.</w:t>
      </w:r>
    </w:p>
    <w:p w14:paraId="11B44187"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As receitas principais devem ser compreendidas como aquelas diretamente vinculadas ao objeto contratual e ao pagamento mínimo necessário à sustentabilidade da concessão. As receitas acessórias, por sua vez, representam oportunidades econômicas adicionais, dependentes de desempenho técnico, mercado comprador, certificação, qualidade dos subprodutos, regulação aplicável e capacidade comercial da SPE.</w:t>
      </w:r>
    </w:p>
    <w:p w14:paraId="54A14B76" w14:textId="77777777" w:rsidR="00CF7ABE" w:rsidRPr="00B74E01" w:rsidRDefault="00CF7ABE" w:rsidP="001965AC">
      <w:pPr>
        <w:pStyle w:val="Ttulo2"/>
        <w:rPr>
          <w:rFonts w:eastAsia="Times New Roman"/>
          <w:lang w:eastAsia="pt-BR"/>
        </w:rPr>
      </w:pPr>
      <w:bookmarkStart w:id="30" w:name="_Toc230204032"/>
      <w:r w:rsidRPr="00B74E01">
        <w:rPr>
          <w:rFonts w:eastAsia="Times New Roman"/>
          <w:lang w:eastAsia="pt-BR"/>
        </w:rPr>
        <w:t>5.1. Conceito de receitas principais da PPP</w:t>
      </w:r>
      <w:bookmarkEnd w:id="30"/>
    </w:p>
    <w:p w14:paraId="4AD8BECA"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As receitas principais são aquelas diretamente vinculadas ao objeto contratual da PPP. São receitas previstas no contrato, associadas à prestação dos serviços principais e, por isso, devem ser tratadas como a base mínima de sustentação econômico-financeira do projeto.</w:t>
      </w:r>
    </w:p>
    <w:p w14:paraId="781C2BD0"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No presente caderno, as receitas principais são:</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087"/>
        <w:gridCol w:w="4333"/>
        <w:gridCol w:w="1641"/>
      </w:tblGrid>
      <w:tr w:rsidR="00CF7ABE" w:rsidRPr="00B74E01" w14:paraId="41C25D5B" w14:textId="77777777" w:rsidTr="0058413D">
        <w:trPr>
          <w:tblHeader/>
          <w:tblCellSpacing w:w="15" w:type="dxa"/>
        </w:trPr>
        <w:tc>
          <w:tcPr>
            <w:tcW w:w="0" w:type="auto"/>
            <w:vAlign w:val="center"/>
            <w:hideMark/>
          </w:tcPr>
          <w:p w14:paraId="6BC9C1FF" w14:textId="77777777" w:rsidR="00CF7ABE" w:rsidRPr="00B74E01" w:rsidRDefault="00CF7ABE" w:rsidP="001965AC">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Receita principal</w:t>
            </w:r>
          </w:p>
        </w:tc>
        <w:tc>
          <w:tcPr>
            <w:tcW w:w="0" w:type="auto"/>
            <w:vAlign w:val="center"/>
            <w:hideMark/>
          </w:tcPr>
          <w:p w14:paraId="36244228" w14:textId="77777777" w:rsidR="00CF7ABE" w:rsidRPr="00B74E01" w:rsidRDefault="00CF7ABE" w:rsidP="001965AC">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Descrição</w:t>
            </w:r>
          </w:p>
        </w:tc>
        <w:tc>
          <w:tcPr>
            <w:tcW w:w="0" w:type="auto"/>
            <w:vAlign w:val="center"/>
            <w:hideMark/>
          </w:tcPr>
          <w:p w14:paraId="280ACF60" w14:textId="77777777" w:rsidR="00CF7ABE" w:rsidRPr="00B74E01" w:rsidRDefault="00CF7ABE" w:rsidP="001965AC">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Natureza econômica</w:t>
            </w:r>
          </w:p>
        </w:tc>
      </w:tr>
      <w:tr w:rsidR="00CF7ABE" w:rsidRPr="00B74E01" w14:paraId="2D7606B3" w14:textId="77777777" w:rsidTr="0058413D">
        <w:trPr>
          <w:tblCellSpacing w:w="15" w:type="dxa"/>
        </w:trPr>
        <w:tc>
          <w:tcPr>
            <w:tcW w:w="0" w:type="auto"/>
            <w:vAlign w:val="center"/>
            <w:hideMark/>
          </w:tcPr>
          <w:p w14:paraId="588450D6" w14:textId="77777777" w:rsidR="00CF7ABE" w:rsidRPr="00B74E01" w:rsidRDefault="00CF7ABE" w:rsidP="001965AC">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Destinação/tratamento de RSU</w:t>
            </w:r>
          </w:p>
        </w:tc>
        <w:tc>
          <w:tcPr>
            <w:tcW w:w="0" w:type="auto"/>
            <w:vAlign w:val="center"/>
            <w:hideMark/>
          </w:tcPr>
          <w:p w14:paraId="671E0758" w14:textId="77777777" w:rsidR="00CF7ABE" w:rsidRPr="00B74E01" w:rsidRDefault="00CF7ABE" w:rsidP="001965AC">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 xml:space="preserve">Remuneração da SPE pela obrigação de receber, tratar e destinar os resíduos sólidos urbanos, observada a </w:t>
            </w:r>
            <w:r w:rsidRPr="00B74E01">
              <w:rPr>
                <w:rFonts w:eastAsia="Times New Roman" w:cs="Arial"/>
                <w:kern w:val="0"/>
                <w:lang w:eastAsia="pt-BR"/>
                <w14:ligatures w14:val="none"/>
              </w:rPr>
              <w:lastRenderedPageBreak/>
              <w:t>quantidade mínima contratada de 80 t/dia</w:t>
            </w:r>
          </w:p>
        </w:tc>
        <w:tc>
          <w:tcPr>
            <w:tcW w:w="0" w:type="auto"/>
            <w:vAlign w:val="center"/>
            <w:hideMark/>
          </w:tcPr>
          <w:p w14:paraId="060CA080" w14:textId="77777777" w:rsidR="00CF7ABE" w:rsidRPr="00B74E01" w:rsidRDefault="00CF7ABE" w:rsidP="001965AC">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lastRenderedPageBreak/>
              <w:t>Receita contratual principal</w:t>
            </w:r>
          </w:p>
        </w:tc>
      </w:tr>
      <w:tr w:rsidR="00CF7ABE" w:rsidRPr="00B74E01" w14:paraId="064C820D" w14:textId="77777777" w:rsidTr="0058413D">
        <w:trPr>
          <w:tblCellSpacing w:w="15" w:type="dxa"/>
        </w:trPr>
        <w:tc>
          <w:tcPr>
            <w:tcW w:w="0" w:type="auto"/>
            <w:vAlign w:val="center"/>
            <w:hideMark/>
          </w:tcPr>
          <w:p w14:paraId="23EBBD59" w14:textId="77777777" w:rsidR="00CF7ABE" w:rsidRPr="00B74E01" w:rsidRDefault="00CF7ABE" w:rsidP="001965AC">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Disponibilização de capacidade energética renovável</w:t>
            </w:r>
          </w:p>
        </w:tc>
        <w:tc>
          <w:tcPr>
            <w:tcW w:w="0" w:type="auto"/>
            <w:vAlign w:val="center"/>
            <w:hideMark/>
          </w:tcPr>
          <w:p w14:paraId="25CBBB47" w14:textId="77777777" w:rsidR="00CF7ABE" w:rsidRPr="00B74E01" w:rsidRDefault="00CF7ABE" w:rsidP="001965AC">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Remuneração da SPE pela disponibilização de capacidade energética ao Município, no âmbito da solução integrada da PPP</w:t>
            </w:r>
          </w:p>
        </w:tc>
        <w:tc>
          <w:tcPr>
            <w:tcW w:w="0" w:type="auto"/>
            <w:vAlign w:val="center"/>
            <w:hideMark/>
          </w:tcPr>
          <w:p w14:paraId="13DC5243" w14:textId="77777777" w:rsidR="00CF7ABE" w:rsidRPr="00B74E01" w:rsidRDefault="00CF7ABE" w:rsidP="001965AC">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 contratual principal</w:t>
            </w:r>
          </w:p>
        </w:tc>
      </w:tr>
    </w:tbl>
    <w:p w14:paraId="4025D88E"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Essas receitas constituem o núcleo econômico da PPP. Por essa razão, deverão estar expressamente previstas no edital e no contrato, com critérios objetivos de medição, faturamento, reajuste, pagamento, fiscalização e eventual aplicação de penalidades.</w:t>
      </w:r>
    </w:p>
    <w:p w14:paraId="7F160B11" w14:textId="77777777" w:rsidR="00CF7ABE" w:rsidRPr="00B74E01" w:rsidRDefault="00CF7ABE" w:rsidP="001965AC">
      <w:pPr>
        <w:pStyle w:val="Ttulo2"/>
        <w:rPr>
          <w:rFonts w:eastAsia="Times New Roman"/>
          <w:lang w:eastAsia="pt-BR"/>
        </w:rPr>
      </w:pPr>
      <w:bookmarkStart w:id="31" w:name="_Toc230204033"/>
      <w:r w:rsidRPr="00B74E01">
        <w:rPr>
          <w:rFonts w:eastAsia="Times New Roman"/>
          <w:lang w:eastAsia="pt-BR"/>
        </w:rPr>
        <w:t>5.2. Receita principal de destinação/tratamento de RSU</w:t>
      </w:r>
      <w:bookmarkEnd w:id="31"/>
    </w:p>
    <w:p w14:paraId="0BB37FEB"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 receita de destinação/tratamento de RSU será estruturada com base em quantidade mínima contratada de </w:t>
      </w:r>
      <w:r w:rsidRPr="00B74E01">
        <w:rPr>
          <w:rFonts w:eastAsia="Times New Roman" w:cs="Arial"/>
          <w:b/>
          <w:bCs/>
          <w:kern w:val="0"/>
          <w:lang w:eastAsia="pt-BR"/>
          <w14:ligatures w14:val="none"/>
        </w:rPr>
        <w:t>80 t/dia</w:t>
      </w:r>
      <w:r w:rsidRPr="00B74E01">
        <w:rPr>
          <w:rFonts w:eastAsia="Times New Roman" w:cs="Arial"/>
          <w:kern w:val="0"/>
          <w:lang w:eastAsia="pt-BR"/>
          <w14:ligatures w14:val="none"/>
        </w:rPr>
        <w:t>.</w:t>
      </w:r>
    </w:p>
    <w:p w14:paraId="003F0DDA"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Essa quantidade mínima é fundamental para dar previsibilidade à SPE, reduzir o risco de demanda e permitir o financiamento do investimento inicial.</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391"/>
        <w:gridCol w:w="1870"/>
      </w:tblGrid>
      <w:tr w:rsidR="00CF7ABE" w:rsidRPr="00B74E01" w14:paraId="30151735" w14:textId="77777777" w:rsidTr="0058413D">
        <w:trPr>
          <w:tblHeader/>
          <w:tblCellSpacing w:w="15" w:type="dxa"/>
        </w:trPr>
        <w:tc>
          <w:tcPr>
            <w:tcW w:w="0" w:type="auto"/>
            <w:vAlign w:val="center"/>
            <w:hideMark/>
          </w:tcPr>
          <w:p w14:paraId="0E030F82" w14:textId="77777777" w:rsidR="00CF7ABE" w:rsidRPr="00B74E01" w:rsidRDefault="00CF7ABE" w:rsidP="001965AC">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Item</w:t>
            </w:r>
          </w:p>
        </w:tc>
        <w:tc>
          <w:tcPr>
            <w:tcW w:w="0" w:type="auto"/>
            <w:vAlign w:val="center"/>
            <w:hideMark/>
          </w:tcPr>
          <w:p w14:paraId="2676A142" w14:textId="77777777" w:rsidR="00CF7ABE" w:rsidRPr="00B74E01" w:rsidRDefault="00CF7ABE" w:rsidP="001965AC">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Premissa</w:t>
            </w:r>
          </w:p>
        </w:tc>
      </w:tr>
      <w:tr w:rsidR="00CF7ABE" w:rsidRPr="00B74E01" w14:paraId="7EF35FC9" w14:textId="77777777" w:rsidTr="0058413D">
        <w:trPr>
          <w:tblCellSpacing w:w="15" w:type="dxa"/>
        </w:trPr>
        <w:tc>
          <w:tcPr>
            <w:tcW w:w="0" w:type="auto"/>
            <w:vAlign w:val="center"/>
            <w:hideMark/>
          </w:tcPr>
          <w:p w14:paraId="34281B14" w14:textId="77777777" w:rsidR="00CF7ABE" w:rsidRPr="00B74E01" w:rsidRDefault="00CF7ABE" w:rsidP="001965AC">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Quantidade mínima contratada</w:t>
            </w:r>
          </w:p>
        </w:tc>
        <w:tc>
          <w:tcPr>
            <w:tcW w:w="0" w:type="auto"/>
            <w:vAlign w:val="center"/>
            <w:hideMark/>
          </w:tcPr>
          <w:p w14:paraId="01A3AB68" w14:textId="77777777" w:rsidR="00CF7ABE" w:rsidRPr="00B74E01" w:rsidRDefault="00CF7ABE" w:rsidP="001965AC">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80 t/dia</w:t>
            </w:r>
          </w:p>
        </w:tc>
      </w:tr>
      <w:tr w:rsidR="00CF7ABE" w:rsidRPr="00B74E01" w14:paraId="0DD5F9EF" w14:textId="77777777" w:rsidTr="0058413D">
        <w:trPr>
          <w:tblCellSpacing w:w="15" w:type="dxa"/>
        </w:trPr>
        <w:tc>
          <w:tcPr>
            <w:tcW w:w="0" w:type="auto"/>
            <w:vAlign w:val="center"/>
            <w:hideMark/>
          </w:tcPr>
          <w:p w14:paraId="59AEAC43" w14:textId="77777777" w:rsidR="00CF7ABE" w:rsidRPr="00B74E01" w:rsidRDefault="00CF7ABE" w:rsidP="001965AC">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Tarifa-base da modelagem</w:t>
            </w:r>
          </w:p>
        </w:tc>
        <w:tc>
          <w:tcPr>
            <w:tcW w:w="0" w:type="auto"/>
            <w:vAlign w:val="center"/>
            <w:hideMark/>
          </w:tcPr>
          <w:p w14:paraId="1D1370AA" w14:textId="77777777" w:rsidR="00CF7ABE" w:rsidRPr="00B74E01" w:rsidRDefault="00CF7ABE" w:rsidP="001965AC">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R$ 95,00/t</w:t>
            </w:r>
          </w:p>
        </w:tc>
      </w:tr>
      <w:tr w:rsidR="00CF7ABE" w:rsidRPr="00B74E01" w14:paraId="47D16B6E" w14:textId="77777777" w:rsidTr="0058413D">
        <w:trPr>
          <w:tblCellSpacing w:w="15" w:type="dxa"/>
        </w:trPr>
        <w:tc>
          <w:tcPr>
            <w:tcW w:w="0" w:type="auto"/>
            <w:vAlign w:val="center"/>
            <w:hideMark/>
          </w:tcPr>
          <w:p w14:paraId="64E206EF" w14:textId="77777777" w:rsidR="00CF7ABE" w:rsidRPr="00B74E01" w:rsidRDefault="00CF7ABE" w:rsidP="001965AC">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 diária mínima</w:t>
            </w:r>
          </w:p>
        </w:tc>
        <w:tc>
          <w:tcPr>
            <w:tcW w:w="0" w:type="auto"/>
            <w:vAlign w:val="center"/>
            <w:hideMark/>
          </w:tcPr>
          <w:p w14:paraId="4E30F91B" w14:textId="77777777" w:rsidR="00CF7ABE" w:rsidRPr="00B74E01" w:rsidRDefault="00CF7ABE" w:rsidP="001965AC">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R$ 7.600,00</w:t>
            </w:r>
          </w:p>
        </w:tc>
      </w:tr>
      <w:tr w:rsidR="00CF7ABE" w:rsidRPr="00B74E01" w14:paraId="2DADDE43" w14:textId="77777777" w:rsidTr="0058413D">
        <w:trPr>
          <w:tblCellSpacing w:w="15" w:type="dxa"/>
        </w:trPr>
        <w:tc>
          <w:tcPr>
            <w:tcW w:w="0" w:type="auto"/>
            <w:vAlign w:val="center"/>
            <w:hideMark/>
          </w:tcPr>
          <w:p w14:paraId="48134702" w14:textId="77777777" w:rsidR="00CF7ABE" w:rsidRPr="00B74E01" w:rsidRDefault="00CF7ABE" w:rsidP="001965AC">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 mensal mínima</w:t>
            </w:r>
          </w:p>
        </w:tc>
        <w:tc>
          <w:tcPr>
            <w:tcW w:w="0" w:type="auto"/>
            <w:vAlign w:val="center"/>
            <w:hideMark/>
          </w:tcPr>
          <w:p w14:paraId="2697EEB8" w14:textId="77777777" w:rsidR="00CF7ABE" w:rsidRPr="00B74E01" w:rsidRDefault="00CF7ABE" w:rsidP="001965AC">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R$ 231.166,67</w:t>
            </w:r>
          </w:p>
        </w:tc>
      </w:tr>
      <w:tr w:rsidR="00CF7ABE" w:rsidRPr="00B74E01" w14:paraId="5B51E50E" w14:textId="77777777" w:rsidTr="0058413D">
        <w:trPr>
          <w:tblCellSpacing w:w="15" w:type="dxa"/>
        </w:trPr>
        <w:tc>
          <w:tcPr>
            <w:tcW w:w="0" w:type="auto"/>
            <w:vAlign w:val="center"/>
            <w:hideMark/>
          </w:tcPr>
          <w:p w14:paraId="02348CE1" w14:textId="77777777" w:rsidR="00CF7ABE" w:rsidRPr="00B74E01" w:rsidRDefault="00CF7ABE" w:rsidP="001965AC">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 anual mínima</w:t>
            </w:r>
          </w:p>
        </w:tc>
        <w:tc>
          <w:tcPr>
            <w:tcW w:w="0" w:type="auto"/>
            <w:vAlign w:val="center"/>
            <w:hideMark/>
          </w:tcPr>
          <w:p w14:paraId="350D53BA" w14:textId="77777777" w:rsidR="00CF7ABE" w:rsidRPr="00B74E01" w:rsidRDefault="00CF7ABE" w:rsidP="001965AC">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R$ 2.774.000,00</w:t>
            </w:r>
          </w:p>
        </w:tc>
      </w:tr>
    </w:tbl>
    <w:p w14:paraId="6FCD3CCC"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 existência de quantidade mínima contratada significa que eventual entrega inferior a </w:t>
      </w:r>
      <w:r w:rsidRPr="00B74E01">
        <w:rPr>
          <w:rFonts w:eastAsia="Times New Roman" w:cs="Arial"/>
          <w:b/>
          <w:bCs/>
          <w:kern w:val="0"/>
          <w:lang w:eastAsia="pt-BR"/>
          <w14:ligatures w14:val="none"/>
        </w:rPr>
        <w:t>80 t/dia</w:t>
      </w:r>
      <w:r w:rsidRPr="00B74E01">
        <w:rPr>
          <w:rFonts w:eastAsia="Times New Roman" w:cs="Arial"/>
          <w:kern w:val="0"/>
          <w:lang w:eastAsia="pt-BR"/>
          <w14:ligatures w14:val="none"/>
        </w:rPr>
        <w:t xml:space="preserve"> não deverá reduzir automaticamente a remuneração mínima da SPE, ressalvadas hipóteses específicas previstas no contrato, tais como paralisação </w:t>
      </w:r>
      <w:r w:rsidRPr="00B74E01">
        <w:rPr>
          <w:rFonts w:eastAsia="Times New Roman" w:cs="Arial"/>
          <w:kern w:val="0"/>
          <w:lang w:eastAsia="pt-BR"/>
          <w14:ligatures w14:val="none"/>
        </w:rPr>
        <w:lastRenderedPageBreak/>
        <w:t>imputável à concessionária, indisponibilidade operacional da planta, descumprimento de indicadores ou outros eventos contratualmente definidos.</w:t>
      </w:r>
    </w:p>
    <w:p w14:paraId="2FA261D6"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Essa estrutura é relevante para a </w:t>
      </w:r>
      <w:proofErr w:type="spellStart"/>
      <w:r w:rsidRPr="00B74E01">
        <w:rPr>
          <w:rFonts w:eastAsia="Times New Roman" w:cs="Arial"/>
          <w:kern w:val="0"/>
          <w:lang w:eastAsia="pt-BR"/>
          <w14:ligatures w14:val="none"/>
        </w:rPr>
        <w:t>bancabilidade</w:t>
      </w:r>
      <w:proofErr w:type="spellEnd"/>
      <w:r w:rsidRPr="00B74E01">
        <w:rPr>
          <w:rFonts w:eastAsia="Times New Roman" w:cs="Arial"/>
          <w:kern w:val="0"/>
          <w:lang w:eastAsia="pt-BR"/>
          <w14:ligatures w14:val="none"/>
        </w:rPr>
        <w:t xml:space="preserve"> da PPP. Sem uma base mínima contratual, a receita de destinação ficaria excessivamente exposta à variação de volume entregue pelo Município, dificultando a análise de crédito, a precificação de risco e a obtenção de financiamento de longo prazo.</w:t>
      </w:r>
    </w:p>
    <w:p w14:paraId="4894DA4A" w14:textId="77777777" w:rsidR="00CF7ABE" w:rsidRPr="00B74E01" w:rsidRDefault="00CF7ABE" w:rsidP="001965AC">
      <w:pPr>
        <w:pStyle w:val="Ttulo2"/>
        <w:rPr>
          <w:rFonts w:eastAsia="Times New Roman"/>
          <w:lang w:eastAsia="pt-BR"/>
        </w:rPr>
      </w:pPr>
      <w:bookmarkStart w:id="32" w:name="_Toc230204034"/>
      <w:r w:rsidRPr="00B74E01">
        <w:rPr>
          <w:rFonts w:eastAsia="Times New Roman"/>
          <w:lang w:eastAsia="pt-BR"/>
        </w:rPr>
        <w:t>5.3. Receita principal de disponibilização de capacidade energética</w:t>
      </w:r>
      <w:bookmarkEnd w:id="32"/>
    </w:p>
    <w:p w14:paraId="1187207A"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segunda receita principal da PPP decorre da disponibilização de capacidade de geração energética renovável ao Município.</w:t>
      </w:r>
    </w:p>
    <w:p w14:paraId="07F5A8C3"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 modelagem considera que o Município possui despesa mensal de energia elétrica de </w:t>
      </w:r>
      <w:r w:rsidRPr="00B74E01">
        <w:rPr>
          <w:rFonts w:eastAsia="Times New Roman" w:cs="Arial"/>
          <w:b/>
          <w:bCs/>
          <w:kern w:val="0"/>
          <w:lang w:eastAsia="pt-BR"/>
          <w14:ligatures w14:val="none"/>
        </w:rPr>
        <w:t>R$ 724.745,63</w:t>
      </w:r>
      <w:r w:rsidRPr="00B74E01">
        <w:rPr>
          <w:rFonts w:eastAsia="Times New Roman" w:cs="Arial"/>
          <w:kern w:val="0"/>
          <w:lang w:eastAsia="pt-BR"/>
          <w14:ligatures w14:val="none"/>
        </w:rPr>
        <w:t xml:space="preserve">, conforme valores analisados das contas/faturas da Neoenergia Coelba, e que a remuneração da SPE pela disponibilização energética será de </w:t>
      </w:r>
      <w:r w:rsidRPr="00B74E01">
        <w:rPr>
          <w:rFonts w:eastAsia="Times New Roman" w:cs="Arial"/>
          <w:b/>
          <w:bCs/>
          <w:kern w:val="0"/>
          <w:lang w:eastAsia="pt-BR"/>
          <w14:ligatures w14:val="none"/>
        </w:rPr>
        <w:t>R$ 468.910,42/mês</w:t>
      </w:r>
      <w:r w:rsidRPr="00B74E01">
        <w:rPr>
          <w:rFonts w:eastAsia="Times New Roman" w:cs="Arial"/>
          <w:kern w:val="0"/>
          <w:lang w:eastAsia="pt-BR"/>
          <w14:ligatures w14:val="none"/>
        </w:rPr>
        <w:t>.</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953"/>
        <w:gridCol w:w="1670"/>
      </w:tblGrid>
      <w:tr w:rsidR="00CF7ABE" w:rsidRPr="00B74E01" w14:paraId="1366D9D1" w14:textId="77777777" w:rsidTr="0058413D">
        <w:trPr>
          <w:tblHeader/>
          <w:tblCellSpacing w:w="15" w:type="dxa"/>
        </w:trPr>
        <w:tc>
          <w:tcPr>
            <w:tcW w:w="0" w:type="auto"/>
            <w:vAlign w:val="center"/>
            <w:hideMark/>
          </w:tcPr>
          <w:p w14:paraId="7657FC68" w14:textId="77777777" w:rsidR="00CF7ABE" w:rsidRPr="00B74E01" w:rsidRDefault="00CF7ABE" w:rsidP="001965AC">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Item</w:t>
            </w:r>
          </w:p>
        </w:tc>
        <w:tc>
          <w:tcPr>
            <w:tcW w:w="0" w:type="auto"/>
            <w:vAlign w:val="center"/>
            <w:hideMark/>
          </w:tcPr>
          <w:p w14:paraId="287B0B22" w14:textId="77777777" w:rsidR="00CF7ABE" w:rsidRPr="00B74E01" w:rsidRDefault="00CF7ABE" w:rsidP="001965AC">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 mensal</w:t>
            </w:r>
          </w:p>
        </w:tc>
      </w:tr>
      <w:tr w:rsidR="00CF7ABE" w:rsidRPr="00B74E01" w14:paraId="35FF7A5F" w14:textId="77777777" w:rsidTr="0058413D">
        <w:trPr>
          <w:tblCellSpacing w:w="15" w:type="dxa"/>
        </w:trPr>
        <w:tc>
          <w:tcPr>
            <w:tcW w:w="0" w:type="auto"/>
            <w:vAlign w:val="center"/>
            <w:hideMark/>
          </w:tcPr>
          <w:p w14:paraId="6BBEDED2" w14:textId="77777777" w:rsidR="00CF7ABE" w:rsidRPr="00B74E01" w:rsidRDefault="00CF7ABE" w:rsidP="001965AC">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Despesa atual de energia do Município</w:t>
            </w:r>
          </w:p>
        </w:tc>
        <w:tc>
          <w:tcPr>
            <w:tcW w:w="0" w:type="auto"/>
            <w:vAlign w:val="center"/>
            <w:hideMark/>
          </w:tcPr>
          <w:p w14:paraId="14770B76" w14:textId="77777777" w:rsidR="00CF7ABE" w:rsidRPr="00B74E01" w:rsidRDefault="00CF7ABE" w:rsidP="001965AC">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R$ 724.745,63</w:t>
            </w:r>
          </w:p>
        </w:tc>
      </w:tr>
      <w:tr w:rsidR="00CF7ABE" w:rsidRPr="00B74E01" w14:paraId="114F860C" w14:textId="77777777" w:rsidTr="0058413D">
        <w:trPr>
          <w:tblCellSpacing w:w="15" w:type="dxa"/>
        </w:trPr>
        <w:tc>
          <w:tcPr>
            <w:tcW w:w="0" w:type="auto"/>
            <w:vAlign w:val="center"/>
            <w:hideMark/>
          </w:tcPr>
          <w:p w14:paraId="25065373" w14:textId="77777777" w:rsidR="00CF7ABE" w:rsidRPr="00B74E01" w:rsidRDefault="00CF7ABE" w:rsidP="001965AC">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Remuneração da SPE pela disponibilização energética</w:t>
            </w:r>
          </w:p>
        </w:tc>
        <w:tc>
          <w:tcPr>
            <w:tcW w:w="0" w:type="auto"/>
            <w:vAlign w:val="center"/>
            <w:hideMark/>
          </w:tcPr>
          <w:p w14:paraId="7EBC1A72" w14:textId="77777777" w:rsidR="00CF7ABE" w:rsidRPr="00B74E01" w:rsidRDefault="00CF7ABE" w:rsidP="001965AC">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R$ 468.910,42</w:t>
            </w:r>
          </w:p>
        </w:tc>
      </w:tr>
      <w:tr w:rsidR="00CF7ABE" w:rsidRPr="00B74E01" w14:paraId="15329136" w14:textId="77777777" w:rsidTr="0058413D">
        <w:trPr>
          <w:tblCellSpacing w:w="15" w:type="dxa"/>
        </w:trPr>
        <w:tc>
          <w:tcPr>
            <w:tcW w:w="0" w:type="auto"/>
            <w:vAlign w:val="center"/>
            <w:hideMark/>
          </w:tcPr>
          <w:p w14:paraId="32D62CF0" w14:textId="77777777" w:rsidR="00CF7ABE" w:rsidRPr="00B74E01" w:rsidRDefault="00CF7ABE" w:rsidP="001965AC">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Economia estimada ao Município</w:t>
            </w:r>
          </w:p>
        </w:tc>
        <w:tc>
          <w:tcPr>
            <w:tcW w:w="0" w:type="auto"/>
            <w:vAlign w:val="center"/>
            <w:hideMark/>
          </w:tcPr>
          <w:p w14:paraId="5D86BDF7" w14:textId="77777777" w:rsidR="00CF7ABE" w:rsidRPr="00B74E01" w:rsidRDefault="00CF7ABE" w:rsidP="001965AC">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R$ 255.835,21</w:t>
            </w:r>
          </w:p>
        </w:tc>
      </w:tr>
    </w:tbl>
    <w:p w14:paraId="4FF98E59"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 rubrica deve ser tratada juridicamente como </w:t>
      </w:r>
      <w:r w:rsidRPr="00B74E01">
        <w:rPr>
          <w:rFonts w:eastAsia="Times New Roman" w:cs="Arial"/>
          <w:b/>
          <w:bCs/>
          <w:kern w:val="0"/>
          <w:lang w:eastAsia="pt-BR"/>
          <w14:ligatures w14:val="none"/>
        </w:rPr>
        <w:t>disponibilização de capacidade energética renovável no âmbito da solução integrada da PPP</w:t>
      </w:r>
      <w:r w:rsidRPr="00B74E01">
        <w:rPr>
          <w:rFonts w:eastAsia="Times New Roman" w:cs="Arial"/>
          <w:kern w:val="0"/>
          <w:lang w:eastAsia="pt-BR"/>
          <w14:ligatures w14:val="none"/>
        </w:rPr>
        <w:t>, evitando formulação que possa ser confundida com venda direta irregular de energia elétrica.</w:t>
      </w:r>
    </w:p>
    <w:p w14:paraId="33D6BBFB"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O enquadramento jurídico-regulatório definitivo deverá ser estabelecido no edital, na minuta contratual e, se necessário, em parecer específico. O objetivo econômico é claro: substituir parte relevante da despesa energética atual por uma estrutura contratual integrada à solução ambiental da PPP.</w:t>
      </w:r>
    </w:p>
    <w:p w14:paraId="4FF6693E" w14:textId="6854A5C5" w:rsidR="00CF7ABE" w:rsidRPr="00B74E01" w:rsidRDefault="00CF7ABE" w:rsidP="00B74E01">
      <w:pPr>
        <w:spacing w:after="0" w:line="360" w:lineRule="auto"/>
        <w:ind w:firstLine="709"/>
        <w:jc w:val="both"/>
        <w:rPr>
          <w:rFonts w:eastAsia="Times New Roman" w:cs="Arial"/>
          <w:kern w:val="0"/>
          <w:lang w:eastAsia="pt-BR"/>
          <w14:ligatures w14:val="none"/>
        </w:rPr>
      </w:pPr>
    </w:p>
    <w:p w14:paraId="3B30604B" w14:textId="77777777" w:rsidR="00CF7ABE" w:rsidRPr="00B74E01" w:rsidRDefault="00CF7ABE" w:rsidP="001965AC">
      <w:pPr>
        <w:pStyle w:val="Ttulo2"/>
        <w:rPr>
          <w:rFonts w:eastAsia="Times New Roman"/>
          <w:lang w:eastAsia="pt-BR"/>
        </w:rPr>
      </w:pPr>
      <w:bookmarkStart w:id="33" w:name="_Toc230204035"/>
      <w:r w:rsidRPr="00B74E01">
        <w:rPr>
          <w:rFonts w:eastAsia="Times New Roman"/>
          <w:lang w:eastAsia="pt-BR"/>
        </w:rPr>
        <w:lastRenderedPageBreak/>
        <w:t>5.4. Receita principal total da PPP</w:t>
      </w:r>
      <w:bookmarkEnd w:id="33"/>
    </w:p>
    <w:p w14:paraId="49EADEE2"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No cenário-base de </w:t>
      </w:r>
      <w:r w:rsidRPr="00B74E01">
        <w:rPr>
          <w:rFonts w:eastAsia="Times New Roman" w:cs="Arial"/>
          <w:b/>
          <w:bCs/>
          <w:kern w:val="0"/>
          <w:lang w:eastAsia="pt-BR"/>
          <w14:ligatures w14:val="none"/>
        </w:rPr>
        <w:t>R$ 95/t</w:t>
      </w:r>
      <w:r w:rsidRPr="00B74E01">
        <w:rPr>
          <w:rFonts w:eastAsia="Times New Roman" w:cs="Arial"/>
          <w:kern w:val="0"/>
          <w:lang w:eastAsia="pt-BR"/>
          <w14:ligatures w14:val="none"/>
        </w:rPr>
        <w:t>, as receitas principais da PPP totalizam:</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645"/>
        <w:gridCol w:w="1655"/>
        <w:gridCol w:w="1870"/>
      </w:tblGrid>
      <w:tr w:rsidR="00CF7ABE" w:rsidRPr="00B74E01" w14:paraId="2362258D" w14:textId="77777777" w:rsidTr="00671A31">
        <w:trPr>
          <w:tblHeader/>
          <w:tblCellSpacing w:w="15" w:type="dxa"/>
        </w:trPr>
        <w:tc>
          <w:tcPr>
            <w:tcW w:w="0" w:type="auto"/>
            <w:vAlign w:val="center"/>
            <w:hideMark/>
          </w:tcPr>
          <w:p w14:paraId="5275626F" w14:textId="77777777" w:rsidR="00CF7ABE" w:rsidRPr="00B74E01" w:rsidRDefault="00CF7ABE" w:rsidP="001965AC">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Receita principal</w:t>
            </w:r>
          </w:p>
        </w:tc>
        <w:tc>
          <w:tcPr>
            <w:tcW w:w="0" w:type="auto"/>
            <w:vAlign w:val="center"/>
            <w:hideMark/>
          </w:tcPr>
          <w:p w14:paraId="7C4E3076" w14:textId="77777777" w:rsidR="00CF7ABE" w:rsidRPr="00B74E01" w:rsidRDefault="00CF7ABE" w:rsidP="001965AC">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 mensal</w:t>
            </w:r>
          </w:p>
        </w:tc>
        <w:tc>
          <w:tcPr>
            <w:tcW w:w="0" w:type="auto"/>
            <w:vAlign w:val="center"/>
            <w:hideMark/>
          </w:tcPr>
          <w:p w14:paraId="5EA60D89" w14:textId="77777777" w:rsidR="00CF7ABE" w:rsidRPr="00B74E01" w:rsidRDefault="00CF7ABE" w:rsidP="001965AC">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 anual</w:t>
            </w:r>
          </w:p>
        </w:tc>
      </w:tr>
      <w:tr w:rsidR="00CF7ABE" w:rsidRPr="00B74E01" w14:paraId="055B9FEF" w14:textId="77777777" w:rsidTr="00671A31">
        <w:trPr>
          <w:tblCellSpacing w:w="15" w:type="dxa"/>
        </w:trPr>
        <w:tc>
          <w:tcPr>
            <w:tcW w:w="0" w:type="auto"/>
            <w:vAlign w:val="center"/>
            <w:hideMark/>
          </w:tcPr>
          <w:p w14:paraId="07475177" w14:textId="77777777" w:rsidR="00CF7ABE" w:rsidRPr="00B74E01" w:rsidRDefault="00CF7ABE" w:rsidP="001965AC">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Destinação/tratamento de RSU</w:t>
            </w:r>
          </w:p>
        </w:tc>
        <w:tc>
          <w:tcPr>
            <w:tcW w:w="0" w:type="auto"/>
            <w:vAlign w:val="center"/>
            <w:hideMark/>
          </w:tcPr>
          <w:p w14:paraId="560D0165" w14:textId="77777777" w:rsidR="00CF7ABE" w:rsidRPr="00B74E01" w:rsidRDefault="00CF7ABE" w:rsidP="001965AC">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R$ 231.166,67</w:t>
            </w:r>
          </w:p>
        </w:tc>
        <w:tc>
          <w:tcPr>
            <w:tcW w:w="0" w:type="auto"/>
            <w:vAlign w:val="center"/>
            <w:hideMark/>
          </w:tcPr>
          <w:p w14:paraId="4BFB5E40" w14:textId="77777777" w:rsidR="00CF7ABE" w:rsidRPr="00B74E01" w:rsidRDefault="00CF7ABE" w:rsidP="001965AC">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R$ 2.774.000,00</w:t>
            </w:r>
          </w:p>
        </w:tc>
      </w:tr>
      <w:tr w:rsidR="00CF7ABE" w:rsidRPr="00B74E01" w14:paraId="7E682F03" w14:textId="77777777" w:rsidTr="00671A31">
        <w:trPr>
          <w:tblCellSpacing w:w="15" w:type="dxa"/>
        </w:trPr>
        <w:tc>
          <w:tcPr>
            <w:tcW w:w="0" w:type="auto"/>
            <w:vAlign w:val="center"/>
            <w:hideMark/>
          </w:tcPr>
          <w:p w14:paraId="27134FC5" w14:textId="77777777" w:rsidR="00CF7ABE" w:rsidRPr="00B74E01" w:rsidRDefault="00CF7ABE" w:rsidP="001965AC">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Disponibilização de capacidade energética</w:t>
            </w:r>
          </w:p>
        </w:tc>
        <w:tc>
          <w:tcPr>
            <w:tcW w:w="0" w:type="auto"/>
            <w:vAlign w:val="center"/>
            <w:hideMark/>
          </w:tcPr>
          <w:p w14:paraId="2AE7F808" w14:textId="77777777" w:rsidR="00CF7ABE" w:rsidRPr="00B74E01" w:rsidRDefault="00CF7ABE" w:rsidP="001965AC">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R$ 468.910,42</w:t>
            </w:r>
          </w:p>
        </w:tc>
        <w:tc>
          <w:tcPr>
            <w:tcW w:w="0" w:type="auto"/>
            <w:vAlign w:val="center"/>
            <w:hideMark/>
          </w:tcPr>
          <w:p w14:paraId="20231EFA" w14:textId="77777777" w:rsidR="00CF7ABE" w:rsidRPr="00B74E01" w:rsidRDefault="00CF7ABE" w:rsidP="001965AC">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R$ 5.626.925,04</w:t>
            </w:r>
          </w:p>
        </w:tc>
      </w:tr>
      <w:tr w:rsidR="00CF7ABE" w:rsidRPr="00B74E01" w14:paraId="1EF3FDE8" w14:textId="77777777" w:rsidTr="00671A31">
        <w:trPr>
          <w:tblCellSpacing w:w="15" w:type="dxa"/>
        </w:trPr>
        <w:tc>
          <w:tcPr>
            <w:tcW w:w="0" w:type="auto"/>
            <w:vAlign w:val="center"/>
            <w:hideMark/>
          </w:tcPr>
          <w:p w14:paraId="7DE09041" w14:textId="77777777" w:rsidR="00CF7ABE" w:rsidRPr="00B74E01" w:rsidRDefault="00CF7ABE" w:rsidP="001965AC">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Receita principal bruta da PPP</w:t>
            </w:r>
          </w:p>
        </w:tc>
        <w:tc>
          <w:tcPr>
            <w:tcW w:w="0" w:type="auto"/>
            <w:vAlign w:val="center"/>
            <w:hideMark/>
          </w:tcPr>
          <w:p w14:paraId="2B0B0BB8" w14:textId="77777777" w:rsidR="00CF7ABE" w:rsidRPr="00B74E01" w:rsidRDefault="00CF7ABE" w:rsidP="001965AC">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R$ 700.077,09</w:t>
            </w:r>
          </w:p>
        </w:tc>
        <w:tc>
          <w:tcPr>
            <w:tcW w:w="0" w:type="auto"/>
            <w:vAlign w:val="center"/>
            <w:hideMark/>
          </w:tcPr>
          <w:p w14:paraId="61CD604B" w14:textId="77777777" w:rsidR="00CF7ABE" w:rsidRPr="00B74E01" w:rsidRDefault="00CF7ABE" w:rsidP="001965AC">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R$ 8.400.925,04</w:t>
            </w:r>
          </w:p>
        </w:tc>
      </w:tr>
    </w:tbl>
    <w:p w14:paraId="11606CE6"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Essas receitas são a base de sustentação mínima da concessão. A modelagem demonstra que, mesmo sem receitas acessórias, a operação fecha positivamente, embora com margem restrita.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984"/>
        <w:gridCol w:w="1670"/>
      </w:tblGrid>
      <w:tr w:rsidR="00CF7ABE" w:rsidRPr="00B74E01" w14:paraId="66D7703C" w14:textId="77777777">
        <w:trPr>
          <w:tblHeader/>
          <w:tblCellSpacing w:w="15" w:type="dxa"/>
        </w:trPr>
        <w:tc>
          <w:tcPr>
            <w:tcW w:w="0" w:type="auto"/>
            <w:vAlign w:val="center"/>
            <w:hideMark/>
          </w:tcPr>
          <w:p w14:paraId="3B3E6F33" w14:textId="77777777" w:rsidR="00CF7ABE" w:rsidRPr="00B74E01" w:rsidRDefault="00CF7ABE" w:rsidP="001965AC">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Indicador sem receitas acessórias</w:t>
            </w:r>
          </w:p>
        </w:tc>
        <w:tc>
          <w:tcPr>
            <w:tcW w:w="0" w:type="auto"/>
            <w:vAlign w:val="center"/>
            <w:hideMark/>
          </w:tcPr>
          <w:p w14:paraId="653CC17B" w14:textId="77777777" w:rsidR="00CF7ABE" w:rsidRPr="00B74E01" w:rsidRDefault="00CF7ABE" w:rsidP="001965AC">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w:t>
            </w:r>
          </w:p>
        </w:tc>
      </w:tr>
      <w:tr w:rsidR="00CF7ABE" w:rsidRPr="00B74E01" w14:paraId="6CC5B436" w14:textId="77777777" w:rsidTr="00671A31">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71F9A4DB" w14:textId="77777777" w:rsidR="00CF7ABE" w:rsidRPr="00B74E01" w:rsidRDefault="00CF7ABE" w:rsidP="001965AC">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EBITDA mensal</w:t>
            </w:r>
          </w:p>
        </w:tc>
        <w:tc>
          <w:tcPr>
            <w:tcW w:w="0" w:type="auto"/>
            <w:tcBorders>
              <w:top w:val="single" w:sz="4" w:space="0" w:color="auto"/>
              <w:left w:val="single" w:sz="4" w:space="0" w:color="auto"/>
              <w:bottom w:val="single" w:sz="4" w:space="0" w:color="auto"/>
              <w:right w:val="single" w:sz="4" w:space="0" w:color="auto"/>
            </w:tcBorders>
            <w:vAlign w:val="center"/>
            <w:hideMark/>
          </w:tcPr>
          <w:p w14:paraId="11365774" w14:textId="77777777" w:rsidR="00CF7ABE" w:rsidRPr="00B74E01" w:rsidRDefault="00CF7ABE" w:rsidP="001965AC">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R$ 314.606,70</w:t>
            </w:r>
          </w:p>
        </w:tc>
      </w:tr>
      <w:tr w:rsidR="00CF7ABE" w:rsidRPr="00B74E01" w14:paraId="0093E83D" w14:textId="77777777" w:rsidTr="00671A31">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779F68DC" w14:textId="77777777" w:rsidR="00CF7ABE" w:rsidRPr="00B74E01" w:rsidRDefault="00CF7ABE" w:rsidP="001965AC">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Sobra mensal após dívida</w:t>
            </w:r>
          </w:p>
        </w:tc>
        <w:tc>
          <w:tcPr>
            <w:tcW w:w="0" w:type="auto"/>
            <w:tcBorders>
              <w:top w:val="single" w:sz="4" w:space="0" w:color="auto"/>
              <w:left w:val="single" w:sz="4" w:space="0" w:color="auto"/>
              <w:bottom w:val="single" w:sz="4" w:space="0" w:color="auto"/>
              <w:right w:val="single" w:sz="4" w:space="0" w:color="auto"/>
            </w:tcBorders>
            <w:vAlign w:val="center"/>
            <w:hideMark/>
          </w:tcPr>
          <w:p w14:paraId="3986B9D5" w14:textId="77777777" w:rsidR="00CF7ABE" w:rsidRPr="00B74E01" w:rsidRDefault="00CF7ABE" w:rsidP="001965AC">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R$ 33.713,75</w:t>
            </w:r>
          </w:p>
        </w:tc>
      </w:tr>
      <w:tr w:rsidR="00CF7ABE" w:rsidRPr="00B74E01" w14:paraId="3929B97F" w14:textId="77777777" w:rsidTr="00671A31">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4541270E" w14:textId="77777777" w:rsidR="00CF7ABE" w:rsidRPr="00B74E01" w:rsidRDefault="00CF7ABE" w:rsidP="001965AC">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DSCR após carência</w:t>
            </w:r>
          </w:p>
        </w:tc>
        <w:tc>
          <w:tcPr>
            <w:tcW w:w="0" w:type="auto"/>
            <w:tcBorders>
              <w:top w:val="single" w:sz="4" w:space="0" w:color="auto"/>
              <w:left w:val="single" w:sz="4" w:space="0" w:color="auto"/>
              <w:bottom w:val="single" w:sz="4" w:space="0" w:color="auto"/>
              <w:right w:val="single" w:sz="4" w:space="0" w:color="auto"/>
            </w:tcBorders>
            <w:vAlign w:val="center"/>
            <w:hideMark/>
          </w:tcPr>
          <w:p w14:paraId="6F841515" w14:textId="77777777" w:rsidR="00CF7ABE" w:rsidRPr="00B74E01" w:rsidRDefault="00CF7ABE" w:rsidP="001965AC">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1,12x</w:t>
            </w:r>
          </w:p>
        </w:tc>
      </w:tr>
    </w:tbl>
    <w:p w14:paraId="10BE0226"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Esse resultado comprova que as receitas acessórias não são indispensáveis para demonstrar o fechamento mínimo da PPP. Contudo, a margem restrita reforça a necessidade de proteção das receitas principais por mecanismos de garantia.</w:t>
      </w:r>
    </w:p>
    <w:p w14:paraId="181A2B90" w14:textId="77777777" w:rsidR="00CF7ABE" w:rsidRPr="00B74E01" w:rsidRDefault="00CF7ABE" w:rsidP="001965AC">
      <w:pPr>
        <w:pStyle w:val="Ttulo2"/>
        <w:rPr>
          <w:rFonts w:eastAsia="Times New Roman"/>
          <w:lang w:eastAsia="pt-BR"/>
        </w:rPr>
      </w:pPr>
      <w:bookmarkStart w:id="34" w:name="_Toc230204036"/>
      <w:r w:rsidRPr="00B74E01">
        <w:rPr>
          <w:rFonts w:eastAsia="Times New Roman"/>
          <w:lang w:eastAsia="pt-BR"/>
        </w:rPr>
        <w:t>5.5. Tratamento jurídico-financeiro das receitas principais</w:t>
      </w:r>
      <w:bookmarkEnd w:id="34"/>
    </w:p>
    <w:p w14:paraId="3F05E61D"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As receitas principais deverão receber tratamento contratual reforçado, por serem a base mínima de pagamento da SPE e de amortização dos investimentos.</w:t>
      </w:r>
    </w:p>
    <w:p w14:paraId="6059C638"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Recomenda-se que o edital e o contrato estabeleçam:</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511"/>
        <w:gridCol w:w="6550"/>
      </w:tblGrid>
      <w:tr w:rsidR="00CF7ABE" w:rsidRPr="00B74E01" w14:paraId="66996D5D" w14:textId="77777777" w:rsidTr="00671A31">
        <w:trPr>
          <w:tblHeader/>
          <w:tblCellSpacing w:w="15" w:type="dxa"/>
        </w:trPr>
        <w:tc>
          <w:tcPr>
            <w:tcW w:w="0" w:type="auto"/>
            <w:vAlign w:val="center"/>
            <w:hideMark/>
          </w:tcPr>
          <w:p w14:paraId="6F162A75" w14:textId="77777777" w:rsidR="00CF7ABE" w:rsidRPr="00B74E01" w:rsidRDefault="00CF7ABE" w:rsidP="00186BEB">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Elemento</w:t>
            </w:r>
          </w:p>
        </w:tc>
        <w:tc>
          <w:tcPr>
            <w:tcW w:w="0" w:type="auto"/>
            <w:vAlign w:val="center"/>
            <w:hideMark/>
          </w:tcPr>
          <w:p w14:paraId="4067BBB9" w14:textId="77777777" w:rsidR="00CF7ABE" w:rsidRPr="00B74E01" w:rsidRDefault="00CF7ABE" w:rsidP="00186BEB">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Diretriz recomendada</w:t>
            </w:r>
          </w:p>
        </w:tc>
      </w:tr>
      <w:tr w:rsidR="00CF7ABE" w:rsidRPr="00B74E01" w14:paraId="7663ADDE" w14:textId="77777777" w:rsidTr="00671A31">
        <w:trPr>
          <w:tblCellSpacing w:w="15" w:type="dxa"/>
        </w:trPr>
        <w:tc>
          <w:tcPr>
            <w:tcW w:w="0" w:type="auto"/>
            <w:vAlign w:val="center"/>
            <w:hideMark/>
          </w:tcPr>
          <w:p w14:paraId="27057BBA" w14:textId="77777777" w:rsidR="00CF7ABE" w:rsidRPr="00B74E01" w:rsidRDefault="00CF7ABE" w:rsidP="00186BEB">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Previsão expressa</w:t>
            </w:r>
          </w:p>
        </w:tc>
        <w:tc>
          <w:tcPr>
            <w:tcW w:w="0" w:type="auto"/>
            <w:vAlign w:val="center"/>
            <w:hideMark/>
          </w:tcPr>
          <w:p w14:paraId="18685A7A" w14:textId="77777777" w:rsidR="00CF7ABE" w:rsidRPr="00B74E01" w:rsidRDefault="00CF7ABE" w:rsidP="00186BEB">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As receitas principais devem constar de forma clara no contrato</w:t>
            </w:r>
          </w:p>
        </w:tc>
      </w:tr>
      <w:tr w:rsidR="00CF7ABE" w:rsidRPr="00B74E01" w14:paraId="585A30A8" w14:textId="77777777" w:rsidTr="00671A31">
        <w:trPr>
          <w:tblCellSpacing w:w="15" w:type="dxa"/>
        </w:trPr>
        <w:tc>
          <w:tcPr>
            <w:tcW w:w="0" w:type="auto"/>
            <w:vAlign w:val="center"/>
            <w:hideMark/>
          </w:tcPr>
          <w:p w14:paraId="69121CA6" w14:textId="77777777" w:rsidR="00CF7ABE" w:rsidRPr="00B74E01" w:rsidRDefault="00CF7ABE" w:rsidP="00186BEB">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lastRenderedPageBreak/>
              <w:t>Critério de medição</w:t>
            </w:r>
          </w:p>
        </w:tc>
        <w:tc>
          <w:tcPr>
            <w:tcW w:w="0" w:type="auto"/>
            <w:vAlign w:val="center"/>
            <w:hideMark/>
          </w:tcPr>
          <w:p w14:paraId="76E20802" w14:textId="77777777" w:rsidR="00CF7ABE" w:rsidRPr="00B74E01" w:rsidRDefault="00CF7ABE" w:rsidP="00186BEB">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Deve haver regra objetiva para apuração da obrigação mensal</w:t>
            </w:r>
          </w:p>
        </w:tc>
      </w:tr>
      <w:tr w:rsidR="00CF7ABE" w:rsidRPr="00B74E01" w14:paraId="72032C78" w14:textId="77777777" w:rsidTr="00671A31">
        <w:trPr>
          <w:tblCellSpacing w:w="15" w:type="dxa"/>
        </w:trPr>
        <w:tc>
          <w:tcPr>
            <w:tcW w:w="0" w:type="auto"/>
            <w:vAlign w:val="center"/>
            <w:hideMark/>
          </w:tcPr>
          <w:p w14:paraId="170987A8" w14:textId="77777777" w:rsidR="00CF7ABE" w:rsidRPr="00B74E01" w:rsidRDefault="00CF7ABE" w:rsidP="00186BEB">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Periodicidade de faturamento</w:t>
            </w:r>
          </w:p>
        </w:tc>
        <w:tc>
          <w:tcPr>
            <w:tcW w:w="0" w:type="auto"/>
            <w:vAlign w:val="center"/>
            <w:hideMark/>
          </w:tcPr>
          <w:p w14:paraId="63A5FDB6" w14:textId="77777777" w:rsidR="00CF7ABE" w:rsidRPr="00B74E01" w:rsidRDefault="00CF7ABE" w:rsidP="00186BEB">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Recomenda-se periodicidade mensal</w:t>
            </w:r>
          </w:p>
        </w:tc>
      </w:tr>
      <w:tr w:rsidR="00CF7ABE" w:rsidRPr="00B74E01" w14:paraId="68775092" w14:textId="77777777" w:rsidTr="00671A31">
        <w:trPr>
          <w:tblCellSpacing w:w="15" w:type="dxa"/>
        </w:trPr>
        <w:tc>
          <w:tcPr>
            <w:tcW w:w="0" w:type="auto"/>
            <w:vAlign w:val="center"/>
            <w:hideMark/>
          </w:tcPr>
          <w:p w14:paraId="7ECDF35F" w14:textId="77777777" w:rsidR="00CF7ABE" w:rsidRPr="00B74E01" w:rsidRDefault="00CF7ABE" w:rsidP="00186BEB">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Reajuste</w:t>
            </w:r>
          </w:p>
        </w:tc>
        <w:tc>
          <w:tcPr>
            <w:tcW w:w="0" w:type="auto"/>
            <w:vAlign w:val="center"/>
            <w:hideMark/>
          </w:tcPr>
          <w:p w14:paraId="3DFE8669" w14:textId="77777777" w:rsidR="00CF7ABE" w:rsidRPr="00B74E01" w:rsidRDefault="00CF7ABE" w:rsidP="00186BEB">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Reajuste anual, preferencialmente por IPCA/IBGE ou fórmula paramétrica definida</w:t>
            </w:r>
          </w:p>
        </w:tc>
      </w:tr>
      <w:tr w:rsidR="00CF7ABE" w:rsidRPr="00B74E01" w14:paraId="10671197" w14:textId="77777777" w:rsidTr="00671A31">
        <w:trPr>
          <w:tblCellSpacing w:w="15" w:type="dxa"/>
        </w:trPr>
        <w:tc>
          <w:tcPr>
            <w:tcW w:w="0" w:type="auto"/>
            <w:vAlign w:val="center"/>
            <w:hideMark/>
          </w:tcPr>
          <w:p w14:paraId="445AD67E" w14:textId="77777777" w:rsidR="00CF7ABE" w:rsidRPr="00B74E01" w:rsidRDefault="00CF7ABE" w:rsidP="00186BEB">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Garantia de pagamento</w:t>
            </w:r>
          </w:p>
        </w:tc>
        <w:tc>
          <w:tcPr>
            <w:tcW w:w="0" w:type="auto"/>
            <w:vAlign w:val="center"/>
            <w:hideMark/>
          </w:tcPr>
          <w:p w14:paraId="6BE3775D" w14:textId="77777777" w:rsidR="00CF7ABE" w:rsidRPr="00B74E01" w:rsidRDefault="00CF7ABE" w:rsidP="00186BEB">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Fundo Garantidor, conta vinculada ou mecanismo equivalente</w:t>
            </w:r>
          </w:p>
        </w:tc>
      </w:tr>
      <w:tr w:rsidR="00CF7ABE" w:rsidRPr="00B74E01" w14:paraId="2E3F85CE" w14:textId="77777777" w:rsidTr="00671A31">
        <w:trPr>
          <w:tblCellSpacing w:w="15" w:type="dxa"/>
        </w:trPr>
        <w:tc>
          <w:tcPr>
            <w:tcW w:w="0" w:type="auto"/>
            <w:vAlign w:val="center"/>
            <w:hideMark/>
          </w:tcPr>
          <w:p w14:paraId="5D1A896C" w14:textId="77777777" w:rsidR="00CF7ABE" w:rsidRPr="00B74E01" w:rsidRDefault="00CF7ABE" w:rsidP="00186BEB">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Glosas</w:t>
            </w:r>
          </w:p>
        </w:tc>
        <w:tc>
          <w:tcPr>
            <w:tcW w:w="0" w:type="auto"/>
            <w:vAlign w:val="center"/>
            <w:hideMark/>
          </w:tcPr>
          <w:p w14:paraId="5E16DD95" w14:textId="77777777" w:rsidR="00CF7ABE" w:rsidRPr="00B74E01" w:rsidRDefault="00CF7ABE" w:rsidP="00186BEB">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Possíveis apenas em hipóteses objetivas de inadimplemento ou desempenho insuficiente</w:t>
            </w:r>
          </w:p>
        </w:tc>
      </w:tr>
      <w:tr w:rsidR="00CF7ABE" w:rsidRPr="00B74E01" w14:paraId="0DCA5698" w14:textId="77777777" w:rsidTr="00671A31">
        <w:trPr>
          <w:tblCellSpacing w:w="15" w:type="dxa"/>
        </w:trPr>
        <w:tc>
          <w:tcPr>
            <w:tcW w:w="0" w:type="auto"/>
            <w:vAlign w:val="center"/>
            <w:hideMark/>
          </w:tcPr>
          <w:p w14:paraId="55FD0028" w14:textId="77777777" w:rsidR="00CF7ABE" w:rsidRPr="00B74E01" w:rsidRDefault="00CF7ABE" w:rsidP="00186BEB">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Fiscalização</w:t>
            </w:r>
          </w:p>
        </w:tc>
        <w:tc>
          <w:tcPr>
            <w:tcW w:w="0" w:type="auto"/>
            <w:vAlign w:val="center"/>
            <w:hideMark/>
          </w:tcPr>
          <w:p w14:paraId="65FBF3F1" w14:textId="77777777" w:rsidR="00CF7ABE" w:rsidRPr="00B74E01" w:rsidRDefault="00CF7ABE" w:rsidP="00186BEB">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Acompanhamento pelo Município, verificador independente ou estrutura de controle definida</w:t>
            </w:r>
          </w:p>
        </w:tc>
      </w:tr>
      <w:tr w:rsidR="00CF7ABE" w:rsidRPr="00B74E01" w14:paraId="6193C50C" w14:textId="77777777" w:rsidTr="00671A31">
        <w:trPr>
          <w:tblCellSpacing w:w="15" w:type="dxa"/>
        </w:trPr>
        <w:tc>
          <w:tcPr>
            <w:tcW w:w="0" w:type="auto"/>
            <w:vAlign w:val="center"/>
            <w:hideMark/>
          </w:tcPr>
          <w:p w14:paraId="2668CA3B" w14:textId="77777777" w:rsidR="00CF7ABE" w:rsidRPr="00B74E01" w:rsidRDefault="00CF7ABE" w:rsidP="00186BEB">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Reequilíbrio</w:t>
            </w:r>
          </w:p>
        </w:tc>
        <w:tc>
          <w:tcPr>
            <w:tcW w:w="0" w:type="auto"/>
            <w:vAlign w:val="center"/>
            <w:hideMark/>
          </w:tcPr>
          <w:p w14:paraId="1D22F813" w14:textId="77777777" w:rsidR="00CF7ABE" w:rsidRPr="00B74E01" w:rsidRDefault="00CF7ABE" w:rsidP="00186BEB">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Aplicável conforme matriz de riscos e hipóteses contratuais expressas</w:t>
            </w:r>
          </w:p>
        </w:tc>
      </w:tr>
    </w:tbl>
    <w:p w14:paraId="7CFB3685"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 receita principal de destinação/tratamento de RSU deverá respeitar a quantidade mínima contratada de </w:t>
      </w:r>
      <w:r w:rsidRPr="00B74E01">
        <w:rPr>
          <w:rFonts w:eastAsia="Times New Roman" w:cs="Arial"/>
          <w:b/>
          <w:bCs/>
          <w:kern w:val="0"/>
          <w:lang w:eastAsia="pt-BR"/>
          <w14:ligatures w14:val="none"/>
        </w:rPr>
        <w:t>80 t/dia</w:t>
      </w:r>
      <w:r w:rsidRPr="00B74E01">
        <w:rPr>
          <w:rFonts w:eastAsia="Times New Roman" w:cs="Arial"/>
          <w:kern w:val="0"/>
          <w:lang w:eastAsia="pt-BR"/>
          <w14:ligatures w14:val="none"/>
        </w:rPr>
        <w:t>. Já a receita de disponibilização energética deverá estar vinculada às condições de disponibilidade, capacidade e desempenho previstas no contrato.</w:t>
      </w:r>
    </w:p>
    <w:p w14:paraId="3C66D1FA" w14:textId="77777777" w:rsidR="00CF7ABE" w:rsidRPr="00B74E01" w:rsidRDefault="00CF7ABE" w:rsidP="00186BEB">
      <w:pPr>
        <w:pStyle w:val="Ttulo2"/>
        <w:rPr>
          <w:rFonts w:eastAsia="Times New Roman"/>
          <w:lang w:eastAsia="pt-BR"/>
        </w:rPr>
      </w:pPr>
      <w:bookmarkStart w:id="35" w:name="_Toc230204037"/>
      <w:r w:rsidRPr="00B74E01">
        <w:rPr>
          <w:rFonts w:eastAsia="Times New Roman"/>
          <w:lang w:eastAsia="pt-BR"/>
        </w:rPr>
        <w:t>5.6. Conceito de receitas acessórias</w:t>
      </w:r>
      <w:bookmarkEnd w:id="35"/>
    </w:p>
    <w:p w14:paraId="4F9235A4"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As receitas acessórias são receitas econômicas adicionais da SPE, decorrentes da exploração de subprodutos, ativos ambientais ou oportunidades comerciais vinculadas à operação da planta.</w:t>
      </w:r>
    </w:p>
    <w:p w14:paraId="3720BBE8"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Elas não constituem a base mínima da PPP, mas podem fortalecer substancialmente a rentabilidade, a </w:t>
      </w:r>
      <w:proofErr w:type="spellStart"/>
      <w:r w:rsidRPr="00B74E01">
        <w:rPr>
          <w:rFonts w:eastAsia="Times New Roman" w:cs="Arial"/>
          <w:kern w:val="0"/>
          <w:lang w:eastAsia="pt-BR"/>
          <w14:ligatures w14:val="none"/>
        </w:rPr>
        <w:t>bancabilidade</w:t>
      </w:r>
      <w:proofErr w:type="spellEnd"/>
      <w:r w:rsidRPr="00B74E01">
        <w:rPr>
          <w:rFonts w:eastAsia="Times New Roman" w:cs="Arial"/>
          <w:kern w:val="0"/>
          <w:lang w:eastAsia="pt-BR"/>
          <w14:ligatures w14:val="none"/>
        </w:rPr>
        <w:t xml:space="preserve"> e a atratividade do projeto.</w:t>
      </w:r>
    </w:p>
    <w:p w14:paraId="7DD57943"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No cenário de modelagem, foram consideradas as seguintes receitas acessórias potenciais: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607"/>
        <w:gridCol w:w="2270"/>
        <w:gridCol w:w="2184"/>
      </w:tblGrid>
      <w:tr w:rsidR="00CF7ABE" w:rsidRPr="00B74E01" w14:paraId="749B829D" w14:textId="77777777" w:rsidTr="00671A31">
        <w:trPr>
          <w:tblHeader/>
          <w:tblCellSpacing w:w="15" w:type="dxa"/>
        </w:trPr>
        <w:tc>
          <w:tcPr>
            <w:tcW w:w="0" w:type="auto"/>
            <w:vAlign w:val="center"/>
            <w:hideMark/>
          </w:tcPr>
          <w:p w14:paraId="0199F236" w14:textId="77777777" w:rsidR="00CF7ABE" w:rsidRPr="00B74E01" w:rsidRDefault="00CF7ABE" w:rsidP="00186BEB">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lastRenderedPageBreak/>
              <w:t>Receita acessória</w:t>
            </w:r>
          </w:p>
        </w:tc>
        <w:tc>
          <w:tcPr>
            <w:tcW w:w="0" w:type="auto"/>
            <w:vAlign w:val="center"/>
            <w:hideMark/>
          </w:tcPr>
          <w:p w14:paraId="09EDA044" w14:textId="77777777" w:rsidR="00CF7ABE" w:rsidRPr="00B74E01" w:rsidRDefault="00CF7ABE" w:rsidP="00186BEB">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Receita mensal bruta</w:t>
            </w:r>
          </w:p>
        </w:tc>
        <w:tc>
          <w:tcPr>
            <w:tcW w:w="0" w:type="auto"/>
            <w:vAlign w:val="center"/>
            <w:hideMark/>
          </w:tcPr>
          <w:p w14:paraId="7C2A0F57" w14:textId="77777777" w:rsidR="00CF7ABE" w:rsidRPr="00B74E01" w:rsidRDefault="00CF7ABE" w:rsidP="00186BEB">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Receita anual bruta</w:t>
            </w:r>
          </w:p>
        </w:tc>
      </w:tr>
      <w:tr w:rsidR="00CF7ABE" w:rsidRPr="00B74E01" w14:paraId="00C691FD" w14:textId="77777777" w:rsidTr="00671A31">
        <w:trPr>
          <w:tblCellSpacing w:w="15" w:type="dxa"/>
        </w:trPr>
        <w:tc>
          <w:tcPr>
            <w:tcW w:w="0" w:type="auto"/>
            <w:vAlign w:val="center"/>
            <w:hideMark/>
          </w:tcPr>
          <w:p w14:paraId="0CEEA8F7" w14:textId="77777777" w:rsidR="00CF7ABE" w:rsidRPr="00B74E01" w:rsidRDefault="00CF7ABE" w:rsidP="00186BEB">
            <w:pPr>
              <w:spacing w:after="0" w:line="360" w:lineRule="auto"/>
              <w:rPr>
                <w:rFonts w:eastAsia="Times New Roman" w:cs="Arial"/>
                <w:kern w:val="0"/>
                <w:lang w:eastAsia="pt-BR"/>
                <w14:ligatures w14:val="none"/>
              </w:rPr>
            </w:pPr>
            <w:proofErr w:type="spellStart"/>
            <w:r w:rsidRPr="00B74E01">
              <w:rPr>
                <w:rFonts w:eastAsia="Times New Roman" w:cs="Arial"/>
                <w:kern w:val="0"/>
                <w:lang w:eastAsia="pt-BR"/>
                <w14:ligatures w14:val="none"/>
              </w:rPr>
              <w:t>Biochar</w:t>
            </w:r>
            <w:proofErr w:type="spellEnd"/>
            <w:r w:rsidRPr="00B74E01">
              <w:rPr>
                <w:rFonts w:eastAsia="Times New Roman" w:cs="Arial"/>
                <w:kern w:val="0"/>
                <w:lang w:eastAsia="pt-BR"/>
                <w14:ligatures w14:val="none"/>
              </w:rPr>
              <w:t xml:space="preserve"> / material carbonáceo</w:t>
            </w:r>
          </w:p>
        </w:tc>
        <w:tc>
          <w:tcPr>
            <w:tcW w:w="0" w:type="auto"/>
            <w:vAlign w:val="center"/>
            <w:hideMark/>
          </w:tcPr>
          <w:p w14:paraId="3AD4BCCF" w14:textId="77777777" w:rsidR="00CF7ABE" w:rsidRPr="00B74E01" w:rsidRDefault="00CF7ABE" w:rsidP="00186BEB">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R$ 315.604,17</w:t>
            </w:r>
          </w:p>
        </w:tc>
        <w:tc>
          <w:tcPr>
            <w:tcW w:w="0" w:type="auto"/>
            <w:vAlign w:val="center"/>
            <w:hideMark/>
          </w:tcPr>
          <w:p w14:paraId="0E5C2A11" w14:textId="77777777" w:rsidR="00CF7ABE" w:rsidRPr="00B74E01" w:rsidRDefault="00CF7ABE" w:rsidP="00186BEB">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R$ 3.787.250,00</w:t>
            </w:r>
          </w:p>
        </w:tc>
      </w:tr>
      <w:tr w:rsidR="00CF7ABE" w:rsidRPr="00B74E01" w14:paraId="779D8BB0" w14:textId="77777777" w:rsidTr="00671A31">
        <w:trPr>
          <w:tblCellSpacing w:w="15" w:type="dxa"/>
        </w:trPr>
        <w:tc>
          <w:tcPr>
            <w:tcW w:w="0" w:type="auto"/>
            <w:vAlign w:val="center"/>
            <w:hideMark/>
          </w:tcPr>
          <w:p w14:paraId="5CDB5925" w14:textId="77777777" w:rsidR="00CF7ABE" w:rsidRPr="00B74E01" w:rsidRDefault="00CF7ABE" w:rsidP="00186BEB">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 xml:space="preserve">Óleo </w:t>
            </w:r>
            <w:proofErr w:type="spellStart"/>
            <w:r w:rsidRPr="00B74E01">
              <w:rPr>
                <w:rFonts w:eastAsia="Times New Roman" w:cs="Arial"/>
                <w:kern w:val="0"/>
                <w:lang w:eastAsia="pt-BR"/>
                <w14:ligatures w14:val="none"/>
              </w:rPr>
              <w:t>pirolítico</w:t>
            </w:r>
            <w:proofErr w:type="spellEnd"/>
            <w:r w:rsidRPr="00B74E01">
              <w:rPr>
                <w:rFonts w:eastAsia="Times New Roman" w:cs="Arial"/>
                <w:kern w:val="0"/>
                <w:lang w:eastAsia="pt-BR"/>
                <w14:ligatures w14:val="none"/>
              </w:rPr>
              <w:t xml:space="preserve"> / extrato líquido</w:t>
            </w:r>
          </w:p>
        </w:tc>
        <w:tc>
          <w:tcPr>
            <w:tcW w:w="0" w:type="auto"/>
            <w:vAlign w:val="center"/>
            <w:hideMark/>
          </w:tcPr>
          <w:p w14:paraId="65F7D029" w14:textId="77777777" w:rsidR="00CF7ABE" w:rsidRPr="00B74E01" w:rsidRDefault="00CF7ABE" w:rsidP="00186BEB">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R$ 340.818,75</w:t>
            </w:r>
          </w:p>
        </w:tc>
        <w:tc>
          <w:tcPr>
            <w:tcW w:w="0" w:type="auto"/>
            <w:vAlign w:val="center"/>
            <w:hideMark/>
          </w:tcPr>
          <w:p w14:paraId="6EF99387" w14:textId="77777777" w:rsidR="00CF7ABE" w:rsidRPr="00B74E01" w:rsidRDefault="00CF7ABE" w:rsidP="00186BEB">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R$ 4.089.825,00</w:t>
            </w:r>
          </w:p>
        </w:tc>
      </w:tr>
      <w:tr w:rsidR="00CF7ABE" w:rsidRPr="00B74E01" w14:paraId="2D71CD3B" w14:textId="77777777" w:rsidTr="00671A31">
        <w:trPr>
          <w:tblCellSpacing w:w="15" w:type="dxa"/>
        </w:trPr>
        <w:tc>
          <w:tcPr>
            <w:tcW w:w="0" w:type="auto"/>
            <w:vAlign w:val="center"/>
            <w:hideMark/>
          </w:tcPr>
          <w:p w14:paraId="7204E3A2" w14:textId="77777777" w:rsidR="00CF7ABE" w:rsidRPr="00B74E01" w:rsidRDefault="00CF7ABE" w:rsidP="00186BEB">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Créditos de carbono</w:t>
            </w:r>
          </w:p>
        </w:tc>
        <w:tc>
          <w:tcPr>
            <w:tcW w:w="0" w:type="auto"/>
            <w:vAlign w:val="center"/>
            <w:hideMark/>
          </w:tcPr>
          <w:p w14:paraId="409DB211" w14:textId="77777777" w:rsidR="00CF7ABE" w:rsidRPr="00B74E01" w:rsidRDefault="00CF7ABE" w:rsidP="00186BEB">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R$ 262.800,00</w:t>
            </w:r>
          </w:p>
        </w:tc>
        <w:tc>
          <w:tcPr>
            <w:tcW w:w="0" w:type="auto"/>
            <w:vAlign w:val="center"/>
            <w:hideMark/>
          </w:tcPr>
          <w:p w14:paraId="7CC50585" w14:textId="77777777" w:rsidR="00CF7ABE" w:rsidRPr="00B74E01" w:rsidRDefault="00CF7ABE" w:rsidP="00186BEB">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R$ 3.153.600,00</w:t>
            </w:r>
          </w:p>
        </w:tc>
      </w:tr>
      <w:tr w:rsidR="00CF7ABE" w:rsidRPr="00B74E01" w14:paraId="6CF2D936" w14:textId="77777777" w:rsidTr="00671A31">
        <w:trPr>
          <w:tblCellSpacing w:w="15" w:type="dxa"/>
        </w:trPr>
        <w:tc>
          <w:tcPr>
            <w:tcW w:w="0" w:type="auto"/>
            <w:vAlign w:val="center"/>
            <w:hideMark/>
          </w:tcPr>
          <w:p w14:paraId="01DB2B7A" w14:textId="77777777" w:rsidR="00CF7ABE" w:rsidRPr="00B74E01" w:rsidRDefault="00CF7ABE" w:rsidP="00186BEB">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Total de receitas acessórias brutas potenciais</w:t>
            </w:r>
          </w:p>
        </w:tc>
        <w:tc>
          <w:tcPr>
            <w:tcW w:w="0" w:type="auto"/>
            <w:vAlign w:val="center"/>
            <w:hideMark/>
          </w:tcPr>
          <w:p w14:paraId="501F8F08" w14:textId="77777777" w:rsidR="00CF7ABE" w:rsidRPr="00B74E01" w:rsidRDefault="00CF7ABE" w:rsidP="00186BEB">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R$ 919.222,92</w:t>
            </w:r>
          </w:p>
        </w:tc>
        <w:tc>
          <w:tcPr>
            <w:tcW w:w="0" w:type="auto"/>
            <w:vAlign w:val="center"/>
            <w:hideMark/>
          </w:tcPr>
          <w:p w14:paraId="65BF0A16" w14:textId="77777777" w:rsidR="00CF7ABE" w:rsidRPr="00B74E01" w:rsidRDefault="00CF7ABE" w:rsidP="00186BEB">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R$ 11.030.675,00</w:t>
            </w:r>
          </w:p>
        </w:tc>
      </w:tr>
    </w:tbl>
    <w:p w14:paraId="3B83EA0C"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Esses valores devem ser tratados como </w:t>
      </w:r>
      <w:r w:rsidRPr="00B74E01">
        <w:rPr>
          <w:rFonts w:eastAsia="Times New Roman" w:cs="Arial"/>
          <w:b/>
          <w:bCs/>
          <w:kern w:val="0"/>
          <w:lang w:eastAsia="pt-BR"/>
          <w14:ligatures w14:val="none"/>
        </w:rPr>
        <w:t>potenciais econômicos da SPE</w:t>
      </w:r>
      <w:r w:rsidRPr="00B74E01">
        <w:rPr>
          <w:rFonts w:eastAsia="Times New Roman" w:cs="Arial"/>
          <w:kern w:val="0"/>
          <w:lang w:eastAsia="pt-BR"/>
          <w14:ligatures w14:val="none"/>
        </w:rPr>
        <w:t>, sujeitos a validação técnica, comercial, regulatória e ambiental.</w:t>
      </w:r>
    </w:p>
    <w:p w14:paraId="50C6F98B" w14:textId="77777777" w:rsidR="00CF7ABE" w:rsidRPr="00B74E01" w:rsidRDefault="00CF7ABE" w:rsidP="00186BEB">
      <w:pPr>
        <w:pStyle w:val="Ttulo2"/>
        <w:rPr>
          <w:rFonts w:eastAsia="Times New Roman"/>
          <w:lang w:eastAsia="pt-BR"/>
        </w:rPr>
      </w:pPr>
      <w:bookmarkStart w:id="36" w:name="_Toc230204038"/>
      <w:r w:rsidRPr="00B74E01">
        <w:rPr>
          <w:rFonts w:eastAsia="Times New Roman"/>
          <w:lang w:eastAsia="pt-BR"/>
        </w:rPr>
        <w:t>5.7. Condicionantes das receitas acessórias</w:t>
      </w:r>
      <w:bookmarkEnd w:id="36"/>
    </w:p>
    <w:p w14:paraId="7C6027FA"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As receitas acessórias dependem de fatores que não estão integralmente sob controle do Município. Por isso, devem ser tratadas como risco ordinário da SPE, salvo hipóteses excepcionais expressamente previstas no contrato.</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825"/>
        <w:gridCol w:w="6236"/>
      </w:tblGrid>
      <w:tr w:rsidR="00CF7ABE" w:rsidRPr="00B74E01" w14:paraId="540688DA" w14:textId="77777777" w:rsidTr="00671A31">
        <w:trPr>
          <w:tblHeader/>
          <w:tblCellSpacing w:w="15" w:type="dxa"/>
        </w:trPr>
        <w:tc>
          <w:tcPr>
            <w:tcW w:w="0" w:type="auto"/>
            <w:vAlign w:val="center"/>
            <w:hideMark/>
          </w:tcPr>
          <w:p w14:paraId="0FEAA3E6" w14:textId="77777777" w:rsidR="00CF7ABE" w:rsidRPr="00B74E01" w:rsidRDefault="00CF7ABE" w:rsidP="00186BEB">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Receita acessória</w:t>
            </w:r>
          </w:p>
        </w:tc>
        <w:tc>
          <w:tcPr>
            <w:tcW w:w="0" w:type="auto"/>
            <w:vAlign w:val="center"/>
            <w:hideMark/>
          </w:tcPr>
          <w:p w14:paraId="379E6E9F" w14:textId="77777777" w:rsidR="00CF7ABE" w:rsidRPr="00B74E01" w:rsidRDefault="00CF7ABE" w:rsidP="00186BEB">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Condicionantes principais</w:t>
            </w:r>
          </w:p>
        </w:tc>
      </w:tr>
      <w:tr w:rsidR="00CF7ABE" w:rsidRPr="00B74E01" w14:paraId="20A0E539" w14:textId="77777777" w:rsidTr="00671A31">
        <w:trPr>
          <w:tblCellSpacing w:w="15" w:type="dxa"/>
        </w:trPr>
        <w:tc>
          <w:tcPr>
            <w:tcW w:w="0" w:type="auto"/>
            <w:vAlign w:val="center"/>
            <w:hideMark/>
          </w:tcPr>
          <w:p w14:paraId="19BCEACA" w14:textId="77777777" w:rsidR="00CF7ABE" w:rsidRPr="00B74E01" w:rsidRDefault="00CF7ABE" w:rsidP="00186BEB">
            <w:pPr>
              <w:spacing w:after="0" w:line="360" w:lineRule="auto"/>
              <w:rPr>
                <w:rFonts w:eastAsia="Times New Roman" w:cs="Arial"/>
                <w:kern w:val="0"/>
                <w:lang w:eastAsia="pt-BR"/>
                <w14:ligatures w14:val="none"/>
              </w:rPr>
            </w:pPr>
            <w:proofErr w:type="spellStart"/>
            <w:r w:rsidRPr="00B74E01">
              <w:rPr>
                <w:rFonts w:eastAsia="Times New Roman" w:cs="Arial"/>
                <w:kern w:val="0"/>
                <w:lang w:eastAsia="pt-BR"/>
                <w14:ligatures w14:val="none"/>
              </w:rPr>
              <w:t>Biochar</w:t>
            </w:r>
            <w:proofErr w:type="spellEnd"/>
            <w:r w:rsidRPr="00B74E01">
              <w:rPr>
                <w:rFonts w:eastAsia="Times New Roman" w:cs="Arial"/>
                <w:kern w:val="0"/>
                <w:lang w:eastAsia="pt-BR"/>
                <w14:ligatures w14:val="none"/>
              </w:rPr>
              <w:t xml:space="preserve"> / material carbonáceo</w:t>
            </w:r>
          </w:p>
        </w:tc>
        <w:tc>
          <w:tcPr>
            <w:tcW w:w="0" w:type="auto"/>
            <w:vAlign w:val="center"/>
            <w:hideMark/>
          </w:tcPr>
          <w:p w14:paraId="7F8807D1" w14:textId="77777777" w:rsidR="00CF7ABE" w:rsidRPr="00B74E01" w:rsidRDefault="00CF7ABE" w:rsidP="00186BEB">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Qualidade do produto, teor de contaminantes, umidade, laudos, mercado comprador, logística e uso final</w:t>
            </w:r>
          </w:p>
        </w:tc>
      </w:tr>
      <w:tr w:rsidR="00CF7ABE" w:rsidRPr="00B74E01" w14:paraId="46BE9509" w14:textId="77777777" w:rsidTr="00671A31">
        <w:trPr>
          <w:tblCellSpacing w:w="15" w:type="dxa"/>
        </w:trPr>
        <w:tc>
          <w:tcPr>
            <w:tcW w:w="0" w:type="auto"/>
            <w:vAlign w:val="center"/>
            <w:hideMark/>
          </w:tcPr>
          <w:p w14:paraId="57867EC4" w14:textId="77777777" w:rsidR="00CF7ABE" w:rsidRPr="00B74E01" w:rsidRDefault="00CF7ABE" w:rsidP="00186BEB">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 xml:space="preserve">Óleo </w:t>
            </w:r>
            <w:proofErr w:type="spellStart"/>
            <w:r w:rsidRPr="00B74E01">
              <w:rPr>
                <w:rFonts w:eastAsia="Times New Roman" w:cs="Arial"/>
                <w:kern w:val="0"/>
                <w:lang w:eastAsia="pt-BR"/>
                <w14:ligatures w14:val="none"/>
              </w:rPr>
              <w:t>pirolítico</w:t>
            </w:r>
            <w:proofErr w:type="spellEnd"/>
            <w:r w:rsidRPr="00B74E01">
              <w:rPr>
                <w:rFonts w:eastAsia="Times New Roman" w:cs="Arial"/>
                <w:kern w:val="0"/>
                <w:lang w:eastAsia="pt-BR"/>
                <w14:ligatures w14:val="none"/>
              </w:rPr>
              <w:t xml:space="preserve"> / extrato líquido</w:t>
            </w:r>
          </w:p>
        </w:tc>
        <w:tc>
          <w:tcPr>
            <w:tcW w:w="0" w:type="auto"/>
            <w:vAlign w:val="center"/>
            <w:hideMark/>
          </w:tcPr>
          <w:p w14:paraId="5DBA14D8" w14:textId="77777777" w:rsidR="00CF7ABE" w:rsidRPr="00B74E01" w:rsidRDefault="00CF7ABE" w:rsidP="00186BEB">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Especificação técnica, enquadramento regulatório, armazenamento, transporte, comprador e destinação permitida</w:t>
            </w:r>
          </w:p>
        </w:tc>
      </w:tr>
      <w:tr w:rsidR="00CF7ABE" w:rsidRPr="00B74E01" w14:paraId="727FC40E" w14:textId="77777777" w:rsidTr="00671A31">
        <w:trPr>
          <w:tblCellSpacing w:w="15" w:type="dxa"/>
        </w:trPr>
        <w:tc>
          <w:tcPr>
            <w:tcW w:w="0" w:type="auto"/>
            <w:vAlign w:val="center"/>
            <w:hideMark/>
          </w:tcPr>
          <w:p w14:paraId="186849B2" w14:textId="77777777" w:rsidR="00CF7ABE" w:rsidRPr="00B74E01" w:rsidRDefault="00CF7ABE" w:rsidP="00186BEB">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Créditos de carbono</w:t>
            </w:r>
          </w:p>
        </w:tc>
        <w:tc>
          <w:tcPr>
            <w:tcW w:w="0" w:type="auto"/>
            <w:vAlign w:val="center"/>
            <w:hideMark/>
          </w:tcPr>
          <w:p w14:paraId="73DFF9D1" w14:textId="77777777" w:rsidR="00CF7ABE" w:rsidRPr="00B74E01" w:rsidRDefault="00CF7ABE" w:rsidP="00186BEB">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Metodologia aplicável, adicionalidade, linha de base, MRV, certificação, validação, verificação e preço de mercado</w:t>
            </w:r>
          </w:p>
        </w:tc>
      </w:tr>
      <w:tr w:rsidR="00CF7ABE" w:rsidRPr="00B74E01" w14:paraId="67C7C295" w14:textId="77777777" w:rsidTr="00671A31">
        <w:trPr>
          <w:tblCellSpacing w:w="15" w:type="dxa"/>
        </w:trPr>
        <w:tc>
          <w:tcPr>
            <w:tcW w:w="0" w:type="auto"/>
            <w:vAlign w:val="center"/>
            <w:hideMark/>
          </w:tcPr>
          <w:p w14:paraId="2A91341D" w14:textId="77777777" w:rsidR="00CF7ABE" w:rsidRPr="00B74E01" w:rsidRDefault="00CF7ABE" w:rsidP="00186BEB">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Recicláveis eventualmente aproveitáveis</w:t>
            </w:r>
          </w:p>
        </w:tc>
        <w:tc>
          <w:tcPr>
            <w:tcW w:w="0" w:type="auto"/>
            <w:vAlign w:val="center"/>
            <w:hideMark/>
          </w:tcPr>
          <w:p w14:paraId="1F890D16" w14:textId="77777777" w:rsidR="00CF7ABE" w:rsidRPr="00B74E01" w:rsidRDefault="00CF7ABE" w:rsidP="00186BEB">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Triagem, contaminação, qualidade, volume, separação, mercado local e logística</w:t>
            </w:r>
          </w:p>
        </w:tc>
      </w:tr>
      <w:tr w:rsidR="00CF7ABE" w:rsidRPr="00B74E01" w14:paraId="4D57E151" w14:textId="77777777" w:rsidTr="00671A31">
        <w:trPr>
          <w:tblCellSpacing w:w="15" w:type="dxa"/>
        </w:trPr>
        <w:tc>
          <w:tcPr>
            <w:tcW w:w="0" w:type="auto"/>
            <w:vAlign w:val="center"/>
            <w:hideMark/>
          </w:tcPr>
          <w:p w14:paraId="7580B3CE" w14:textId="77777777" w:rsidR="00CF7ABE" w:rsidRPr="00B74E01" w:rsidRDefault="00CF7ABE" w:rsidP="00186BEB">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Outros ativos ambientais</w:t>
            </w:r>
          </w:p>
        </w:tc>
        <w:tc>
          <w:tcPr>
            <w:tcW w:w="0" w:type="auto"/>
            <w:vAlign w:val="center"/>
            <w:hideMark/>
          </w:tcPr>
          <w:p w14:paraId="657ED255" w14:textId="77777777" w:rsidR="00CF7ABE" w:rsidRPr="00B74E01" w:rsidRDefault="00CF7ABE" w:rsidP="00186BEB">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Compatibilidade técnica, autorização contratual, regulação e comprovação de mercado</w:t>
            </w:r>
          </w:p>
        </w:tc>
      </w:tr>
    </w:tbl>
    <w:p w14:paraId="3F6BC37B"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lastRenderedPageBreak/>
        <w:t>A modelagem poderá reconhecer essas receitas como fontes potenciais da SPE, mas o edital deve evitar prometer receita certa onde há risco de mercado.</w:t>
      </w:r>
    </w:p>
    <w:p w14:paraId="24372478"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Essa cautela é especialmente importante no caso de RSU misto, cuja composição pode variar diariamente e conter materiais contaminados, úmidos, degradados ou de baixo valor comercial.</w:t>
      </w:r>
    </w:p>
    <w:p w14:paraId="088387DF" w14:textId="77777777" w:rsidR="00CF7ABE" w:rsidRPr="00B74E01" w:rsidRDefault="00CF7ABE" w:rsidP="00186BEB">
      <w:pPr>
        <w:pStyle w:val="Ttulo2"/>
        <w:rPr>
          <w:rFonts w:eastAsia="Times New Roman"/>
          <w:lang w:eastAsia="pt-BR"/>
        </w:rPr>
      </w:pPr>
      <w:bookmarkStart w:id="37" w:name="_Toc230204039"/>
      <w:r w:rsidRPr="00B74E01">
        <w:rPr>
          <w:rFonts w:eastAsia="Times New Roman"/>
          <w:lang w:eastAsia="pt-BR"/>
        </w:rPr>
        <w:t>5.8. Recicláveis como receita acessória potencial adicional</w:t>
      </w:r>
      <w:bookmarkEnd w:id="37"/>
    </w:p>
    <w:p w14:paraId="390036AD"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Caso a tecnologia, o arranjo operacional e a modelagem técnica prevejam triagem ou separação prévia de materiais recicláveis, poderá haver receita acessória adicional.</w:t>
      </w:r>
    </w:p>
    <w:p w14:paraId="583E5B52"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Entretanto, recomenda-se não incorporar essa receita ao cenário-base financeiro sem base técnica e comercial comprovada, porque a fração reciclável do RSU misto pode apresentar variações relevantes de qualidade, contaminação e valor de mercado.</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365"/>
        <w:gridCol w:w="5706"/>
      </w:tblGrid>
      <w:tr w:rsidR="00CF7ABE" w:rsidRPr="00B74E01" w14:paraId="6EDB89B0" w14:textId="77777777">
        <w:trPr>
          <w:tblHeader/>
          <w:tblCellSpacing w:w="15" w:type="dxa"/>
        </w:trPr>
        <w:tc>
          <w:tcPr>
            <w:tcW w:w="0" w:type="auto"/>
            <w:vAlign w:val="center"/>
            <w:hideMark/>
          </w:tcPr>
          <w:p w14:paraId="6B4235C6" w14:textId="77777777" w:rsidR="00CF7ABE" w:rsidRPr="00B74E01" w:rsidRDefault="00CF7ABE" w:rsidP="00454A0F">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Tratamento possível dos recicláveis</w:t>
            </w:r>
          </w:p>
        </w:tc>
        <w:tc>
          <w:tcPr>
            <w:tcW w:w="0" w:type="auto"/>
            <w:vAlign w:val="center"/>
            <w:hideMark/>
          </w:tcPr>
          <w:p w14:paraId="6615D6BA" w14:textId="77777777" w:rsidR="00CF7ABE" w:rsidRPr="00B74E01" w:rsidRDefault="00CF7ABE" w:rsidP="00454A0F">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Recomendação</w:t>
            </w:r>
          </w:p>
        </w:tc>
      </w:tr>
      <w:tr w:rsidR="00CF7ABE" w:rsidRPr="00B74E01" w14:paraId="720DC9F1" w14:textId="77777777">
        <w:trPr>
          <w:tblCellSpacing w:w="15" w:type="dxa"/>
        </w:trPr>
        <w:tc>
          <w:tcPr>
            <w:tcW w:w="0" w:type="auto"/>
            <w:vAlign w:val="center"/>
            <w:hideMark/>
          </w:tcPr>
          <w:p w14:paraId="773E2942" w14:textId="77777777" w:rsidR="00CF7ABE" w:rsidRPr="00B74E01" w:rsidRDefault="00CF7ABE" w:rsidP="00454A0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 acessória monetizada</w:t>
            </w:r>
          </w:p>
        </w:tc>
        <w:tc>
          <w:tcPr>
            <w:tcW w:w="0" w:type="auto"/>
            <w:vAlign w:val="center"/>
            <w:hideMark/>
          </w:tcPr>
          <w:p w14:paraId="26C1C0CA" w14:textId="77777777" w:rsidR="00CF7ABE" w:rsidRPr="00B74E01" w:rsidRDefault="00CF7ABE" w:rsidP="00454A0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Somente se houver estimativa técnica, volume, preço, comprador e logística</w:t>
            </w:r>
          </w:p>
        </w:tc>
      </w:tr>
      <w:tr w:rsidR="00CF7ABE" w:rsidRPr="00B74E01" w14:paraId="662EE5DE" w14:textId="77777777">
        <w:trPr>
          <w:tblCellSpacing w:w="15" w:type="dxa"/>
        </w:trPr>
        <w:tc>
          <w:tcPr>
            <w:tcW w:w="0" w:type="auto"/>
            <w:vAlign w:val="center"/>
            <w:hideMark/>
          </w:tcPr>
          <w:p w14:paraId="1609041C" w14:textId="77777777" w:rsidR="00CF7ABE" w:rsidRPr="00B74E01" w:rsidRDefault="00CF7ABE" w:rsidP="00454A0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 não monetizada</w:t>
            </w:r>
          </w:p>
        </w:tc>
        <w:tc>
          <w:tcPr>
            <w:tcW w:w="0" w:type="auto"/>
            <w:vAlign w:val="center"/>
            <w:hideMark/>
          </w:tcPr>
          <w:p w14:paraId="72EF6CD4" w14:textId="77777777" w:rsidR="00CF7ABE" w:rsidRPr="00B74E01" w:rsidRDefault="00CF7ABE" w:rsidP="00454A0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Pode ser tratada como benefício ambiental e operacional</w:t>
            </w:r>
          </w:p>
        </w:tc>
      </w:tr>
      <w:tr w:rsidR="00CF7ABE" w:rsidRPr="00B74E01" w14:paraId="57F27B77" w14:textId="77777777">
        <w:trPr>
          <w:tblCellSpacing w:w="15" w:type="dxa"/>
        </w:trPr>
        <w:tc>
          <w:tcPr>
            <w:tcW w:w="0" w:type="auto"/>
            <w:vAlign w:val="center"/>
            <w:hideMark/>
          </w:tcPr>
          <w:p w14:paraId="3035625F" w14:textId="77777777" w:rsidR="00CF7ABE" w:rsidRPr="00B74E01" w:rsidRDefault="00CF7ABE" w:rsidP="00454A0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Obrigação operacional de triagem</w:t>
            </w:r>
          </w:p>
        </w:tc>
        <w:tc>
          <w:tcPr>
            <w:tcW w:w="0" w:type="auto"/>
            <w:vAlign w:val="center"/>
            <w:hideMark/>
          </w:tcPr>
          <w:p w14:paraId="0B0B9F7F" w14:textId="77777777" w:rsidR="00CF7ABE" w:rsidRPr="00B74E01" w:rsidRDefault="00CF7ABE" w:rsidP="00454A0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Deve ser disciplinada no caderno técnico e nos indicadores de desempenho</w:t>
            </w:r>
          </w:p>
        </w:tc>
      </w:tr>
      <w:tr w:rsidR="00CF7ABE" w:rsidRPr="00B74E01" w14:paraId="2DB63427" w14:textId="77777777">
        <w:trPr>
          <w:tblCellSpacing w:w="15" w:type="dxa"/>
        </w:trPr>
        <w:tc>
          <w:tcPr>
            <w:tcW w:w="0" w:type="auto"/>
            <w:vAlign w:val="center"/>
            <w:hideMark/>
          </w:tcPr>
          <w:p w14:paraId="0C776424" w14:textId="77777777" w:rsidR="00CF7ABE" w:rsidRPr="00B74E01" w:rsidRDefault="00CF7ABE" w:rsidP="00454A0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Integração com cooperativas ou catadores</w:t>
            </w:r>
          </w:p>
        </w:tc>
        <w:tc>
          <w:tcPr>
            <w:tcW w:w="0" w:type="auto"/>
            <w:vAlign w:val="center"/>
            <w:hideMark/>
          </w:tcPr>
          <w:p w14:paraId="5B497FBC" w14:textId="77777777" w:rsidR="00CF7ABE" w:rsidRPr="00B74E01" w:rsidRDefault="00CF7ABE" w:rsidP="00454A0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Deve ser estruturada sem descaracterizar a natureza industrial da PPP</w:t>
            </w:r>
          </w:p>
        </w:tc>
      </w:tr>
      <w:tr w:rsidR="00CF7ABE" w:rsidRPr="00B74E01" w14:paraId="7B8A6F16" w14:textId="77777777">
        <w:trPr>
          <w:tblCellSpacing w:w="15" w:type="dxa"/>
        </w:trPr>
        <w:tc>
          <w:tcPr>
            <w:tcW w:w="0" w:type="auto"/>
            <w:vAlign w:val="center"/>
            <w:hideMark/>
          </w:tcPr>
          <w:p w14:paraId="41FB8260" w14:textId="77777777" w:rsidR="00CF7ABE" w:rsidRPr="00B74E01" w:rsidRDefault="00CF7ABE" w:rsidP="00454A0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Reequilíbrio por frustração da receita</w:t>
            </w:r>
          </w:p>
        </w:tc>
        <w:tc>
          <w:tcPr>
            <w:tcW w:w="0" w:type="auto"/>
            <w:vAlign w:val="center"/>
            <w:hideMark/>
          </w:tcPr>
          <w:p w14:paraId="68C57E48" w14:textId="77777777" w:rsidR="00CF7ABE" w:rsidRPr="00B74E01" w:rsidRDefault="00CF7ABE" w:rsidP="00454A0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Não recomendado, salvo ato do Poder Concedente ou hipótese expressa</w:t>
            </w:r>
          </w:p>
        </w:tc>
      </w:tr>
    </w:tbl>
    <w:p w14:paraId="08D4A485"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lastRenderedPageBreak/>
        <w:t xml:space="preserve">Assim, o caderno econômico poderá mencionar os recicláveis como </w:t>
      </w:r>
      <w:r w:rsidRPr="00B74E01">
        <w:rPr>
          <w:rFonts w:eastAsia="Times New Roman" w:cs="Arial"/>
          <w:b/>
          <w:bCs/>
          <w:kern w:val="0"/>
          <w:lang w:eastAsia="pt-BR"/>
          <w14:ligatures w14:val="none"/>
        </w:rPr>
        <w:t>receita acessória potencial adicional</w:t>
      </w:r>
      <w:r w:rsidRPr="00B74E01">
        <w:rPr>
          <w:rFonts w:eastAsia="Times New Roman" w:cs="Arial"/>
          <w:kern w:val="0"/>
          <w:lang w:eastAsia="pt-BR"/>
          <w14:ligatures w14:val="none"/>
        </w:rPr>
        <w:t>, a ser demonstrada pelos licitantes, sem incorporá-la automaticamente ao cenário financeiro principal.</w:t>
      </w:r>
    </w:p>
    <w:p w14:paraId="1428931D" w14:textId="77777777" w:rsidR="00CF7ABE" w:rsidRPr="00B74E01" w:rsidRDefault="00CF7ABE" w:rsidP="00454A0F">
      <w:pPr>
        <w:pStyle w:val="Ttulo2"/>
        <w:rPr>
          <w:rFonts w:eastAsia="Times New Roman"/>
          <w:lang w:eastAsia="pt-BR"/>
        </w:rPr>
      </w:pPr>
      <w:bookmarkStart w:id="38" w:name="_Toc230204040"/>
      <w:r w:rsidRPr="00B74E01">
        <w:rPr>
          <w:rFonts w:eastAsia="Times New Roman"/>
          <w:lang w:eastAsia="pt-BR"/>
        </w:rPr>
        <w:t>5.9. Receita acessória líquida e repartição de benefício ao Fundo Municipal</w:t>
      </w:r>
      <w:bookmarkEnd w:id="38"/>
    </w:p>
    <w:p w14:paraId="73A079C0"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Para fins da modelagem atual, considera-se PIS/COFINS estimado de </w:t>
      </w:r>
      <w:r w:rsidRPr="00B74E01">
        <w:rPr>
          <w:rFonts w:eastAsia="Times New Roman" w:cs="Arial"/>
          <w:b/>
          <w:bCs/>
          <w:kern w:val="0"/>
          <w:lang w:eastAsia="pt-BR"/>
          <w14:ligatures w14:val="none"/>
        </w:rPr>
        <w:t>9,25%</w:t>
      </w:r>
      <w:r w:rsidRPr="00B74E01">
        <w:rPr>
          <w:rFonts w:eastAsia="Times New Roman" w:cs="Arial"/>
          <w:kern w:val="0"/>
          <w:lang w:eastAsia="pt-BR"/>
          <w14:ligatures w14:val="none"/>
        </w:rPr>
        <w:t xml:space="preserve"> sobre as receitas acessórias e destinação de </w:t>
      </w:r>
      <w:r w:rsidRPr="00B74E01">
        <w:rPr>
          <w:rFonts w:eastAsia="Times New Roman" w:cs="Arial"/>
          <w:b/>
          <w:bCs/>
          <w:kern w:val="0"/>
          <w:lang w:eastAsia="pt-BR"/>
          <w14:ligatures w14:val="none"/>
        </w:rPr>
        <w:t>5% da receita acessória líquida efetivamente realizada</w:t>
      </w:r>
      <w:r w:rsidRPr="00B74E01">
        <w:rPr>
          <w:rFonts w:eastAsia="Times New Roman" w:cs="Arial"/>
          <w:kern w:val="0"/>
          <w:lang w:eastAsia="pt-BR"/>
          <w14:ligatures w14:val="none"/>
        </w:rPr>
        <w:t xml:space="preserve"> ao Fundo Municipal de Meio Ambiente e Tecnologia Pública.</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084"/>
        <w:gridCol w:w="1655"/>
        <w:gridCol w:w="2004"/>
      </w:tblGrid>
      <w:tr w:rsidR="00CF7ABE" w:rsidRPr="00B74E01" w14:paraId="1307003B" w14:textId="77777777" w:rsidTr="00671A31">
        <w:trPr>
          <w:tblHeader/>
          <w:tblCellSpacing w:w="15" w:type="dxa"/>
        </w:trPr>
        <w:tc>
          <w:tcPr>
            <w:tcW w:w="0" w:type="auto"/>
            <w:vAlign w:val="center"/>
            <w:hideMark/>
          </w:tcPr>
          <w:p w14:paraId="6E6BC01F" w14:textId="77777777" w:rsidR="00CF7ABE" w:rsidRPr="00B74E01" w:rsidRDefault="00CF7ABE" w:rsidP="00454A0F">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Item</w:t>
            </w:r>
          </w:p>
        </w:tc>
        <w:tc>
          <w:tcPr>
            <w:tcW w:w="0" w:type="auto"/>
            <w:vAlign w:val="center"/>
            <w:hideMark/>
          </w:tcPr>
          <w:p w14:paraId="36B64B64" w14:textId="77777777" w:rsidR="00CF7ABE" w:rsidRPr="00B74E01" w:rsidRDefault="00CF7ABE" w:rsidP="00454A0F">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 mensal</w:t>
            </w:r>
          </w:p>
        </w:tc>
        <w:tc>
          <w:tcPr>
            <w:tcW w:w="0" w:type="auto"/>
            <w:vAlign w:val="center"/>
            <w:hideMark/>
          </w:tcPr>
          <w:p w14:paraId="0A7704FC" w14:textId="77777777" w:rsidR="00CF7ABE" w:rsidRPr="00B74E01" w:rsidRDefault="00CF7ABE" w:rsidP="00454A0F">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 anual</w:t>
            </w:r>
          </w:p>
        </w:tc>
      </w:tr>
      <w:tr w:rsidR="00CF7ABE" w:rsidRPr="00B74E01" w14:paraId="3917AE06" w14:textId="77777777" w:rsidTr="00671A31">
        <w:trPr>
          <w:tblCellSpacing w:w="15" w:type="dxa"/>
        </w:trPr>
        <w:tc>
          <w:tcPr>
            <w:tcW w:w="0" w:type="auto"/>
            <w:vAlign w:val="center"/>
            <w:hideMark/>
          </w:tcPr>
          <w:p w14:paraId="0EA09241" w14:textId="77777777" w:rsidR="00CF7ABE" w:rsidRPr="00B74E01" w:rsidRDefault="00CF7ABE" w:rsidP="00454A0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 acessória bruta potencial</w:t>
            </w:r>
          </w:p>
        </w:tc>
        <w:tc>
          <w:tcPr>
            <w:tcW w:w="0" w:type="auto"/>
            <w:vAlign w:val="center"/>
            <w:hideMark/>
          </w:tcPr>
          <w:p w14:paraId="411791A5" w14:textId="77777777" w:rsidR="00CF7ABE" w:rsidRPr="00B74E01" w:rsidRDefault="00CF7ABE" w:rsidP="00454A0F">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R$ 919.222,92</w:t>
            </w:r>
          </w:p>
        </w:tc>
        <w:tc>
          <w:tcPr>
            <w:tcW w:w="0" w:type="auto"/>
            <w:vAlign w:val="center"/>
            <w:hideMark/>
          </w:tcPr>
          <w:p w14:paraId="403B2C1A" w14:textId="77777777" w:rsidR="00CF7ABE" w:rsidRPr="00B74E01" w:rsidRDefault="00CF7ABE" w:rsidP="00454A0F">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R$ 11.030.675,00</w:t>
            </w:r>
          </w:p>
        </w:tc>
      </w:tr>
      <w:tr w:rsidR="00CF7ABE" w:rsidRPr="00B74E01" w14:paraId="1979ABFC" w14:textId="77777777" w:rsidTr="00671A31">
        <w:trPr>
          <w:tblCellSpacing w:w="15" w:type="dxa"/>
        </w:trPr>
        <w:tc>
          <w:tcPr>
            <w:tcW w:w="0" w:type="auto"/>
            <w:vAlign w:val="center"/>
            <w:hideMark/>
          </w:tcPr>
          <w:p w14:paraId="5C7BE815" w14:textId="77777777" w:rsidR="00CF7ABE" w:rsidRPr="00B74E01" w:rsidRDefault="00CF7ABE" w:rsidP="00454A0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PIS/COFINS estimado — 9,25%</w:t>
            </w:r>
          </w:p>
        </w:tc>
        <w:tc>
          <w:tcPr>
            <w:tcW w:w="0" w:type="auto"/>
            <w:vAlign w:val="center"/>
            <w:hideMark/>
          </w:tcPr>
          <w:p w14:paraId="1883478C" w14:textId="77777777" w:rsidR="00CF7ABE" w:rsidRPr="00B74E01" w:rsidRDefault="00CF7ABE" w:rsidP="00454A0F">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-R$ 85.028,12</w:t>
            </w:r>
          </w:p>
        </w:tc>
        <w:tc>
          <w:tcPr>
            <w:tcW w:w="0" w:type="auto"/>
            <w:vAlign w:val="center"/>
            <w:hideMark/>
          </w:tcPr>
          <w:p w14:paraId="7F5C7822" w14:textId="77777777" w:rsidR="00CF7ABE" w:rsidRPr="00B74E01" w:rsidRDefault="00CF7ABE" w:rsidP="00454A0F">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-R$ 1.020.337,44</w:t>
            </w:r>
          </w:p>
        </w:tc>
      </w:tr>
      <w:tr w:rsidR="00CF7ABE" w:rsidRPr="00B74E01" w14:paraId="7DC1A343" w14:textId="77777777" w:rsidTr="00671A31">
        <w:trPr>
          <w:tblCellSpacing w:w="15" w:type="dxa"/>
        </w:trPr>
        <w:tc>
          <w:tcPr>
            <w:tcW w:w="0" w:type="auto"/>
            <w:vAlign w:val="center"/>
            <w:hideMark/>
          </w:tcPr>
          <w:p w14:paraId="6BC7B14B" w14:textId="77777777" w:rsidR="00CF7ABE" w:rsidRPr="00B74E01" w:rsidRDefault="00CF7ABE" w:rsidP="00454A0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 acessória líquida estimada</w:t>
            </w:r>
          </w:p>
        </w:tc>
        <w:tc>
          <w:tcPr>
            <w:tcW w:w="0" w:type="auto"/>
            <w:vAlign w:val="center"/>
            <w:hideMark/>
          </w:tcPr>
          <w:p w14:paraId="66E986C6" w14:textId="77777777" w:rsidR="00CF7ABE" w:rsidRPr="00B74E01" w:rsidRDefault="00CF7ABE" w:rsidP="00454A0F">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R$ 834.194,80</w:t>
            </w:r>
          </w:p>
        </w:tc>
        <w:tc>
          <w:tcPr>
            <w:tcW w:w="0" w:type="auto"/>
            <w:vAlign w:val="center"/>
            <w:hideMark/>
          </w:tcPr>
          <w:p w14:paraId="27E455F0" w14:textId="77777777" w:rsidR="00CF7ABE" w:rsidRPr="00B74E01" w:rsidRDefault="00CF7ABE" w:rsidP="00454A0F">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R$ 10.010.337,56</w:t>
            </w:r>
          </w:p>
        </w:tc>
      </w:tr>
      <w:tr w:rsidR="00CF7ABE" w:rsidRPr="00B74E01" w14:paraId="7AF8259C" w14:textId="77777777" w:rsidTr="00671A31">
        <w:trPr>
          <w:tblCellSpacing w:w="15" w:type="dxa"/>
        </w:trPr>
        <w:tc>
          <w:tcPr>
            <w:tcW w:w="0" w:type="auto"/>
            <w:vAlign w:val="center"/>
            <w:hideMark/>
          </w:tcPr>
          <w:p w14:paraId="08A141B2" w14:textId="77777777" w:rsidR="00CF7ABE" w:rsidRPr="00B74E01" w:rsidRDefault="00CF7ABE" w:rsidP="00454A0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5% ao Fundo Municipal</w:t>
            </w:r>
          </w:p>
        </w:tc>
        <w:tc>
          <w:tcPr>
            <w:tcW w:w="0" w:type="auto"/>
            <w:vAlign w:val="center"/>
            <w:hideMark/>
          </w:tcPr>
          <w:p w14:paraId="2D6202FC" w14:textId="77777777" w:rsidR="00CF7ABE" w:rsidRPr="00B74E01" w:rsidRDefault="00CF7ABE" w:rsidP="00454A0F">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-R$ 41.709,74</w:t>
            </w:r>
          </w:p>
        </w:tc>
        <w:tc>
          <w:tcPr>
            <w:tcW w:w="0" w:type="auto"/>
            <w:vAlign w:val="center"/>
            <w:hideMark/>
          </w:tcPr>
          <w:p w14:paraId="241955AA" w14:textId="77777777" w:rsidR="00CF7ABE" w:rsidRPr="00B74E01" w:rsidRDefault="00CF7ABE" w:rsidP="00454A0F">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-R$ 500.516,88</w:t>
            </w:r>
          </w:p>
        </w:tc>
      </w:tr>
      <w:tr w:rsidR="00CF7ABE" w:rsidRPr="00B74E01" w14:paraId="48A56097" w14:textId="77777777" w:rsidTr="00671A31">
        <w:trPr>
          <w:tblCellSpacing w:w="15" w:type="dxa"/>
        </w:trPr>
        <w:tc>
          <w:tcPr>
            <w:tcW w:w="0" w:type="auto"/>
            <w:vAlign w:val="center"/>
            <w:hideMark/>
          </w:tcPr>
          <w:p w14:paraId="1CC7BD1F" w14:textId="77777777" w:rsidR="00CF7ABE" w:rsidRPr="00B74E01" w:rsidRDefault="00CF7ABE" w:rsidP="00454A0F">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Acréscimo líquido ao caixa da SPE</w:t>
            </w:r>
          </w:p>
        </w:tc>
        <w:tc>
          <w:tcPr>
            <w:tcW w:w="0" w:type="auto"/>
            <w:vAlign w:val="center"/>
            <w:hideMark/>
          </w:tcPr>
          <w:p w14:paraId="35AF1405" w14:textId="77777777" w:rsidR="00CF7ABE" w:rsidRPr="00B74E01" w:rsidRDefault="00CF7ABE" w:rsidP="00454A0F">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R$ 792.485,06</w:t>
            </w:r>
          </w:p>
        </w:tc>
        <w:tc>
          <w:tcPr>
            <w:tcW w:w="0" w:type="auto"/>
            <w:vAlign w:val="center"/>
            <w:hideMark/>
          </w:tcPr>
          <w:p w14:paraId="189FE1C7" w14:textId="77777777" w:rsidR="00CF7ABE" w:rsidRPr="00B74E01" w:rsidRDefault="00CF7ABE" w:rsidP="00454A0F">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R$ 9.509.820,68</w:t>
            </w:r>
          </w:p>
        </w:tc>
      </w:tr>
    </w:tbl>
    <w:p w14:paraId="0B775DC5"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destinação de 5% da receita acessória líquida não decorre de imposição legal automática. Trata-se de mecanismo recomendado de governança, compartilhamento de benefícios e fortalecimento das políticas públicas ambientais e tecnológicas do Município.</w:t>
      </w:r>
    </w:p>
    <w:p w14:paraId="7D550B08"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redação contratual deverá definir com precisão a base de cálculo da parcela destinada ao Fundo. Existem três alternativas possíveis: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226"/>
        <w:gridCol w:w="2413"/>
        <w:gridCol w:w="4422"/>
      </w:tblGrid>
      <w:tr w:rsidR="00CF7ABE" w:rsidRPr="00B74E01" w14:paraId="6D5F2EE3" w14:textId="77777777" w:rsidTr="00671A31">
        <w:trPr>
          <w:tblHeader/>
          <w:tblCellSpacing w:w="15" w:type="dxa"/>
        </w:trPr>
        <w:tc>
          <w:tcPr>
            <w:tcW w:w="0" w:type="auto"/>
            <w:vAlign w:val="center"/>
            <w:hideMark/>
          </w:tcPr>
          <w:p w14:paraId="42952226" w14:textId="77777777" w:rsidR="00CF7ABE" w:rsidRPr="00B74E01" w:rsidRDefault="00CF7ABE" w:rsidP="00454A0F">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Base de cálculo possível</w:t>
            </w:r>
          </w:p>
        </w:tc>
        <w:tc>
          <w:tcPr>
            <w:tcW w:w="0" w:type="auto"/>
            <w:vAlign w:val="center"/>
            <w:hideMark/>
          </w:tcPr>
          <w:p w14:paraId="6E4BE98A" w14:textId="77777777" w:rsidR="00CF7ABE" w:rsidRPr="00B74E01" w:rsidRDefault="00CF7ABE" w:rsidP="00454A0F">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Característica</w:t>
            </w:r>
          </w:p>
        </w:tc>
        <w:tc>
          <w:tcPr>
            <w:tcW w:w="0" w:type="auto"/>
            <w:vAlign w:val="center"/>
            <w:hideMark/>
          </w:tcPr>
          <w:p w14:paraId="714B35E3" w14:textId="77777777" w:rsidR="00CF7ABE" w:rsidRPr="00B74E01" w:rsidRDefault="00CF7ABE" w:rsidP="00454A0F">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Observação</w:t>
            </w:r>
          </w:p>
        </w:tc>
      </w:tr>
      <w:tr w:rsidR="00CF7ABE" w:rsidRPr="00B74E01" w14:paraId="6599D617" w14:textId="77777777" w:rsidTr="00671A31">
        <w:trPr>
          <w:tblCellSpacing w:w="15" w:type="dxa"/>
        </w:trPr>
        <w:tc>
          <w:tcPr>
            <w:tcW w:w="0" w:type="auto"/>
            <w:vAlign w:val="center"/>
            <w:hideMark/>
          </w:tcPr>
          <w:p w14:paraId="7796AA2E" w14:textId="77777777" w:rsidR="00CF7ABE" w:rsidRPr="00B74E01" w:rsidRDefault="00CF7ABE" w:rsidP="00454A0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 acessória bruta</w:t>
            </w:r>
          </w:p>
        </w:tc>
        <w:tc>
          <w:tcPr>
            <w:tcW w:w="0" w:type="auto"/>
            <w:vAlign w:val="center"/>
            <w:hideMark/>
          </w:tcPr>
          <w:p w14:paraId="6A0BA051" w14:textId="77777777" w:rsidR="00CF7ABE" w:rsidRPr="00B74E01" w:rsidRDefault="00CF7ABE" w:rsidP="00454A0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Mais simples e favorável ao Fundo</w:t>
            </w:r>
          </w:p>
        </w:tc>
        <w:tc>
          <w:tcPr>
            <w:tcW w:w="0" w:type="auto"/>
            <w:vAlign w:val="center"/>
            <w:hideMark/>
          </w:tcPr>
          <w:p w14:paraId="5B123C22" w14:textId="77777777" w:rsidR="00CF7ABE" w:rsidRPr="00B74E01" w:rsidRDefault="00CF7ABE" w:rsidP="00454A0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Pode aumentar o ônus da SPE, inclusive antes de descontar tributos e custos de realização</w:t>
            </w:r>
          </w:p>
        </w:tc>
      </w:tr>
      <w:tr w:rsidR="00CF7ABE" w:rsidRPr="00B74E01" w14:paraId="276AAA6A" w14:textId="77777777" w:rsidTr="00671A31">
        <w:trPr>
          <w:tblCellSpacing w:w="15" w:type="dxa"/>
        </w:trPr>
        <w:tc>
          <w:tcPr>
            <w:tcW w:w="0" w:type="auto"/>
            <w:vAlign w:val="center"/>
            <w:hideMark/>
          </w:tcPr>
          <w:p w14:paraId="59B72637" w14:textId="77777777" w:rsidR="00CF7ABE" w:rsidRPr="00B74E01" w:rsidRDefault="00CF7ABE" w:rsidP="00454A0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 acessória líquida</w:t>
            </w:r>
          </w:p>
        </w:tc>
        <w:tc>
          <w:tcPr>
            <w:tcW w:w="0" w:type="auto"/>
            <w:vAlign w:val="center"/>
            <w:hideMark/>
          </w:tcPr>
          <w:p w14:paraId="62420177" w14:textId="77777777" w:rsidR="00CF7ABE" w:rsidRPr="00B74E01" w:rsidRDefault="00CF7ABE" w:rsidP="00454A0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Mais equilibrada</w:t>
            </w:r>
          </w:p>
        </w:tc>
        <w:tc>
          <w:tcPr>
            <w:tcW w:w="0" w:type="auto"/>
            <w:vAlign w:val="center"/>
            <w:hideMark/>
          </w:tcPr>
          <w:p w14:paraId="193F2B3E" w14:textId="77777777" w:rsidR="00CF7ABE" w:rsidRPr="00B74E01" w:rsidRDefault="00CF7ABE" w:rsidP="00454A0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Deduz tributos e custos diretamente associados à realização da receita</w:t>
            </w:r>
          </w:p>
        </w:tc>
      </w:tr>
      <w:tr w:rsidR="00CF7ABE" w:rsidRPr="00B74E01" w14:paraId="760012BF" w14:textId="77777777" w:rsidTr="00671A31">
        <w:trPr>
          <w:tblCellSpacing w:w="15" w:type="dxa"/>
        </w:trPr>
        <w:tc>
          <w:tcPr>
            <w:tcW w:w="0" w:type="auto"/>
            <w:vAlign w:val="center"/>
            <w:hideMark/>
          </w:tcPr>
          <w:p w14:paraId="42186386" w14:textId="77777777" w:rsidR="00CF7ABE" w:rsidRPr="00B74E01" w:rsidRDefault="00CF7ABE" w:rsidP="00454A0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lastRenderedPageBreak/>
              <w:t>Resultado líquido da receita acessória</w:t>
            </w:r>
          </w:p>
        </w:tc>
        <w:tc>
          <w:tcPr>
            <w:tcW w:w="0" w:type="auto"/>
            <w:vAlign w:val="center"/>
            <w:hideMark/>
          </w:tcPr>
          <w:p w14:paraId="3CAEDC4E" w14:textId="77777777" w:rsidR="00CF7ABE" w:rsidRPr="00B74E01" w:rsidRDefault="00CF7ABE" w:rsidP="00454A0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Mais favorável à SPE</w:t>
            </w:r>
          </w:p>
        </w:tc>
        <w:tc>
          <w:tcPr>
            <w:tcW w:w="0" w:type="auto"/>
            <w:vAlign w:val="center"/>
            <w:hideMark/>
          </w:tcPr>
          <w:p w14:paraId="1B4660E6" w14:textId="77777777" w:rsidR="00CF7ABE" w:rsidRPr="00B74E01" w:rsidRDefault="00CF7ABE" w:rsidP="00454A0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Exige controle contábil mais complexo e pode gerar discussão sobre deduções</w:t>
            </w:r>
          </w:p>
        </w:tc>
      </w:tr>
    </w:tbl>
    <w:p w14:paraId="7BDC1641"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 modelagem atual adota </w:t>
      </w:r>
      <w:r w:rsidRPr="00B74E01">
        <w:rPr>
          <w:rFonts w:eastAsia="Times New Roman" w:cs="Arial"/>
          <w:b/>
          <w:bCs/>
          <w:kern w:val="0"/>
          <w:lang w:eastAsia="pt-BR"/>
          <w14:ligatures w14:val="none"/>
        </w:rPr>
        <w:t>receita acessória líquida efetivamente realizada</w:t>
      </w:r>
      <w:r w:rsidRPr="00B74E01">
        <w:rPr>
          <w:rFonts w:eastAsia="Times New Roman" w:cs="Arial"/>
          <w:kern w:val="0"/>
          <w:lang w:eastAsia="pt-BR"/>
          <w14:ligatures w14:val="none"/>
        </w:rPr>
        <w:t xml:space="preserve"> como critério de equilíbrio. Se o Município desejar maior simplicidade ou maior participação pública, poderá avaliar a adoção de percentual sobre receita bruta, desde que os impactos econômicos sejam recalculados.</w:t>
      </w:r>
    </w:p>
    <w:p w14:paraId="781AD795" w14:textId="77777777" w:rsidR="00CF7ABE" w:rsidRPr="00B74E01" w:rsidRDefault="00CF7ABE" w:rsidP="00454A0F">
      <w:pPr>
        <w:pStyle w:val="Ttulo2"/>
        <w:rPr>
          <w:rFonts w:eastAsia="Times New Roman"/>
          <w:lang w:eastAsia="pt-BR"/>
        </w:rPr>
      </w:pPr>
      <w:bookmarkStart w:id="39" w:name="_Toc230204041"/>
      <w:r w:rsidRPr="00B74E01">
        <w:rPr>
          <w:rFonts w:eastAsia="Times New Roman"/>
          <w:lang w:eastAsia="pt-BR"/>
        </w:rPr>
        <w:t>5.10. Tratamento das receitas acessórias na matriz de riscos</w:t>
      </w:r>
      <w:bookmarkEnd w:id="39"/>
    </w:p>
    <w:p w14:paraId="38CD78FF"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As receitas acessórias devem ser tratadas como risco da SPE, porque dependem de sua capacidade técnica, comercial, operacional e regulatória.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537"/>
        <w:gridCol w:w="4524"/>
      </w:tblGrid>
      <w:tr w:rsidR="00CF7ABE" w:rsidRPr="00B74E01" w14:paraId="59AE3A6A" w14:textId="77777777" w:rsidTr="00671A31">
        <w:trPr>
          <w:tblHeade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3DA7B0DE" w14:textId="77777777" w:rsidR="00CF7ABE" w:rsidRPr="00B74E01" w:rsidRDefault="00CF7ABE" w:rsidP="008C475F">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Situação</w:t>
            </w:r>
          </w:p>
        </w:tc>
        <w:tc>
          <w:tcPr>
            <w:tcW w:w="0" w:type="auto"/>
            <w:tcBorders>
              <w:top w:val="single" w:sz="4" w:space="0" w:color="auto"/>
              <w:left w:val="single" w:sz="4" w:space="0" w:color="auto"/>
              <w:bottom w:val="single" w:sz="4" w:space="0" w:color="auto"/>
              <w:right w:val="single" w:sz="4" w:space="0" w:color="auto"/>
            </w:tcBorders>
            <w:vAlign w:val="center"/>
            <w:hideMark/>
          </w:tcPr>
          <w:p w14:paraId="65391381" w14:textId="77777777" w:rsidR="00CF7ABE" w:rsidRPr="00B74E01" w:rsidRDefault="00CF7ABE" w:rsidP="008C475F">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Tratamento recomendado</w:t>
            </w:r>
          </w:p>
        </w:tc>
      </w:tr>
      <w:tr w:rsidR="00CF7ABE" w:rsidRPr="00B74E01" w14:paraId="3AF5CB79" w14:textId="77777777" w:rsidTr="00671A31">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0C03ECB2" w14:textId="77777777" w:rsidR="00CF7ABE" w:rsidRPr="00B74E01" w:rsidRDefault="00CF7ABE" w:rsidP="008C475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Preço de venda inferior ao estimado</w:t>
            </w:r>
          </w:p>
        </w:tc>
        <w:tc>
          <w:tcPr>
            <w:tcW w:w="0" w:type="auto"/>
            <w:tcBorders>
              <w:top w:val="single" w:sz="4" w:space="0" w:color="auto"/>
              <w:left w:val="single" w:sz="4" w:space="0" w:color="auto"/>
              <w:bottom w:val="single" w:sz="4" w:space="0" w:color="auto"/>
              <w:right w:val="single" w:sz="4" w:space="0" w:color="auto"/>
            </w:tcBorders>
            <w:vAlign w:val="center"/>
            <w:hideMark/>
          </w:tcPr>
          <w:p w14:paraId="0D9C29A1" w14:textId="77777777" w:rsidR="00CF7ABE" w:rsidRPr="00B74E01" w:rsidRDefault="00CF7ABE" w:rsidP="008C475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Risco da SPE</w:t>
            </w:r>
          </w:p>
        </w:tc>
      </w:tr>
      <w:tr w:rsidR="00CF7ABE" w:rsidRPr="00B74E01" w14:paraId="2BB13283" w14:textId="77777777" w:rsidTr="00671A31">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028BAD77" w14:textId="77777777" w:rsidR="00CF7ABE" w:rsidRPr="00B74E01" w:rsidRDefault="00CF7ABE" w:rsidP="008C475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Ausência de comprador</w:t>
            </w:r>
          </w:p>
        </w:tc>
        <w:tc>
          <w:tcPr>
            <w:tcW w:w="0" w:type="auto"/>
            <w:tcBorders>
              <w:top w:val="single" w:sz="4" w:space="0" w:color="auto"/>
              <w:left w:val="single" w:sz="4" w:space="0" w:color="auto"/>
              <w:bottom w:val="single" w:sz="4" w:space="0" w:color="auto"/>
              <w:right w:val="single" w:sz="4" w:space="0" w:color="auto"/>
            </w:tcBorders>
            <w:vAlign w:val="center"/>
            <w:hideMark/>
          </w:tcPr>
          <w:p w14:paraId="438A4CCD" w14:textId="77777777" w:rsidR="00CF7ABE" w:rsidRPr="00B74E01" w:rsidRDefault="00CF7ABE" w:rsidP="008C475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Risco da SPE</w:t>
            </w:r>
          </w:p>
        </w:tc>
      </w:tr>
      <w:tr w:rsidR="00CF7ABE" w:rsidRPr="00B74E01" w14:paraId="7FE42AF3" w14:textId="77777777" w:rsidTr="00671A31">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47EB947F" w14:textId="77777777" w:rsidR="00CF7ABE" w:rsidRPr="00B74E01" w:rsidRDefault="00CF7ABE" w:rsidP="008C475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Produto sem qualidade comercial</w:t>
            </w:r>
          </w:p>
        </w:tc>
        <w:tc>
          <w:tcPr>
            <w:tcW w:w="0" w:type="auto"/>
            <w:tcBorders>
              <w:top w:val="single" w:sz="4" w:space="0" w:color="auto"/>
              <w:left w:val="single" w:sz="4" w:space="0" w:color="auto"/>
              <w:bottom w:val="single" w:sz="4" w:space="0" w:color="auto"/>
              <w:right w:val="single" w:sz="4" w:space="0" w:color="auto"/>
            </w:tcBorders>
            <w:vAlign w:val="center"/>
            <w:hideMark/>
          </w:tcPr>
          <w:p w14:paraId="33AC9BDD" w14:textId="77777777" w:rsidR="00CF7ABE" w:rsidRPr="00B74E01" w:rsidRDefault="00CF7ABE" w:rsidP="008C475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Risco da SPE</w:t>
            </w:r>
          </w:p>
        </w:tc>
      </w:tr>
      <w:tr w:rsidR="00CF7ABE" w:rsidRPr="00B74E01" w14:paraId="748392CC" w14:textId="77777777" w:rsidTr="00671A31">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6F5098EC" w14:textId="77777777" w:rsidR="00CF7ABE" w:rsidRPr="00B74E01" w:rsidRDefault="00CF7ABE" w:rsidP="008C475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Falha de certificação de carbono</w:t>
            </w:r>
          </w:p>
        </w:tc>
        <w:tc>
          <w:tcPr>
            <w:tcW w:w="0" w:type="auto"/>
            <w:tcBorders>
              <w:top w:val="single" w:sz="4" w:space="0" w:color="auto"/>
              <w:left w:val="single" w:sz="4" w:space="0" w:color="auto"/>
              <w:bottom w:val="single" w:sz="4" w:space="0" w:color="auto"/>
              <w:right w:val="single" w:sz="4" w:space="0" w:color="auto"/>
            </w:tcBorders>
            <w:vAlign w:val="center"/>
            <w:hideMark/>
          </w:tcPr>
          <w:p w14:paraId="02077E43" w14:textId="77777777" w:rsidR="00CF7ABE" w:rsidRPr="00B74E01" w:rsidRDefault="00CF7ABE" w:rsidP="008C475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Risco da SPE</w:t>
            </w:r>
          </w:p>
        </w:tc>
      </w:tr>
      <w:tr w:rsidR="00CF7ABE" w:rsidRPr="00B74E01" w14:paraId="6411177A" w14:textId="77777777" w:rsidTr="00671A31">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76A3A0BB" w14:textId="77777777" w:rsidR="00CF7ABE" w:rsidRPr="00B74E01" w:rsidRDefault="00CF7ABE" w:rsidP="008C475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Custo de MRV ou certificação superior ao estimado</w:t>
            </w:r>
          </w:p>
        </w:tc>
        <w:tc>
          <w:tcPr>
            <w:tcW w:w="0" w:type="auto"/>
            <w:tcBorders>
              <w:top w:val="single" w:sz="4" w:space="0" w:color="auto"/>
              <w:left w:val="single" w:sz="4" w:space="0" w:color="auto"/>
              <w:bottom w:val="single" w:sz="4" w:space="0" w:color="auto"/>
              <w:right w:val="single" w:sz="4" w:space="0" w:color="auto"/>
            </w:tcBorders>
            <w:vAlign w:val="center"/>
            <w:hideMark/>
          </w:tcPr>
          <w:p w14:paraId="7E5A2A2E" w14:textId="77777777" w:rsidR="00CF7ABE" w:rsidRPr="00B74E01" w:rsidRDefault="00CF7ABE" w:rsidP="008C475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Risco da SPE</w:t>
            </w:r>
          </w:p>
        </w:tc>
      </w:tr>
      <w:tr w:rsidR="00CF7ABE" w:rsidRPr="00B74E01" w14:paraId="02A5AE4C" w14:textId="77777777" w:rsidTr="00671A31">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7EBE8B64" w14:textId="77777777" w:rsidR="00CF7ABE" w:rsidRPr="00B74E01" w:rsidRDefault="00CF7ABE" w:rsidP="008C475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Restrição causada por ato do Município</w:t>
            </w:r>
          </w:p>
        </w:tc>
        <w:tc>
          <w:tcPr>
            <w:tcW w:w="0" w:type="auto"/>
            <w:tcBorders>
              <w:top w:val="single" w:sz="4" w:space="0" w:color="auto"/>
              <w:left w:val="single" w:sz="4" w:space="0" w:color="auto"/>
              <w:bottom w:val="single" w:sz="4" w:space="0" w:color="auto"/>
              <w:right w:val="single" w:sz="4" w:space="0" w:color="auto"/>
            </w:tcBorders>
            <w:vAlign w:val="center"/>
            <w:hideMark/>
          </w:tcPr>
          <w:p w14:paraId="6EF686FE" w14:textId="77777777" w:rsidR="00CF7ABE" w:rsidRPr="00B74E01" w:rsidRDefault="00CF7ABE" w:rsidP="008C475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Possível reequilíbrio, se comprovado impacto</w:t>
            </w:r>
          </w:p>
        </w:tc>
      </w:tr>
      <w:tr w:rsidR="00CF7ABE" w:rsidRPr="00B74E01" w14:paraId="3CAA1914" w14:textId="77777777" w:rsidTr="00671A31">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291C3C01" w14:textId="77777777" w:rsidR="00CF7ABE" w:rsidRPr="00B74E01" w:rsidRDefault="00CF7ABE" w:rsidP="008C475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Alteração normativa superveniente específica</w:t>
            </w:r>
          </w:p>
        </w:tc>
        <w:tc>
          <w:tcPr>
            <w:tcW w:w="0" w:type="auto"/>
            <w:tcBorders>
              <w:top w:val="single" w:sz="4" w:space="0" w:color="auto"/>
              <w:left w:val="single" w:sz="4" w:space="0" w:color="auto"/>
              <w:bottom w:val="single" w:sz="4" w:space="0" w:color="auto"/>
              <w:right w:val="single" w:sz="4" w:space="0" w:color="auto"/>
            </w:tcBorders>
            <w:vAlign w:val="center"/>
            <w:hideMark/>
          </w:tcPr>
          <w:p w14:paraId="3B36B427" w14:textId="77777777" w:rsidR="00CF7ABE" w:rsidRPr="00B74E01" w:rsidRDefault="00CF7ABE" w:rsidP="008C475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Avaliação de reequilíbrio conforme matriz de riscos</w:t>
            </w:r>
          </w:p>
        </w:tc>
      </w:tr>
      <w:tr w:rsidR="00CF7ABE" w:rsidRPr="00B74E01" w14:paraId="299011F4" w14:textId="77777777">
        <w:trPr>
          <w:tblCellSpacing w:w="15" w:type="dxa"/>
        </w:trPr>
        <w:tc>
          <w:tcPr>
            <w:tcW w:w="0" w:type="auto"/>
            <w:vAlign w:val="center"/>
            <w:hideMark/>
          </w:tcPr>
          <w:p w14:paraId="6490F718" w14:textId="77777777" w:rsidR="00CF7ABE" w:rsidRPr="00B74E01" w:rsidRDefault="00CF7ABE" w:rsidP="008C475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Mudança ordinária de mercado</w:t>
            </w:r>
          </w:p>
        </w:tc>
        <w:tc>
          <w:tcPr>
            <w:tcW w:w="0" w:type="auto"/>
            <w:vAlign w:val="center"/>
            <w:hideMark/>
          </w:tcPr>
          <w:p w14:paraId="286443F7" w14:textId="77777777" w:rsidR="00CF7ABE" w:rsidRPr="00B74E01" w:rsidRDefault="00CF7ABE" w:rsidP="008C475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Risco da SPE</w:t>
            </w:r>
          </w:p>
        </w:tc>
      </w:tr>
    </w:tbl>
    <w:p w14:paraId="170D9276"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Esse tratamento evita que o Município assuma risco empresarial que não controla. Ao mesmo tempo, permite que a SPE capture parte relevante do ganho econômico decorrente de sua eficiência, tecnologia e capacidade de mercado.</w:t>
      </w:r>
    </w:p>
    <w:p w14:paraId="07AD94C7" w14:textId="12795FCE" w:rsidR="00CF7ABE" w:rsidRPr="00B74E01" w:rsidRDefault="00CF7ABE" w:rsidP="008C475F">
      <w:pPr>
        <w:pStyle w:val="Ttulo2"/>
        <w:rPr>
          <w:rFonts w:eastAsia="Times New Roman"/>
          <w:lang w:eastAsia="pt-BR"/>
        </w:rPr>
      </w:pPr>
      <w:bookmarkStart w:id="40" w:name="_Toc230204042"/>
      <w:r w:rsidRPr="00B74E01">
        <w:rPr>
          <w:rFonts w:eastAsia="Times New Roman"/>
          <w:lang w:eastAsia="pt-BR"/>
        </w:rPr>
        <w:lastRenderedPageBreak/>
        <w:t>5.11. Relação entre receitas acessórias e reequilíbrio econômico-financeiro</w:t>
      </w:r>
      <w:bookmarkEnd w:id="40"/>
    </w:p>
    <w:p w14:paraId="29314B92"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eventual frustração de receitas acessórias não deve gerar, por si só, direito automático ao reequilíbrio econômico-financeiro do contrato.</w:t>
      </w:r>
    </w:p>
    <w:p w14:paraId="632CD922"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Isso precisa ficar claro para proteção do Município.</w:t>
      </w:r>
    </w:p>
    <w:p w14:paraId="4A92D6ED"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redação recomendada é:</w:t>
      </w:r>
    </w:p>
    <w:p w14:paraId="7E4C1950"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frustração, redução, atraso, não certificação ou não comercialização de receitas acessórias não ensejará, por si só, direito automático ao reequilíbrio econômico-financeiro do contrato, por se tratar de risco ordinário da SPE, salvo quando decorrer de ato imputável ao Poder Concedente, alteração normativa superveniente específica, fato da Administração ou evento expressamente previsto na matriz de riscos.</w:t>
      </w:r>
    </w:p>
    <w:p w14:paraId="4873FC63"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Esse dispositivo é essencial para evitar que receitas acessórias sejam usadas como argumento futuro para pleitos indevidos de recomposição.</w:t>
      </w:r>
    </w:p>
    <w:p w14:paraId="16E13010" w14:textId="77777777" w:rsidR="00CF7ABE" w:rsidRPr="00B74E01" w:rsidRDefault="00CF7ABE" w:rsidP="008C475F">
      <w:pPr>
        <w:pStyle w:val="Ttulo2"/>
        <w:rPr>
          <w:rFonts w:eastAsia="Times New Roman"/>
          <w:lang w:eastAsia="pt-BR"/>
        </w:rPr>
      </w:pPr>
      <w:bookmarkStart w:id="41" w:name="_Toc230204043"/>
      <w:r w:rsidRPr="00B74E01">
        <w:rPr>
          <w:rFonts w:eastAsia="Times New Roman"/>
          <w:lang w:eastAsia="pt-BR"/>
        </w:rPr>
        <w:t xml:space="preserve">5.12. Papel das receitas acessórias na </w:t>
      </w:r>
      <w:proofErr w:type="spellStart"/>
      <w:r w:rsidRPr="00B74E01">
        <w:rPr>
          <w:rFonts w:eastAsia="Times New Roman"/>
          <w:lang w:eastAsia="pt-BR"/>
        </w:rPr>
        <w:t>bancabilidade</w:t>
      </w:r>
      <w:bookmarkEnd w:id="41"/>
      <w:proofErr w:type="spellEnd"/>
    </w:p>
    <w:p w14:paraId="57FDA59C"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As receitas acessórias melhoram a </w:t>
      </w:r>
      <w:proofErr w:type="spellStart"/>
      <w:r w:rsidRPr="00B74E01">
        <w:rPr>
          <w:rFonts w:eastAsia="Times New Roman" w:cs="Arial"/>
          <w:kern w:val="0"/>
          <w:lang w:eastAsia="pt-BR"/>
          <w14:ligatures w14:val="none"/>
        </w:rPr>
        <w:t>bancabilidade</w:t>
      </w:r>
      <w:proofErr w:type="spellEnd"/>
      <w:r w:rsidRPr="00B74E01">
        <w:rPr>
          <w:rFonts w:eastAsia="Times New Roman" w:cs="Arial"/>
          <w:kern w:val="0"/>
          <w:lang w:eastAsia="pt-BR"/>
          <w14:ligatures w14:val="none"/>
        </w:rPr>
        <w:t>, mas não substituem a necessidade de garantia sobre as receitas principais.</w:t>
      </w:r>
    </w:p>
    <w:p w14:paraId="38C73CAC"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No cenário sem receitas acessórias, o DSCR após carência é de </w:t>
      </w:r>
      <w:r w:rsidRPr="00B74E01">
        <w:rPr>
          <w:rFonts w:eastAsia="Times New Roman" w:cs="Arial"/>
          <w:b/>
          <w:bCs/>
          <w:kern w:val="0"/>
          <w:lang w:eastAsia="pt-BR"/>
          <w14:ligatures w14:val="none"/>
        </w:rPr>
        <w:t>1,12x</w:t>
      </w:r>
      <w:r w:rsidRPr="00B74E01">
        <w:rPr>
          <w:rFonts w:eastAsia="Times New Roman" w:cs="Arial"/>
          <w:kern w:val="0"/>
          <w:lang w:eastAsia="pt-BR"/>
          <w14:ligatures w14:val="none"/>
        </w:rPr>
        <w:t xml:space="preserve">, positivo, mas restrito. No cenário com receitas acessórias, o DSCR sobe para </w:t>
      </w:r>
      <w:r w:rsidRPr="00B74E01">
        <w:rPr>
          <w:rFonts w:eastAsia="Times New Roman" w:cs="Arial"/>
          <w:b/>
          <w:bCs/>
          <w:kern w:val="0"/>
          <w:lang w:eastAsia="pt-BR"/>
          <w14:ligatures w14:val="none"/>
        </w:rPr>
        <w:t>3,94x</w:t>
      </w:r>
      <w:r w:rsidRPr="00B74E01">
        <w:rPr>
          <w:rFonts w:eastAsia="Times New Roman" w:cs="Arial"/>
          <w:kern w:val="0"/>
          <w:lang w:eastAsia="pt-BR"/>
          <w14:ligatures w14:val="none"/>
        </w:rPr>
        <w:t>, demonstrando forte ampliação da capacidade de cobertura da dívida.</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432"/>
        <w:gridCol w:w="2158"/>
        <w:gridCol w:w="4471"/>
      </w:tblGrid>
      <w:tr w:rsidR="00CF7ABE" w:rsidRPr="00B74E01" w14:paraId="05313127" w14:textId="77777777" w:rsidTr="00671A31">
        <w:trPr>
          <w:tblHeader/>
          <w:tblCellSpacing w:w="15" w:type="dxa"/>
        </w:trPr>
        <w:tc>
          <w:tcPr>
            <w:tcW w:w="0" w:type="auto"/>
            <w:vAlign w:val="center"/>
            <w:hideMark/>
          </w:tcPr>
          <w:p w14:paraId="4E6F54A5" w14:textId="77777777" w:rsidR="00CF7ABE" w:rsidRPr="00B74E01" w:rsidRDefault="00CF7ABE" w:rsidP="008C475F">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Cenário</w:t>
            </w:r>
          </w:p>
        </w:tc>
        <w:tc>
          <w:tcPr>
            <w:tcW w:w="0" w:type="auto"/>
            <w:vAlign w:val="center"/>
            <w:hideMark/>
          </w:tcPr>
          <w:p w14:paraId="200F26B2" w14:textId="77777777" w:rsidR="00CF7ABE" w:rsidRPr="00B74E01" w:rsidRDefault="00CF7ABE" w:rsidP="008C475F">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DSCR após carência</w:t>
            </w:r>
          </w:p>
        </w:tc>
        <w:tc>
          <w:tcPr>
            <w:tcW w:w="0" w:type="auto"/>
            <w:vAlign w:val="center"/>
            <w:hideMark/>
          </w:tcPr>
          <w:p w14:paraId="004C2B99" w14:textId="77777777" w:rsidR="00CF7ABE" w:rsidRPr="00B74E01" w:rsidRDefault="00CF7ABE" w:rsidP="008C475F">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Leitura financeira</w:t>
            </w:r>
          </w:p>
        </w:tc>
      </w:tr>
      <w:tr w:rsidR="00CF7ABE" w:rsidRPr="00B74E01" w14:paraId="18CBB29D" w14:textId="77777777" w:rsidTr="00671A31">
        <w:trPr>
          <w:tblCellSpacing w:w="15" w:type="dxa"/>
        </w:trPr>
        <w:tc>
          <w:tcPr>
            <w:tcW w:w="0" w:type="auto"/>
            <w:vAlign w:val="center"/>
            <w:hideMark/>
          </w:tcPr>
          <w:p w14:paraId="4B374ADC" w14:textId="77777777" w:rsidR="00CF7ABE" w:rsidRPr="00B74E01" w:rsidRDefault="00CF7ABE" w:rsidP="008C475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Sem receitas acessórias</w:t>
            </w:r>
          </w:p>
        </w:tc>
        <w:tc>
          <w:tcPr>
            <w:tcW w:w="0" w:type="auto"/>
            <w:vAlign w:val="center"/>
            <w:hideMark/>
          </w:tcPr>
          <w:p w14:paraId="233FA9C9" w14:textId="77777777" w:rsidR="00CF7ABE" w:rsidRPr="00B74E01" w:rsidRDefault="00CF7ABE" w:rsidP="008C475F">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1,12x</w:t>
            </w:r>
          </w:p>
        </w:tc>
        <w:tc>
          <w:tcPr>
            <w:tcW w:w="0" w:type="auto"/>
            <w:vAlign w:val="center"/>
            <w:hideMark/>
          </w:tcPr>
          <w:p w14:paraId="5C6138C5" w14:textId="77777777" w:rsidR="00CF7ABE" w:rsidRPr="00B74E01" w:rsidRDefault="00CF7ABE" w:rsidP="008C475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Fecha positivamente, mas com margem restrita</w:t>
            </w:r>
          </w:p>
        </w:tc>
      </w:tr>
      <w:tr w:rsidR="00CF7ABE" w:rsidRPr="00B74E01" w14:paraId="0E3A0AFE" w14:textId="77777777" w:rsidTr="00671A31">
        <w:trPr>
          <w:tblCellSpacing w:w="15" w:type="dxa"/>
        </w:trPr>
        <w:tc>
          <w:tcPr>
            <w:tcW w:w="0" w:type="auto"/>
            <w:vAlign w:val="center"/>
            <w:hideMark/>
          </w:tcPr>
          <w:p w14:paraId="598FEABB" w14:textId="77777777" w:rsidR="00CF7ABE" w:rsidRPr="00B74E01" w:rsidRDefault="00CF7ABE" w:rsidP="008C475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Com receitas acessórias</w:t>
            </w:r>
          </w:p>
        </w:tc>
        <w:tc>
          <w:tcPr>
            <w:tcW w:w="0" w:type="auto"/>
            <w:vAlign w:val="center"/>
            <w:hideMark/>
          </w:tcPr>
          <w:p w14:paraId="012CDC88" w14:textId="77777777" w:rsidR="00CF7ABE" w:rsidRPr="00B74E01" w:rsidRDefault="00CF7ABE" w:rsidP="008C475F">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3,94x</w:t>
            </w:r>
          </w:p>
        </w:tc>
        <w:tc>
          <w:tcPr>
            <w:tcW w:w="0" w:type="auto"/>
            <w:vAlign w:val="center"/>
            <w:hideMark/>
          </w:tcPr>
          <w:p w14:paraId="311503A8" w14:textId="77777777" w:rsidR="00CF7ABE" w:rsidRPr="00B74E01" w:rsidRDefault="00CF7ABE" w:rsidP="008C475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Robusto, atrativo e confortável</w:t>
            </w:r>
          </w:p>
        </w:tc>
      </w:tr>
    </w:tbl>
    <w:p w14:paraId="63C471C6" w14:textId="1AF1E176"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lastRenderedPageBreak/>
        <w:t xml:space="preserve">A leitura correta é que as receitas acessórias funcionam como camada adicional de segurança econômica, mas não </w:t>
      </w:r>
      <w:proofErr w:type="spellStart"/>
      <w:r w:rsidRPr="00B74E01">
        <w:rPr>
          <w:rFonts w:eastAsia="Times New Roman" w:cs="Arial"/>
          <w:kern w:val="0"/>
          <w:lang w:eastAsia="pt-BR"/>
          <w14:ligatures w14:val="none"/>
        </w:rPr>
        <w:t>de</w:t>
      </w:r>
      <w:r w:rsidR="00D65A3E">
        <w:rPr>
          <w:rFonts w:eastAsia="Times New Roman" w:cs="Arial"/>
          <w:kern w:val="0"/>
          <w:lang w:eastAsia="pt-BR"/>
          <w14:ligatures w14:val="none"/>
        </w:rPr>
        <w:t>l</w:t>
      </w:r>
      <w:r w:rsidRPr="00B74E01">
        <w:rPr>
          <w:rFonts w:eastAsia="Times New Roman" w:cs="Arial"/>
          <w:kern w:val="0"/>
          <w:lang w:eastAsia="pt-BR"/>
          <w14:ligatures w14:val="none"/>
        </w:rPr>
        <w:t>vem</w:t>
      </w:r>
      <w:proofErr w:type="spellEnd"/>
      <w:r w:rsidRPr="00B74E01">
        <w:rPr>
          <w:rFonts w:eastAsia="Times New Roman" w:cs="Arial"/>
          <w:kern w:val="0"/>
          <w:lang w:eastAsia="pt-BR"/>
          <w14:ligatures w14:val="none"/>
        </w:rPr>
        <w:t xml:space="preserve"> ser o fundamento único do financiamento. O financiador deverá observar, prioritariamente, a estabilidade das receitas principais, a qualidade das garantias, o Fundo Garantidor, a conta vinculada, a reserva de liquidez e a matriz de riscos.</w:t>
      </w:r>
    </w:p>
    <w:p w14:paraId="778C941C" w14:textId="77777777" w:rsidR="00CF7ABE" w:rsidRPr="00B74E01" w:rsidRDefault="00CF7ABE" w:rsidP="00962262">
      <w:pPr>
        <w:pStyle w:val="Ttulo2"/>
        <w:rPr>
          <w:rFonts w:eastAsia="Times New Roman"/>
          <w:lang w:eastAsia="pt-BR"/>
        </w:rPr>
      </w:pPr>
      <w:bookmarkStart w:id="42" w:name="_Toc230204044"/>
      <w:r w:rsidRPr="00B74E01">
        <w:rPr>
          <w:rFonts w:eastAsia="Times New Roman"/>
          <w:lang w:eastAsia="pt-BR"/>
        </w:rPr>
        <w:t>5.13. Síntese da separação entre receitas</w:t>
      </w:r>
      <w:bookmarkEnd w:id="42"/>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394"/>
        <w:gridCol w:w="3101"/>
        <w:gridCol w:w="3566"/>
      </w:tblGrid>
      <w:tr w:rsidR="00CF7ABE" w:rsidRPr="00B74E01" w14:paraId="45B0D8E7" w14:textId="77777777" w:rsidTr="00671A31">
        <w:trPr>
          <w:tblHeader/>
          <w:tblCellSpacing w:w="15" w:type="dxa"/>
        </w:trPr>
        <w:tc>
          <w:tcPr>
            <w:tcW w:w="0" w:type="auto"/>
            <w:vAlign w:val="center"/>
            <w:hideMark/>
          </w:tcPr>
          <w:p w14:paraId="671AF0D4" w14:textId="77777777" w:rsidR="00CF7ABE" w:rsidRPr="00B74E01" w:rsidRDefault="00CF7ABE" w:rsidP="00962262">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Critério</w:t>
            </w:r>
          </w:p>
        </w:tc>
        <w:tc>
          <w:tcPr>
            <w:tcW w:w="0" w:type="auto"/>
            <w:vAlign w:val="center"/>
            <w:hideMark/>
          </w:tcPr>
          <w:p w14:paraId="0F95F320" w14:textId="77777777" w:rsidR="00CF7ABE" w:rsidRPr="00B74E01" w:rsidRDefault="00CF7ABE" w:rsidP="00962262">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Receitas principais</w:t>
            </w:r>
          </w:p>
        </w:tc>
        <w:tc>
          <w:tcPr>
            <w:tcW w:w="0" w:type="auto"/>
            <w:vAlign w:val="center"/>
            <w:hideMark/>
          </w:tcPr>
          <w:p w14:paraId="069CBAA4" w14:textId="77777777" w:rsidR="00CF7ABE" w:rsidRPr="00B74E01" w:rsidRDefault="00CF7ABE" w:rsidP="00962262">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Receitas acessórias</w:t>
            </w:r>
          </w:p>
        </w:tc>
      </w:tr>
      <w:tr w:rsidR="00CF7ABE" w:rsidRPr="00B74E01" w14:paraId="1888768B" w14:textId="77777777" w:rsidTr="00671A31">
        <w:trPr>
          <w:tblCellSpacing w:w="15" w:type="dxa"/>
        </w:trPr>
        <w:tc>
          <w:tcPr>
            <w:tcW w:w="0" w:type="auto"/>
            <w:vAlign w:val="center"/>
            <w:hideMark/>
          </w:tcPr>
          <w:p w14:paraId="2C7E0005"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Origem</w:t>
            </w:r>
          </w:p>
        </w:tc>
        <w:tc>
          <w:tcPr>
            <w:tcW w:w="0" w:type="auto"/>
            <w:vAlign w:val="center"/>
            <w:hideMark/>
          </w:tcPr>
          <w:p w14:paraId="78D37B15"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Objeto contratual da PPP</w:t>
            </w:r>
          </w:p>
        </w:tc>
        <w:tc>
          <w:tcPr>
            <w:tcW w:w="0" w:type="auto"/>
            <w:vAlign w:val="center"/>
            <w:hideMark/>
          </w:tcPr>
          <w:p w14:paraId="6425C877"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Exploração econômica adicional da SPE</w:t>
            </w:r>
          </w:p>
        </w:tc>
      </w:tr>
      <w:tr w:rsidR="00CF7ABE" w:rsidRPr="00B74E01" w14:paraId="7DCCF95E" w14:textId="77777777" w:rsidTr="00671A31">
        <w:trPr>
          <w:tblCellSpacing w:w="15" w:type="dxa"/>
        </w:trPr>
        <w:tc>
          <w:tcPr>
            <w:tcW w:w="0" w:type="auto"/>
            <w:vAlign w:val="center"/>
            <w:hideMark/>
          </w:tcPr>
          <w:p w14:paraId="463868E5"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Exemplos</w:t>
            </w:r>
          </w:p>
        </w:tc>
        <w:tc>
          <w:tcPr>
            <w:tcW w:w="0" w:type="auto"/>
            <w:vAlign w:val="center"/>
            <w:hideMark/>
          </w:tcPr>
          <w:p w14:paraId="7D1CEE15"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RSU e disponibilização energética</w:t>
            </w:r>
          </w:p>
        </w:tc>
        <w:tc>
          <w:tcPr>
            <w:tcW w:w="0" w:type="auto"/>
            <w:vAlign w:val="center"/>
            <w:hideMark/>
          </w:tcPr>
          <w:p w14:paraId="59E6941D" w14:textId="77777777" w:rsidR="00CF7ABE" w:rsidRPr="00B74E01" w:rsidRDefault="00CF7ABE" w:rsidP="00962262">
            <w:pPr>
              <w:spacing w:after="0" w:line="360" w:lineRule="auto"/>
              <w:rPr>
                <w:rFonts w:eastAsia="Times New Roman" w:cs="Arial"/>
                <w:kern w:val="0"/>
                <w:lang w:eastAsia="pt-BR"/>
                <w14:ligatures w14:val="none"/>
              </w:rPr>
            </w:pPr>
            <w:proofErr w:type="spellStart"/>
            <w:r w:rsidRPr="00B74E01">
              <w:rPr>
                <w:rFonts w:eastAsia="Times New Roman" w:cs="Arial"/>
                <w:kern w:val="0"/>
                <w:lang w:eastAsia="pt-BR"/>
                <w14:ligatures w14:val="none"/>
              </w:rPr>
              <w:t>Biochar</w:t>
            </w:r>
            <w:proofErr w:type="spellEnd"/>
            <w:r w:rsidRPr="00B74E01">
              <w:rPr>
                <w:rFonts w:eastAsia="Times New Roman" w:cs="Arial"/>
                <w:kern w:val="0"/>
                <w:lang w:eastAsia="pt-BR"/>
                <w14:ligatures w14:val="none"/>
              </w:rPr>
              <w:t>, óleo/extrato, carbono, recicláveis potenciais</w:t>
            </w:r>
          </w:p>
        </w:tc>
      </w:tr>
      <w:tr w:rsidR="00CF7ABE" w:rsidRPr="00B74E01" w14:paraId="2D788D9E" w14:textId="77777777" w:rsidTr="00671A31">
        <w:trPr>
          <w:tblCellSpacing w:w="15" w:type="dxa"/>
        </w:trPr>
        <w:tc>
          <w:tcPr>
            <w:tcW w:w="0" w:type="auto"/>
            <w:vAlign w:val="center"/>
            <w:hideMark/>
          </w:tcPr>
          <w:p w14:paraId="3B878D60"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Previsibilidade</w:t>
            </w:r>
          </w:p>
        </w:tc>
        <w:tc>
          <w:tcPr>
            <w:tcW w:w="0" w:type="auto"/>
            <w:vAlign w:val="center"/>
            <w:hideMark/>
          </w:tcPr>
          <w:p w14:paraId="5A476A06"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Maior</w:t>
            </w:r>
          </w:p>
        </w:tc>
        <w:tc>
          <w:tcPr>
            <w:tcW w:w="0" w:type="auto"/>
            <w:vAlign w:val="center"/>
            <w:hideMark/>
          </w:tcPr>
          <w:p w14:paraId="00BB5355"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Menor</w:t>
            </w:r>
          </w:p>
        </w:tc>
      </w:tr>
      <w:tr w:rsidR="00CF7ABE" w:rsidRPr="00B74E01" w14:paraId="27189D34" w14:textId="77777777" w:rsidTr="00671A31">
        <w:trPr>
          <w:tblCellSpacing w:w="15" w:type="dxa"/>
        </w:trPr>
        <w:tc>
          <w:tcPr>
            <w:tcW w:w="0" w:type="auto"/>
            <w:vAlign w:val="center"/>
            <w:hideMark/>
          </w:tcPr>
          <w:p w14:paraId="04DDA08C"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Garantia pública</w:t>
            </w:r>
          </w:p>
        </w:tc>
        <w:tc>
          <w:tcPr>
            <w:tcW w:w="0" w:type="auto"/>
            <w:vAlign w:val="center"/>
            <w:hideMark/>
          </w:tcPr>
          <w:p w14:paraId="4564D80A"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Sim, recomendada</w:t>
            </w:r>
          </w:p>
        </w:tc>
        <w:tc>
          <w:tcPr>
            <w:tcW w:w="0" w:type="auto"/>
            <w:vAlign w:val="center"/>
            <w:hideMark/>
          </w:tcPr>
          <w:p w14:paraId="48C0CA2B"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Não recomendada</w:t>
            </w:r>
          </w:p>
        </w:tc>
      </w:tr>
      <w:tr w:rsidR="00CF7ABE" w:rsidRPr="00B74E01" w14:paraId="54ADD709" w14:textId="77777777" w:rsidTr="00671A31">
        <w:trPr>
          <w:tblCellSpacing w:w="15" w:type="dxa"/>
        </w:trPr>
        <w:tc>
          <w:tcPr>
            <w:tcW w:w="0" w:type="auto"/>
            <w:vAlign w:val="center"/>
            <w:hideMark/>
          </w:tcPr>
          <w:p w14:paraId="7653959A"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Risco principal</w:t>
            </w:r>
          </w:p>
        </w:tc>
        <w:tc>
          <w:tcPr>
            <w:tcW w:w="0" w:type="auto"/>
            <w:vAlign w:val="center"/>
            <w:hideMark/>
          </w:tcPr>
          <w:p w14:paraId="7F9F1A3F"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Poder Concedente, quanto ao pagamento</w:t>
            </w:r>
          </w:p>
        </w:tc>
        <w:tc>
          <w:tcPr>
            <w:tcW w:w="0" w:type="auto"/>
            <w:vAlign w:val="center"/>
            <w:hideMark/>
          </w:tcPr>
          <w:p w14:paraId="15BED2E8"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SPE, quanto à realização</w:t>
            </w:r>
          </w:p>
        </w:tc>
      </w:tr>
      <w:tr w:rsidR="00CF7ABE" w:rsidRPr="00B74E01" w14:paraId="4ED378E0" w14:textId="77777777" w:rsidTr="00671A31">
        <w:trPr>
          <w:tblCellSpacing w:w="15" w:type="dxa"/>
        </w:trPr>
        <w:tc>
          <w:tcPr>
            <w:tcW w:w="0" w:type="auto"/>
            <w:vAlign w:val="center"/>
            <w:hideMark/>
          </w:tcPr>
          <w:p w14:paraId="2C1F5C6C"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Reequilíbrio</w:t>
            </w:r>
          </w:p>
        </w:tc>
        <w:tc>
          <w:tcPr>
            <w:tcW w:w="0" w:type="auto"/>
            <w:vAlign w:val="center"/>
            <w:hideMark/>
          </w:tcPr>
          <w:p w14:paraId="4A296124"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Possível conforme matriz de riscos</w:t>
            </w:r>
          </w:p>
        </w:tc>
        <w:tc>
          <w:tcPr>
            <w:tcW w:w="0" w:type="auto"/>
            <w:vAlign w:val="center"/>
            <w:hideMark/>
          </w:tcPr>
          <w:p w14:paraId="30808DFA"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Não automático</w:t>
            </w:r>
          </w:p>
        </w:tc>
      </w:tr>
      <w:tr w:rsidR="00CF7ABE" w:rsidRPr="00B74E01" w14:paraId="2C4E3E04" w14:textId="77777777" w:rsidTr="00671A31">
        <w:trPr>
          <w:tblCellSpacing w:w="15" w:type="dxa"/>
        </w:trPr>
        <w:tc>
          <w:tcPr>
            <w:tcW w:w="0" w:type="auto"/>
            <w:vAlign w:val="center"/>
            <w:hideMark/>
          </w:tcPr>
          <w:p w14:paraId="21D1070A"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Função</w:t>
            </w:r>
          </w:p>
        </w:tc>
        <w:tc>
          <w:tcPr>
            <w:tcW w:w="0" w:type="auto"/>
            <w:vAlign w:val="center"/>
            <w:hideMark/>
          </w:tcPr>
          <w:p w14:paraId="6B07C00E"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Sustentação mínima da PPP</w:t>
            </w:r>
          </w:p>
        </w:tc>
        <w:tc>
          <w:tcPr>
            <w:tcW w:w="0" w:type="auto"/>
            <w:vAlign w:val="center"/>
            <w:hideMark/>
          </w:tcPr>
          <w:p w14:paraId="235FC67C"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 xml:space="preserve">Robustez, atratividade e </w:t>
            </w:r>
            <w:proofErr w:type="spellStart"/>
            <w:r w:rsidRPr="00B74E01">
              <w:rPr>
                <w:rFonts w:eastAsia="Times New Roman" w:cs="Arial"/>
                <w:kern w:val="0"/>
                <w:lang w:eastAsia="pt-BR"/>
                <w14:ligatures w14:val="none"/>
              </w:rPr>
              <w:t>upside</w:t>
            </w:r>
            <w:proofErr w:type="spellEnd"/>
            <w:r w:rsidRPr="00B74E01">
              <w:rPr>
                <w:rFonts w:eastAsia="Times New Roman" w:cs="Arial"/>
                <w:kern w:val="0"/>
                <w:lang w:eastAsia="pt-BR"/>
                <w14:ligatures w14:val="none"/>
              </w:rPr>
              <w:t xml:space="preserve"> econômico</w:t>
            </w:r>
          </w:p>
        </w:tc>
      </w:tr>
      <w:tr w:rsidR="00CF7ABE" w:rsidRPr="00B74E01" w14:paraId="7EB2DCFE" w14:textId="77777777" w:rsidTr="00671A31">
        <w:trPr>
          <w:tblCellSpacing w:w="15" w:type="dxa"/>
        </w:trPr>
        <w:tc>
          <w:tcPr>
            <w:tcW w:w="0" w:type="auto"/>
            <w:vAlign w:val="center"/>
            <w:hideMark/>
          </w:tcPr>
          <w:p w14:paraId="50ADF76B"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Tratamento no financiamento</w:t>
            </w:r>
          </w:p>
        </w:tc>
        <w:tc>
          <w:tcPr>
            <w:tcW w:w="0" w:type="auto"/>
            <w:vAlign w:val="center"/>
            <w:hideMark/>
          </w:tcPr>
          <w:p w14:paraId="3CF9A727"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Base principal de análise</w:t>
            </w:r>
          </w:p>
        </w:tc>
        <w:tc>
          <w:tcPr>
            <w:tcW w:w="0" w:type="auto"/>
            <w:vAlign w:val="center"/>
            <w:hideMark/>
          </w:tcPr>
          <w:p w14:paraId="508E507E"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Fator complementar de melhoria</w:t>
            </w:r>
          </w:p>
        </w:tc>
      </w:tr>
    </w:tbl>
    <w:p w14:paraId="2ED4F9B4"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Essa separação deve ser mantida em todo o caderno, evitando que números de naturezas distintas sejam tratados de forma equivalente.</w:t>
      </w:r>
    </w:p>
    <w:p w14:paraId="2A534C74" w14:textId="77777777" w:rsidR="00CF7ABE" w:rsidRPr="00B74E01" w:rsidRDefault="00CF7ABE" w:rsidP="00962262">
      <w:pPr>
        <w:pStyle w:val="Ttulo2"/>
        <w:rPr>
          <w:rFonts w:eastAsia="Times New Roman"/>
          <w:lang w:eastAsia="pt-BR"/>
        </w:rPr>
      </w:pPr>
      <w:bookmarkStart w:id="43" w:name="_Toc230204045"/>
      <w:r w:rsidRPr="00B74E01">
        <w:rPr>
          <w:rFonts w:eastAsia="Times New Roman"/>
          <w:lang w:eastAsia="pt-BR"/>
        </w:rPr>
        <w:t>5.14. Conclusão do tópico</w:t>
      </w:r>
      <w:bookmarkEnd w:id="43"/>
    </w:p>
    <w:p w14:paraId="58A8B643"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separação entre receitas principais e acessórias é indispensável para a segurança econômico-financeira da PPP.</w:t>
      </w:r>
    </w:p>
    <w:p w14:paraId="5B65040D"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As receitas principais — destinação/tratamento de RSU e disponibilização de capacidade energética — constituem a base contratual mínima do projeto. Devem ser </w:t>
      </w:r>
      <w:r w:rsidRPr="00B74E01">
        <w:rPr>
          <w:rFonts w:eastAsia="Times New Roman" w:cs="Arial"/>
          <w:kern w:val="0"/>
          <w:lang w:eastAsia="pt-BR"/>
          <w14:ligatures w14:val="none"/>
        </w:rPr>
        <w:lastRenderedPageBreak/>
        <w:t>mensuradas objetivamente, faturadas regularmente, reajustadas conforme regra contratual e protegidas por mecanismos de garantia, como Fundo Garantidor, conta vinculada ou instrumento equivalente.</w:t>
      </w:r>
    </w:p>
    <w:p w14:paraId="4D594D26"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As receitas acessórias — </w:t>
      </w:r>
      <w:proofErr w:type="spellStart"/>
      <w:r w:rsidRPr="00B74E01">
        <w:rPr>
          <w:rFonts w:eastAsia="Times New Roman" w:cs="Arial"/>
          <w:kern w:val="0"/>
          <w:lang w:eastAsia="pt-BR"/>
          <w14:ligatures w14:val="none"/>
        </w:rPr>
        <w:t>biochar</w:t>
      </w:r>
      <w:proofErr w:type="spellEnd"/>
      <w:r w:rsidRPr="00B74E01">
        <w:rPr>
          <w:rFonts w:eastAsia="Times New Roman" w:cs="Arial"/>
          <w:kern w:val="0"/>
          <w:lang w:eastAsia="pt-BR"/>
          <w14:ligatures w14:val="none"/>
        </w:rPr>
        <w:t xml:space="preserve">/material carbonáceo, óleo </w:t>
      </w:r>
      <w:proofErr w:type="spellStart"/>
      <w:r w:rsidRPr="00B74E01">
        <w:rPr>
          <w:rFonts w:eastAsia="Times New Roman" w:cs="Arial"/>
          <w:kern w:val="0"/>
          <w:lang w:eastAsia="pt-BR"/>
          <w14:ligatures w14:val="none"/>
        </w:rPr>
        <w:t>pirolítico</w:t>
      </w:r>
      <w:proofErr w:type="spellEnd"/>
      <w:r w:rsidRPr="00B74E01">
        <w:rPr>
          <w:rFonts w:eastAsia="Times New Roman" w:cs="Arial"/>
          <w:kern w:val="0"/>
          <w:lang w:eastAsia="pt-BR"/>
          <w14:ligatures w14:val="none"/>
        </w:rPr>
        <w:t>/extrato líquido, créditos de carbono, recicláveis eventualmente aproveitáveis e outros ativos econômicos admitidos — devem ser tratadas como potencial econômico da SPE. Elas ampliam a robustez, melhoram o DSCR, fortalecem a atratividade para financiadores e investidores e podem gerar recursos adicionais ao Fundo Municipal de Meio Ambiente e Tecnologia Pública.</w:t>
      </w:r>
    </w:p>
    <w:p w14:paraId="75F19041"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Contudo, por dependerem de mercado, certificação, qualidade, laudos, compradores e regulação, as receitas acessórias não devem ser apresentadas como receita garantida nem como fundamento único da viabilidade da PPP.</w:t>
      </w:r>
    </w:p>
    <w:p w14:paraId="4F380B91"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modelagem correta é aquela que demonstra o fechamento mínimo com as receitas principais contratadas e utiliza as receitas acessórias como camada adicional de fortalecimento econômico, preservando prudência, auditabilidade e segurança perante o Município, banca avaliadora, financiadores e órgãos de controle.</w:t>
      </w:r>
    </w:p>
    <w:p w14:paraId="7C29A9B8" w14:textId="77777777" w:rsidR="00962262" w:rsidRDefault="00962262" w:rsidP="00962262">
      <w:pPr>
        <w:pStyle w:val="Ttulo2"/>
        <w:rPr>
          <w:rFonts w:eastAsia="Times New Roman"/>
          <w:lang w:eastAsia="pt-BR"/>
        </w:rPr>
      </w:pPr>
    </w:p>
    <w:p w14:paraId="557A4646" w14:textId="77777777" w:rsidR="00962262" w:rsidRDefault="00962262" w:rsidP="00962262">
      <w:pPr>
        <w:pStyle w:val="Ttulo2"/>
        <w:rPr>
          <w:rFonts w:eastAsia="Times New Roman"/>
          <w:lang w:eastAsia="pt-BR"/>
        </w:rPr>
      </w:pPr>
    </w:p>
    <w:p w14:paraId="06F6D08F" w14:textId="77777777" w:rsidR="00962262" w:rsidRDefault="00962262" w:rsidP="00962262">
      <w:pPr>
        <w:pStyle w:val="Ttulo2"/>
        <w:rPr>
          <w:rFonts w:eastAsia="Times New Roman"/>
          <w:lang w:eastAsia="pt-BR"/>
        </w:rPr>
      </w:pPr>
    </w:p>
    <w:p w14:paraId="1021D03E" w14:textId="77777777" w:rsidR="00962262" w:rsidRDefault="00962262" w:rsidP="00962262">
      <w:pPr>
        <w:pStyle w:val="Ttulo2"/>
        <w:ind w:left="0"/>
        <w:rPr>
          <w:rFonts w:eastAsia="Times New Roman"/>
          <w:lang w:eastAsia="pt-BR"/>
        </w:rPr>
      </w:pPr>
    </w:p>
    <w:p w14:paraId="5BF6063F" w14:textId="77777777" w:rsidR="00962262" w:rsidRDefault="00962262" w:rsidP="00962262">
      <w:pPr>
        <w:pStyle w:val="Ttulo1"/>
        <w:ind w:left="0"/>
        <w:rPr>
          <w:rFonts w:eastAsia="Times New Roman"/>
          <w:lang w:eastAsia="pt-BR"/>
        </w:rPr>
      </w:pPr>
    </w:p>
    <w:p w14:paraId="113DF019" w14:textId="77777777" w:rsidR="00962262" w:rsidRDefault="00962262" w:rsidP="00962262">
      <w:pPr>
        <w:pStyle w:val="Ttulo1"/>
        <w:rPr>
          <w:rFonts w:eastAsia="Times New Roman"/>
          <w:lang w:eastAsia="pt-BR"/>
        </w:rPr>
      </w:pPr>
    </w:p>
    <w:p w14:paraId="38C44C7D" w14:textId="77777777" w:rsidR="00962262" w:rsidRPr="00962262" w:rsidRDefault="00962262" w:rsidP="00962262">
      <w:pPr>
        <w:rPr>
          <w:lang w:eastAsia="pt-BR"/>
        </w:rPr>
      </w:pPr>
    </w:p>
    <w:p w14:paraId="62BC2A1F" w14:textId="085A74C2" w:rsidR="00CF7ABE" w:rsidRPr="00B74E01" w:rsidRDefault="00CF7ABE" w:rsidP="00962262">
      <w:pPr>
        <w:pStyle w:val="Ttulo1"/>
        <w:rPr>
          <w:rFonts w:eastAsia="Times New Roman"/>
          <w:lang w:eastAsia="pt-BR"/>
        </w:rPr>
      </w:pPr>
      <w:bookmarkStart w:id="44" w:name="_Toc230204046"/>
      <w:r w:rsidRPr="00B74E01">
        <w:rPr>
          <w:rFonts w:eastAsia="Times New Roman"/>
          <w:lang w:eastAsia="pt-BR"/>
        </w:rPr>
        <w:lastRenderedPageBreak/>
        <w:t>6. Premissas Oficiais da Modelagem</w:t>
      </w:r>
      <w:bookmarkEnd w:id="44"/>
    </w:p>
    <w:p w14:paraId="67A8CC7D"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Este tópico consolida as premissas oficiais que servirão de base para a modelagem econômico-financeira da PPP. Embora parte desses números já tenha sido apresentada no quadro geral, aqui eles são organizados como </w:t>
      </w:r>
      <w:r w:rsidRPr="00B74E01">
        <w:rPr>
          <w:rFonts w:eastAsia="Times New Roman" w:cs="Arial"/>
          <w:b/>
          <w:bCs/>
          <w:kern w:val="0"/>
          <w:lang w:eastAsia="pt-BR"/>
          <w14:ligatures w14:val="none"/>
        </w:rPr>
        <w:t>premissas formais da modelagem</w:t>
      </w:r>
      <w:r w:rsidRPr="00B74E01">
        <w:rPr>
          <w:rFonts w:eastAsia="Times New Roman" w:cs="Arial"/>
          <w:kern w:val="0"/>
          <w:lang w:eastAsia="pt-BR"/>
          <w14:ligatures w14:val="none"/>
        </w:rPr>
        <w:t>, ou seja, como parâmetros que orientam os cálculos, os cenários, os riscos, as garantias e a estrutura de pagamento.</w:t>
      </w:r>
    </w:p>
    <w:p w14:paraId="51B9C075"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diferença é relevante: no Tópico 3, os números foram apresentados em sequência econômica, para facilitar a compreensão do projeto como um todo. Neste tópico, os mesmos elementos são tratados como premissas técnicas e financeiras, permitindo que Município, banca avaliadora, licitantes, financiadores, investidores e órgãos de controle compreendam quais variáveis foram adotadas como base para os cálculos.</w:t>
      </w:r>
    </w:p>
    <w:p w14:paraId="5E193BAB"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As premissas aqui indicadas não eliminam a necessidade de competição, comprovação e detalhamento pelos licitantes na fase própria da licitação. Ao contrário, servem como base referencial para estruturação, comparação, julgamento, análise de sensibilidade e definição dos mecanismos contratuais de proteção da PPP.</w:t>
      </w:r>
    </w:p>
    <w:p w14:paraId="368B4B03" w14:textId="77777777" w:rsidR="00CF7ABE" w:rsidRPr="00B74E01" w:rsidRDefault="00CF7ABE" w:rsidP="00962262">
      <w:pPr>
        <w:pStyle w:val="Ttulo2"/>
        <w:rPr>
          <w:rFonts w:eastAsia="Times New Roman"/>
          <w:lang w:eastAsia="pt-BR"/>
        </w:rPr>
      </w:pPr>
      <w:bookmarkStart w:id="45" w:name="_Toc230204047"/>
      <w:r w:rsidRPr="00B74E01">
        <w:rPr>
          <w:rFonts w:eastAsia="Times New Roman"/>
          <w:lang w:eastAsia="pt-BR"/>
        </w:rPr>
        <w:t>6.1. Premissas contratuais e operacionais</w:t>
      </w:r>
      <w:bookmarkEnd w:id="45"/>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022"/>
        <w:gridCol w:w="1379"/>
        <w:gridCol w:w="5660"/>
      </w:tblGrid>
      <w:tr w:rsidR="00CF7ABE" w:rsidRPr="00B74E01" w14:paraId="414C970C" w14:textId="77777777" w:rsidTr="00671A31">
        <w:trPr>
          <w:tblHeader/>
          <w:tblCellSpacing w:w="15" w:type="dxa"/>
        </w:trPr>
        <w:tc>
          <w:tcPr>
            <w:tcW w:w="0" w:type="auto"/>
            <w:vAlign w:val="center"/>
            <w:hideMark/>
          </w:tcPr>
          <w:p w14:paraId="18C98BDB" w14:textId="77777777" w:rsidR="00CF7ABE" w:rsidRPr="00B74E01" w:rsidRDefault="00CF7ABE" w:rsidP="00962262">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Premissa</w:t>
            </w:r>
          </w:p>
        </w:tc>
        <w:tc>
          <w:tcPr>
            <w:tcW w:w="0" w:type="auto"/>
            <w:vAlign w:val="center"/>
            <w:hideMark/>
          </w:tcPr>
          <w:p w14:paraId="07071B44" w14:textId="77777777" w:rsidR="00CF7ABE" w:rsidRPr="00B74E01" w:rsidRDefault="00CF7ABE" w:rsidP="00962262">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 adotado</w:t>
            </w:r>
          </w:p>
        </w:tc>
        <w:tc>
          <w:tcPr>
            <w:tcW w:w="0" w:type="auto"/>
            <w:vAlign w:val="center"/>
            <w:hideMark/>
          </w:tcPr>
          <w:p w14:paraId="36ADB6DA" w14:textId="77777777" w:rsidR="00CF7ABE" w:rsidRPr="00B74E01" w:rsidRDefault="00CF7ABE" w:rsidP="00962262">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Observação</w:t>
            </w:r>
          </w:p>
        </w:tc>
      </w:tr>
      <w:tr w:rsidR="00CF7ABE" w:rsidRPr="00B74E01" w14:paraId="5E976D01" w14:textId="77777777" w:rsidTr="00671A31">
        <w:trPr>
          <w:tblCellSpacing w:w="15" w:type="dxa"/>
        </w:trPr>
        <w:tc>
          <w:tcPr>
            <w:tcW w:w="0" w:type="auto"/>
            <w:vAlign w:val="center"/>
            <w:hideMark/>
          </w:tcPr>
          <w:p w14:paraId="324B76A2"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Prazo da PPP</w:t>
            </w:r>
          </w:p>
        </w:tc>
        <w:tc>
          <w:tcPr>
            <w:tcW w:w="0" w:type="auto"/>
            <w:vAlign w:val="center"/>
            <w:hideMark/>
          </w:tcPr>
          <w:p w14:paraId="14130570"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35 anos</w:t>
            </w:r>
          </w:p>
        </w:tc>
        <w:tc>
          <w:tcPr>
            <w:tcW w:w="0" w:type="auto"/>
            <w:vAlign w:val="center"/>
            <w:hideMark/>
          </w:tcPr>
          <w:p w14:paraId="38C45256"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Prazo compatível com amortização do investimento e operação de longo prazo</w:t>
            </w:r>
          </w:p>
        </w:tc>
      </w:tr>
      <w:tr w:rsidR="00CF7ABE" w:rsidRPr="00B74E01" w14:paraId="33E1254E" w14:textId="77777777" w:rsidTr="00671A31">
        <w:trPr>
          <w:tblCellSpacing w:w="15" w:type="dxa"/>
        </w:trPr>
        <w:tc>
          <w:tcPr>
            <w:tcW w:w="0" w:type="auto"/>
            <w:vAlign w:val="center"/>
            <w:hideMark/>
          </w:tcPr>
          <w:p w14:paraId="723DAF4E"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Prazo de implantação</w:t>
            </w:r>
          </w:p>
        </w:tc>
        <w:tc>
          <w:tcPr>
            <w:tcW w:w="0" w:type="auto"/>
            <w:vAlign w:val="center"/>
            <w:hideMark/>
          </w:tcPr>
          <w:p w14:paraId="437B2B69"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18 meses</w:t>
            </w:r>
          </w:p>
        </w:tc>
        <w:tc>
          <w:tcPr>
            <w:tcW w:w="0" w:type="auto"/>
            <w:vAlign w:val="center"/>
            <w:hideMark/>
          </w:tcPr>
          <w:p w14:paraId="673D4085"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Período estimado para implantação, montagem, comissionamento e entrada em operação</w:t>
            </w:r>
          </w:p>
        </w:tc>
      </w:tr>
      <w:tr w:rsidR="00CF7ABE" w:rsidRPr="00B74E01" w14:paraId="70BB51E4" w14:textId="77777777" w:rsidTr="00671A31">
        <w:trPr>
          <w:tblCellSpacing w:w="15" w:type="dxa"/>
        </w:trPr>
        <w:tc>
          <w:tcPr>
            <w:tcW w:w="0" w:type="auto"/>
            <w:vAlign w:val="center"/>
            <w:hideMark/>
          </w:tcPr>
          <w:p w14:paraId="5F60E5E5"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Área da usina</w:t>
            </w:r>
          </w:p>
        </w:tc>
        <w:tc>
          <w:tcPr>
            <w:tcW w:w="0" w:type="auto"/>
            <w:vAlign w:val="center"/>
            <w:hideMark/>
          </w:tcPr>
          <w:p w14:paraId="236063C0"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7 hectares</w:t>
            </w:r>
          </w:p>
        </w:tc>
        <w:tc>
          <w:tcPr>
            <w:tcW w:w="0" w:type="auto"/>
            <w:vAlign w:val="center"/>
            <w:hideMark/>
          </w:tcPr>
          <w:p w14:paraId="43DF8342"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Área a ser disponibilizada pelo Município</w:t>
            </w:r>
          </w:p>
        </w:tc>
      </w:tr>
      <w:tr w:rsidR="00CF7ABE" w:rsidRPr="00B74E01" w14:paraId="0ECA3ED4" w14:textId="77777777" w:rsidTr="00671A31">
        <w:trPr>
          <w:tblCellSpacing w:w="15" w:type="dxa"/>
        </w:trPr>
        <w:tc>
          <w:tcPr>
            <w:tcW w:w="0" w:type="auto"/>
            <w:vAlign w:val="center"/>
            <w:hideMark/>
          </w:tcPr>
          <w:p w14:paraId="5D418CA4"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Custo da área para a SPE</w:t>
            </w:r>
          </w:p>
        </w:tc>
        <w:tc>
          <w:tcPr>
            <w:tcW w:w="0" w:type="auto"/>
            <w:vAlign w:val="center"/>
            <w:hideMark/>
          </w:tcPr>
          <w:p w14:paraId="36BD5050"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R$ 0,00</w:t>
            </w:r>
          </w:p>
        </w:tc>
        <w:tc>
          <w:tcPr>
            <w:tcW w:w="0" w:type="auto"/>
            <w:vAlign w:val="center"/>
            <w:hideMark/>
          </w:tcPr>
          <w:p w14:paraId="17BED3A6"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Considerada como contrapartida municipal, sem desembolso pela SPE</w:t>
            </w:r>
          </w:p>
        </w:tc>
      </w:tr>
      <w:tr w:rsidR="00CF7ABE" w:rsidRPr="00B74E01" w14:paraId="740511C6" w14:textId="77777777" w:rsidTr="00671A31">
        <w:trPr>
          <w:tblCellSpacing w:w="15" w:type="dxa"/>
        </w:trPr>
        <w:tc>
          <w:tcPr>
            <w:tcW w:w="0" w:type="auto"/>
            <w:vAlign w:val="center"/>
            <w:hideMark/>
          </w:tcPr>
          <w:p w14:paraId="7FD91557"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Natureza da planta</w:t>
            </w:r>
          </w:p>
        </w:tc>
        <w:tc>
          <w:tcPr>
            <w:tcW w:w="0" w:type="auto"/>
            <w:vAlign w:val="center"/>
            <w:hideMark/>
          </w:tcPr>
          <w:p w14:paraId="4614B200"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Industrial</w:t>
            </w:r>
          </w:p>
        </w:tc>
        <w:tc>
          <w:tcPr>
            <w:tcW w:w="0" w:type="auto"/>
            <w:vAlign w:val="center"/>
            <w:hideMark/>
          </w:tcPr>
          <w:p w14:paraId="22FD8C88"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Unidade de tratamento/destinação de RSU com integração energética</w:t>
            </w:r>
          </w:p>
        </w:tc>
      </w:tr>
      <w:tr w:rsidR="00CF7ABE" w:rsidRPr="00B74E01" w14:paraId="5E9FAD8C" w14:textId="77777777" w:rsidTr="00671A31">
        <w:trPr>
          <w:tblCellSpacing w:w="15" w:type="dxa"/>
        </w:trPr>
        <w:tc>
          <w:tcPr>
            <w:tcW w:w="0" w:type="auto"/>
            <w:vAlign w:val="center"/>
            <w:hideMark/>
          </w:tcPr>
          <w:p w14:paraId="0187C701"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lastRenderedPageBreak/>
              <w:t>Operação assistida</w:t>
            </w:r>
          </w:p>
        </w:tc>
        <w:tc>
          <w:tcPr>
            <w:tcW w:w="0" w:type="auto"/>
            <w:vAlign w:val="center"/>
            <w:hideMark/>
          </w:tcPr>
          <w:p w14:paraId="50EA1E65"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1 ano</w:t>
            </w:r>
          </w:p>
        </w:tc>
        <w:tc>
          <w:tcPr>
            <w:tcW w:w="0" w:type="auto"/>
            <w:vAlign w:val="center"/>
            <w:hideMark/>
          </w:tcPr>
          <w:p w14:paraId="409CE8E7"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Recomendável exigir na licitação, especialmente em razão da tecnologia e dos equipamentos</w:t>
            </w:r>
          </w:p>
        </w:tc>
      </w:tr>
      <w:tr w:rsidR="00CF7ABE" w:rsidRPr="00B74E01" w14:paraId="657A7B6A" w14:textId="77777777" w:rsidTr="00671A31">
        <w:trPr>
          <w:tblCellSpacing w:w="15" w:type="dxa"/>
        </w:trPr>
        <w:tc>
          <w:tcPr>
            <w:tcW w:w="0" w:type="auto"/>
            <w:vAlign w:val="center"/>
            <w:hideMark/>
          </w:tcPr>
          <w:p w14:paraId="2ED1C693"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Modelo de implantação</w:t>
            </w:r>
          </w:p>
        </w:tc>
        <w:tc>
          <w:tcPr>
            <w:tcW w:w="0" w:type="auto"/>
            <w:vAlign w:val="center"/>
            <w:hideMark/>
          </w:tcPr>
          <w:p w14:paraId="40BBD2C3" w14:textId="77777777" w:rsidR="00CF7ABE" w:rsidRPr="00B74E01" w:rsidRDefault="00CF7ABE" w:rsidP="00962262">
            <w:pPr>
              <w:spacing w:after="0" w:line="360" w:lineRule="auto"/>
              <w:rPr>
                <w:rFonts w:eastAsia="Times New Roman" w:cs="Arial"/>
                <w:kern w:val="0"/>
                <w:lang w:eastAsia="pt-BR"/>
                <w14:ligatures w14:val="none"/>
              </w:rPr>
            </w:pPr>
            <w:proofErr w:type="spellStart"/>
            <w:r w:rsidRPr="00B74E01">
              <w:rPr>
                <w:rFonts w:eastAsia="Times New Roman" w:cs="Arial"/>
                <w:b/>
                <w:bCs/>
                <w:kern w:val="0"/>
                <w:lang w:eastAsia="pt-BR"/>
                <w14:ligatures w14:val="none"/>
              </w:rPr>
              <w:t>Turnkey</w:t>
            </w:r>
            <w:proofErr w:type="spellEnd"/>
          </w:p>
        </w:tc>
        <w:tc>
          <w:tcPr>
            <w:tcW w:w="0" w:type="auto"/>
            <w:vAlign w:val="center"/>
            <w:hideMark/>
          </w:tcPr>
          <w:p w14:paraId="0091691F"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Recomendável para reduzir riscos de integração, montagem e responsabilidade técnica</w:t>
            </w:r>
          </w:p>
        </w:tc>
      </w:tr>
    </w:tbl>
    <w:p w14:paraId="26DD7158"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disponibilização da área pelo Município reduz a necessidade de investimento privado inicial e contribui para a modicidade da estrutura econômico-financeira. Essa premissa deverá estar refletida no edital e no contrato, com definição clara das condições de entrega da área, regularidade dominial, acesso, uso, restrições ambientais e responsabilidade por eventuais adequações.</w:t>
      </w:r>
    </w:p>
    <w:p w14:paraId="18520820"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 adoção de modelo </w:t>
      </w:r>
      <w:proofErr w:type="spellStart"/>
      <w:r w:rsidRPr="00B74E01">
        <w:rPr>
          <w:rFonts w:eastAsia="Times New Roman" w:cs="Arial"/>
          <w:b/>
          <w:bCs/>
          <w:kern w:val="0"/>
          <w:lang w:eastAsia="pt-BR"/>
          <w14:ligatures w14:val="none"/>
        </w:rPr>
        <w:t>turnkey</w:t>
      </w:r>
      <w:proofErr w:type="spellEnd"/>
      <w:r w:rsidRPr="00B74E01">
        <w:rPr>
          <w:rFonts w:eastAsia="Times New Roman" w:cs="Arial"/>
          <w:kern w:val="0"/>
          <w:lang w:eastAsia="pt-BR"/>
          <w14:ligatures w14:val="none"/>
        </w:rPr>
        <w:t xml:space="preserve">, associada à operação assistida por período mínimo de </w:t>
      </w:r>
      <w:r w:rsidRPr="00B74E01">
        <w:rPr>
          <w:rFonts w:eastAsia="Times New Roman" w:cs="Arial"/>
          <w:b/>
          <w:bCs/>
          <w:kern w:val="0"/>
          <w:lang w:eastAsia="pt-BR"/>
          <w14:ligatures w14:val="none"/>
        </w:rPr>
        <w:t>1 ano</w:t>
      </w:r>
      <w:r w:rsidRPr="00B74E01">
        <w:rPr>
          <w:rFonts w:eastAsia="Times New Roman" w:cs="Arial"/>
          <w:kern w:val="0"/>
          <w:lang w:eastAsia="pt-BR"/>
          <w14:ligatures w14:val="none"/>
        </w:rPr>
        <w:t>, é recomendável para reduzir riscos de implantação, integração tecnológica, comissionamento, treinamento da equipe local e transferência operacional. Essa diretriz também ajuda a proteger a Administração Pública, pois concentra responsabilidade técnica no fornecedor/implantador da solução e reduz riscos de fragmentação entre fornecedores, montadores e operadores.</w:t>
      </w:r>
    </w:p>
    <w:p w14:paraId="2AA735D5" w14:textId="77777777" w:rsidR="00CF7ABE" w:rsidRPr="00B74E01" w:rsidRDefault="00CF7ABE" w:rsidP="00962262">
      <w:pPr>
        <w:pStyle w:val="Ttulo2"/>
        <w:rPr>
          <w:rFonts w:eastAsia="Times New Roman"/>
          <w:lang w:eastAsia="pt-BR"/>
        </w:rPr>
      </w:pPr>
      <w:bookmarkStart w:id="46" w:name="_Toc230204048"/>
      <w:r w:rsidRPr="00B74E01">
        <w:rPr>
          <w:rFonts w:eastAsia="Times New Roman"/>
          <w:lang w:eastAsia="pt-BR"/>
        </w:rPr>
        <w:t>6.2. Premissas de RSU</w:t>
      </w:r>
      <w:bookmarkEnd w:id="46"/>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073"/>
        <w:gridCol w:w="2025"/>
        <w:gridCol w:w="3963"/>
      </w:tblGrid>
      <w:tr w:rsidR="00CF7ABE" w:rsidRPr="00B74E01" w14:paraId="500A340F" w14:textId="77777777" w:rsidTr="00962262">
        <w:trPr>
          <w:tblHeader/>
          <w:tblCellSpacing w:w="15" w:type="dxa"/>
        </w:trPr>
        <w:tc>
          <w:tcPr>
            <w:tcW w:w="0" w:type="auto"/>
            <w:vAlign w:val="center"/>
            <w:hideMark/>
          </w:tcPr>
          <w:p w14:paraId="6BC8FDE6" w14:textId="77777777" w:rsidR="00CF7ABE" w:rsidRPr="00B74E01" w:rsidRDefault="00CF7ABE" w:rsidP="00962262">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Premissa</w:t>
            </w:r>
          </w:p>
        </w:tc>
        <w:tc>
          <w:tcPr>
            <w:tcW w:w="1995" w:type="dxa"/>
            <w:vAlign w:val="center"/>
            <w:hideMark/>
          </w:tcPr>
          <w:p w14:paraId="18C15260" w14:textId="77777777" w:rsidR="00CF7ABE" w:rsidRPr="00B74E01" w:rsidRDefault="00CF7ABE" w:rsidP="00962262">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 adotado</w:t>
            </w:r>
          </w:p>
        </w:tc>
        <w:tc>
          <w:tcPr>
            <w:tcW w:w="3918" w:type="dxa"/>
            <w:vAlign w:val="center"/>
            <w:hideMark/>
          </w:tcPr>
          <w:p w14:paraId="4B81DD0E" w14:textId="77777777" w:rsidR="00CF7ABE" w:rsidRPr="00B74E01" w:rsidRDefault="00CF7ABE" w:rsidP="00962262">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Observação</w:t>
            </w:r>
          </w:p>
        </w:tc>
      </w:tr>
      <w:tr w:rsidR="00CF7ABE" w:rsidRPr="00B74E01" w14:paraId="0AF34072" w14:textId="77777777" w:rsidTr="00962262">
        <w:trPr>
          <w:tblCellSpacing w:w="15" w:type="dxa"/>
        </w:trPr>
        <w:tc>
          <w:tcPr>
            <w:tcW w:w="0" w:type="auto"/>
            <w:vAlign w:val="center"/>
            <w:hideMark/>
          </w:tcPr>
          <w:p w14:paraId="327BF25A"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Quantidade mínima contratada</w:t>
            </w:r>
          </w:p>
        </w:tc>
        <w:tc>
          <w:tcPr>
            <w:tcW w:w="1995" w:type="dxa"/>
            <w:vAlign w:val="center"/>
            <w:hideMark/>
          </w:tcPr>
          <w:p w14:paraId="580D246F"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80 t/dia</w:t>
            </w:r>
          </w:p>
        </w:tc>
        <w:tc>
          <w:tcPr>
            <w:tcW w:w="3918" w:type="dxa"/>
            <w:vAlign w:val="center"/>
            <w:hideMark/>
          </w:tcPr>
          <w:p w14:paraId="0B3BA9F1"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Base mínima faturável da destinação/tratamento</w:t>
            </w:r>
          </w:p>
        </w:tc>
      </w:tr>
      <w:tr w:rsidR="00CF7ABE" w:rsidRPr="00B74E01" w14:paraId="71552BB3" w14:textId="77777777" w:rsidTr="00962262">
        <w:trPr>
          <w:tblCellSpacing w:w="15" w:type="dxa"/>
        </w:trPr>
        <w:tc>
          <w:tcPr>
            <w:tcW w:w="0" w:type="auto"/>
            <w:vAlign w:val="center"/>
            <w:hideMark/>
          </w:tcPr>
          <w:p w14:paraId="30FC0A3D"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Tarifa-base de destinação</w:t>
            </w:r>
          </w:p>
        </w:tc>
        <w:tc>
          <w:tcPr>
            <w:tcW w:w="1995" w:type="dxa"/>
            <w:vAlign w:val="center"/>
            <w:hideMark/>
          </w:tcPr>
          <w:p w14:paraId="5021A22C"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R$ 95,00/t</w:t>
            </w:r>
          </w:p>
        </w:tc>
        <w:tc>
          <w:tcPr>
            <w:tcW w:w="3918" w:type="dxa"/>
            <w:vAlign w:val="center"/>
            <w:hideMark/>
          </w:tcPr>
          <w:p w14:paraId="35574DEC"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Cenário-base prudencial da modelagem</w:t>
            </w:r>
          </w:p>
        </w:tc>
      </w:tr>
      <w:tr w:rsidR="00CF7ABE" w:rsidRPr="00B74E01" w14:paraId="50BEB67C" w14:textId="77777777" w:rsidTr="00962262">
        <w:trPr>
          <w:tblCellSpacing w:w="15" w:type="dxa"/>
        </w:trPr>
        <w:tc>
          <w:tcPr>
            <w:tcW w:w="0" w:type="auto"/>
            <w:vAlign w:val="center"/>
            <w:hideMark/>
          </w:tcPr>
          <w:p w14:paraId="6B7A717A"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Tarifa superior regional de referência</w:t>
            </w:r>
          </w:p>
        </w:tc>
        <w:tc>
          <w:tcPr>
            <w:tcW w:w="1995" w:type="dxa"/>
            <w:vAlign w:val="center"/>
            <w:hideMark/>
          </w:tcPr>
          <w:p w14:paraId="53605479"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R$ 140,00/t</w:t>
            </w:r>
          </w:p>
        </w:tc>
        <w:tc>
          <w:tcPr>
            <w:tcW w:w="3918" w:type="dxa"/>
            <w:vAlign w:val="center"/>
            <w:hideMark/>
          </w:tcPr>
          <w:p w14:paraId="3195893D"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Cenário de sensibilidade e referência licitatória</w:t>
            </w:r>
          </w:p>
        </w:tc>
      </w:tr>
      <w:tr w:rsidR="00CF7ABE" w:rsidRPr="00B74E01" w14:paraId="599A0313" w14:textId="77777777" w:rsidTr="00962262">
        <w:trPr>
          <w:tblCellSpacing w:w="15" w:type="dxa"/>
        </w:trPr>
        <w:tc>
          <w:tcPr>
            <w:tcW w:w="0" w:type="auto"/>
            <w:vAlign w:val="center"/>
            <w:hideMark/>
          </w:tcPr>
          <w:p w14:paraId="3F6B9E45"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 mínima mensal — R$ 95/t</w:t>
            </w:r>
          </w:p>
        </w:tc>
        <w:tc>
          <w:tcPr>
            <w:tcW w:w="1995" w:type="dxa"/>
            <w:vAlign w:val="center"/>
            <w:hideMark/>
          </w:tcPr>
          <w:p w14:paraId="1EA39423"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R$ 231.166,67</w:t>
            </w:r>
          </w:p>
        </w:tc>
        <w:tc>
          <w:tcPr>
            <w:tcW w:w="3918" w:type="dxa"/>
            <w:vAlign w:val="center"/>
            <w:hideMark/>
          </w:tcPr>
          <w:p w14:paraId="0476B8BE"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Considerando 80 t/dia e 365 dias/ano</w:t>
            </w:r>
          </w:p>
        </w:tc>
      </w:tr>
      <w:tr w:rsidR="00CF7ABE" w:rsidRPr="00B74E01" w14:paraId="10F17F31" w14:textId="77777777" w:rsidTr="00962262">
        <w:trPr>
          <w:tblCellSpacing w:w="15" w:type="dxa"/>
        </w:trPr>
        <w:tc>
          <w:tcPr>
            <w:tcW w:w="0" w:type="auto"/>
            <w:vAlign w:val="center"/>
            <w:hideMark/>
          </w:tcPr>
          <w:p w14:paraId="0474D6A2"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 mensal — R$ 140/t</w:t>
            </w:r>
          </w:p>
        </w:tc>
        <w:tc>
          <w:tcPr>
            <w:tcW w:w="1995" w:type="dxa"/>
            <w:vAlign w:val="center"/>
            <w:hideMark/>
          </w:tcPr>
          <w:p w14:paraId="115AB974"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R$ 340.666,67</w:t>
            </w:r>
          </w:p>
        </w:tc>
        <w:tc>
          <w:tcPr>
            <w:tcW w:w="3918" w:type="dxa"/>
            <w:vAlign w:val="center"/>
            <w:hideMark/>
          </w:tcPr>
          <w:p w14:paraId="60895E3F"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Cenário superior regional</w:t>
            </w:r>
          </w:p>
        </w:tc>
      </w:tr>
      <w:tr w:rsidR="00CF7ABE" w:rsidRPr="00B74E01" w14:paraId="7D4E8AC3" w14:textId="77777777" w:rsidTr="00962262">
        <w:trPr>
          <w:tblCellSpacing w:w="15" w:type="dxa"/>
        </w:trPr>
        <w:tc>
          <w:tcPr>
            <w:tcW w:w="0" w:type="auto"/>
            <w:vAlign w:val="center"/>
            <w:hideMark/>
          </w:tcPr>
          <w:p w14:paraId="1BA92849"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lastRenderedPageBreak/>
              <w:t>Receita mínima anual — R$ 95/t</w:t>
            </w:r>
          </w:p>
        </w:tc>
        <w:tc>
          <w:tcPr>
            <w:tcW w:w="1995" w:type="dxa"/>
            <w:vAlign w:val="center"/>
            <w:hideMark/>
          </w:tcPr>
          <w:p w14:paraId="437B35D0"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R$ 2.774.000,00</w:t>
            </w:r>
          </w:p>
        </w:tc>
        <w:tc>
          <w:tcPr>
            <w:tcW w:w="3918" w:type="dxa"/>
            <w:vAlign w:val="center"/>
            <w:hideMark/>
          </w:tcPr>
          <w:p w14:paraId="68CC365D"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Cenário-base</w:t>
            </w:r>
          </w:p>
        </w:tc>
      </w:tr>
      <w:tr w:rsidR="00CF7ABE" w:rsidRPr="00B74E01" w14:paraId="4FF94246" w14:textId="77777777" w:rsidTr="00962262">
        <w:trPr>
          <w:tblCellSpacing w:w="15" w:type="dxa"/>
        </w:trPr>
        <w:tc>
          <w:tcPr>
            <w:tcW w:w="0" w:type="auto"/>
            <w:vAlign w:val="center"/>
            <w:hideMark/>
          </w:tcPr>
          <w:p w14:paraId="492E5A25"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 anual — R$ 140/t</w:t>
            </w:r>
          </w:p>
        </w:tc>
        <w:tc>
          <w:tcPr>
            <w:tcW w:w="1995" w:type="dxa"/>
            <w:vAlign w:val="center"/>
            <w:hideMark/>
          </w:tcPr>
          <w:p w14:paraId="1245084C"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R$ 4.088.000,00</w:t>
            </w:r>
          </w:p>
        </w:tc>
        <w:tc>
          <w:tcPr>
            <w:tcW w:w="3918" w:type="dxa"/>
            <w:vAlign w:val="center"/>
            <w:hideMark/>
          </w:tcPr>
          <w:p w14:paraId="7D5C10B1"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Cenário superior</w:t>
            </w:r>
          </w:p>
        </w:tc>
      </w:tr>
    </w:tbl>
    <w:p w14:paraId="28704788"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 quantidade mínima contratada de </w:t>
      </w:r>
      <w:r w:rsidRPr="00B74E01">
        <w:rPr>
          <w:rFonts w:eastAsia="Times New Roman" w:cs="Arial"/>
          <w:b/>
          <w:bCs/>
          <w:kern w:val="0"/>
          <w:lang w:eastAsia="pt-BR"/>
          <w14:ligatures w14:val="none"/>
        </w:rPr>
        <w:t>80 t/dia</w:t>
      </w:r>
      <w:r w:rsidRPr="00B74E01">
        <w:rPr>
          <w:rFonts w:eastAsia="Times New Roman" w:cs="Arial"/>
          <w:kern w:val="0"/>
          <w:lang w:eastAsia="pt-BR"/>
          <w14:ligatures w14:val="none"/>
        </w:rPr>
        <w:t xml:space="preserve"> é premissa essencial para a estabilidade da receita principal da PPP. Ela reduz o risco de demanda da SPE, melhora a previsibilidade do fluxo de caixa e fortalece a </w:t>
      </w:r>
      <w:proofErr w:type="spellStart"/>
      <w:r w:rsidRPr="00B74E01">
        <w:rPr>
          <w:rFonts w:eastAsia="Times New Roman" w:cs="Arial"/>
          <w:kern w:val="0"/>
          <w:lang w:eastAsia="pt-BR"/>
          <w14:ligatures w14:val="none"/>
        </w:rPr>
        <w:t>bancabilidade</w:t>
      </w:r>
      <w:proofErr w:type="spellEnd"/>
      <w:r w:rsidRPr="00B74E01">
        <w:rPr>
          <w:rFonts w:eastAsia="Times New Roman" w:cs="Arial"/>
          <w:kern w:val="0"/>
          <w:lang w:eastAsia="pt-BR"/>
          <w14:ligatures w14:val="none"/>
        </w:rPr>
        <w:t xml:space="preserve"> do projeto.</w:t>
      </w:r>
    </w:p>
    <w:p w14:paraId="7674E68C"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 tarifa de </w:t>
      </w:r>
      <w:r w:rsidRPr="00B74E01">
        <w:rPr>
          <w:rFonts w:eastAsia="Times New Roman" w:cs="Arial"/>
          <w:b/>
          <w:bCs/>
          <w:kern w:val="0"/>
          <w:lang w:eastAsia="pt-BR"/>
          <w14:ligatures w14:val="none"/>
        </w:rPr>
        <w:t>R$ 95,00/t</w:t>
      </w:r>
      <w:r w:rsidRPr="00B74E01">
        <w:rPr>
          <w:rFonts w:eastAsia="Times New Roman" w:cs="Arial"/>
          <w:kern w:val="0"/>
          <w:lang w:eastAsia="pt-BR"/>
          <w14:ligatures w14:val="none"/>
        </w:rPr>
        <w:t xml:space="preserve"> é adotada como cenário-base da modelagem, por representar parâmetro competitivo e prudencial. A tarifa de </w:t>
      </w:r>
      <w:r w:rsidRPr="00B74E01">
        <w:rPr>
          <w:rFonts w:eastAsia="Times New Roman" w:cs="Arial"/>
          <w:b/>
          <w:bCs/>
          <w:kern w:val="0"/>
          <w:lang w:eastAsia="pt-BR"/>
          <w14:ligatures w14:val="none"/>
        </w:rPr>
        <w:t>R$ 140,00/t</w:t>
      </w:r>
      <w:r w:rsidRPr="00B74E01">
        <w:rPr>
          <w:rFonts w:eastAsia="Times New Roman" w:cs="Arial"/>
          <w:kern w:val="0"/>
          <w:lang w:eastAsia="pt-BR"/>
          <w14:ligatures w14:val="none"/>
        </w:rPr>
        <w:t xml:space="preserve"> deve ser mantida como referência superior regional e cenário de sensibilidade, especialmente por estar associada a valores que podem ser encontrados em estruturas convencionais de destinação em aterros sanitários, sem os benefícios adicionais previstos nesta PPP.</w:t>
      </w:r>
    </w:p>
    <w:p w14:paraId="7DBD8743"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comparação entre os dois valores permite que a licitação tenha referência econômica mínima e superior, sem perder de vista que a solução prevista na PPP não se resume à destinação do RSU, pois agrega disponibilização energética, integração tecnológica, potenciais receitas acessórias e fortalecimento do Fundo Municipal de Meio Ambiente e Tecnologia Pública.</w:t>
      </w:r>
    </w:p>
    <w:p w14:paraId="3A2EED02" w14:textId="77777777" w:rsidR="00CF7ABE" w:rsidRPr="00B74E01" w:rsidRDefault="00CF7ABE" w:rsidP="00962262">
      <w:pPr>
        <w:pStyle w:val="Ttulo2"/>
        <w:rPr>
          <w:rFonts w:eastAsia="Times New Roman"/>
          <w:lang w:eastAsia="pt-BR"/>
        </w:rPr>
      </w:pPr>
      <w:bookmarkStart w:id="47" w:name="_Toc230204049"/>
      <w:r w:rsidRPr="00B74E01">
        <w:rPr>
          <w:rFonts w:eastAsia="Times New Roman"/>
          <w:lang w:eastAsia="pt-BR"/>
        </w:rPr>
        <w:t>6.3. Premissas energéticas</w:t>
      </w:r>
      <w:bookmarkEnd w:id="47"/>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793"/>
        <w:gridCol w:w="1910"/>
      </w:tblGrid>
      <w:tr w:rsidR="00CF7ABE" w:rsidRPr="00B74E01" w14:paraId="5DF8E486" w14:textId="77777777" w:rsidTr="00671A31">
        <w:trPr>
          <w:tblHeader/>
          <w:tblCellSpacing w:w="15" w:type="dxa"/>
        </w:trPr>
        <w:tc>
          <w:tcPr>
            <w:tcW w:w="0" w:type="auto"/>
            <w:vAlign w:val="center"/>
            <w:hideMark/>
          </w:tcPr>
          <w:p w14:paraId="35472DE2" w14:textId="77777777" w:rsidR="00CF7ABE" w:rsidRPr="00B74E01" w:rsidRDefault="00CF7ABE" w:rsidP="00962262">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Premissa</w:t>
            </w:r>
          </w:p>
        </w:tc>
        <w:tc>
          <w:tcPr>
            <w:tcW w:w="0" w:type="auto"/>
            <w:vAlign w:val="center"/>
            <w:hideMark/>
          </w:tcPr>
          <w:p w14:paraId="06B80DDF" w14:textId="77777777" w:rsidR="00CF7ABE" w:rsidRPr="00B74E01" w:rsidRDefault="00CF7ABE" w:rsidP="00962262">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 adotado</w:t>
            </w:r>
          </w:p>
        </w:tc>
      </w:tr>
      <w:tr w:rsidR="00CF7ABE" w:rsidRPr="00B74E01" w14:paraId="4A489C53" w14:textId="77777777" w:rsidTr="00671A31">
        <w:trPr>
          <w:tblCellSpacing w:w="15" w:type="dxa"/>
        </w:trPr>
        <w:tc>
          <w:tcPr>
            <w:tcW w:w="0" w:type="auto"/>
            <w:vAlign w:val="center"/>
            <w:hideMark/>
          </w:tcPr>
          <w:p w14:paraId="3063D195"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Despesa mensal atual de energia do Município</w:t>
            </w:r>
          </w:p>
        </w:tc>
        <w:tc>
          <w:tcPr>
            <w:tcW w:w="0" w:type="auto"/>
            <w:vAlign w:val="center"/>
            <w:hideMark/>
          </w:tcPr>
          <w:p w14:paraId="006BFFFF"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R$ 724.745,63</w:t>
            </w:r>
          </w:p>
        </w:tc>
      </w:tr>
      <w:tr w:rsidR="00CF7ABE" w:rsidRPr="00B74E01" w14:paraId="41F90A8B" w14:textId="77777777" w:rsidTr="00671A31">
        <w:trPr>
          <w:tblCellSpacing w:w="15" w:type="dxa"/>
        </w:trPr>
        <w:tc>
          <w:tcPr>
            <w:tcW w:w="0" w:type="auto"/>
            <w:vAlign w:val="center"/>
            <w:hideMark/>
          </w:tcPr>
          <w:p w14:paraId="5EA1E8F4"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Consumo mensal considerado</w:t>
            </w:r>
          </w:p>
        </w:tc>
        <w:tc>
          <w:tcPr>
            <w:tcW w:w="0" w:type="auto"/>
            <w:vAlign w:val="center"/>
            <w:hideMark/>
          </w:tcPr>
          <w:p w14:paraId="0472C4EA"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1.059.797 kWh</w:t>
            </w:r>
          </w:p>
        </w:tc>
      </w:tr>
      <w:tr w:rsidR="00CF7ABE" w:rsidRPr="00B74E01" w14:paraId="5B3676E3" w14:textId="77777777" w:rsidTr="00671A31">
        <w:trPr>
          <w:tblCellSpacing w:w="15" w:type="dxa"/>
        </w:trPr>
        <w:tc>
          <w:tcPr>
            <w:tcW w:w="0" w:type="auto"/>
            <w:vAlign w:val="center"/>
            <w:hideMark/>
          </w:tcPr>
          <w:p w14:paraId="0A163F8E"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Custo médio atual da energia</w:t>
            </w:r>
          </w:p>
        </w:tc>
        <w:tc>
          <w:tcPr>
            <w:tcW w:w="0" w:type="auto"/>
            <w:vAlign w:val="center"/>
            <w:hideMark/>
          </w:tcPr>
          <w:p w14:paraId="1290E1E3"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R$ 0,68385/kWh</w:t>
            </w:r>
          </w:p>
        </w:tc>
      </w:tr>
      <w:tr w:rsidR="00CF7ABE" w:rsidRPr="00B74E01" w14:paraId="2DFCF195" w14:textId="77777777" w:rsidTr="00671A31">
        <w:trPr>
          <w:tblCellSpacing w:w="15" w:type="dxa"/>
        </w:trPr>
        <w:tc>
          <w:tcPr>
            <w:tcW w:w="0" w:type="auto"/>
            <w:vAlign w:val="center"/>
            <w:hideMark/>
          </w:tcPr>
          <w:p w14:paraId="537BCFDC"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Remuneração mensal da SPE pela disponibilização energética</w:t>
            </w:r>
          </w:p>
        </w:tc>
        <w:tc>
          <w:tcPr>
            <w:tcW w:w="0" w:type="auto"/>
            <w:vAlign w:val="center"/>
            <w:hideMark/>
          </w:tcPr>
          <w:p w14:paraId="4FE20C41"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R$ 468.910,42</w:t>
            </w:r>
          </w:p>
        </w:tc>
      </w:tr>
      <w:tr w:rsidR="00CF7ABE" w:rsidRPr="00B74E01" w14:paraId="2078C7CD" w14:textId="77777777" w:rsidTr="00671A31">
        <w:trPr>
          <w:tblCellSpacing w:w="15" w:type="dxa"/>
        </w:trPr>
        <w:tc>
          <w:tcPr>
            <w:tcW w:w="0" w:type="auto"/>
            <w:vAlign w:val="center"/>
            <w:hideMark/>
          </w:tcPr>
          <w:p w14:paraId="5BCC9E0B"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Custo médio equivalente da disponibilização energética</w:t>
            </w:r>
          </w:p>
        </w:tc>
        <w:tc>
          <w:tcPr>
            <w:tcW w:w="0" w:type="auto"/>
            <w:vAlign w:val="center"/>
            <w:hideMark/>
          </w:tcPr>
          <w:p w14:paraId="53D7FFAF"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R$ 0,44246/kWh</w:t>
            </w:r>
          </w:p>
        </w:tc>
      </w:tr>
      <w:tr w:rsidR="00CF7ABE" w:rsidRPr="00B74E01" w14:paraId="15924AB7" w14:textId="77777777" w:rsidTr="00671A31">
        <w:trPr>
          <w:tblCellSpacing w:w="15" w:type="dxa"/>
        </w:trPr>
        <w:tc>
          <w:tcPr>
            <w:tcW w:w="0" w:type="auto"/>
            <w:vAlign w:val="center"/>
            <w:hideMark/>
          </w:tcPr>
          <w:p w14:paraId="5495B42D"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Economia mensal estimada ao Município</w:t>
            </w:r>
          </w:p>
        </w:tc>
        <w:tc>
          <w:tcPr>
            <w:tcW w:w="0" w:type="auto"/>
            <w:vAlign w:val="center"/>
            <w:hideMark/>
          </w:tcPr>
          <w:p w14:paraId="0E2DFEBD"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R$ 255.835,21</w:t>
            </w:r>
          </w:p>
        </w:tc>
      </w:tr>
      <w:tr w:rsidR="00CF7ABE" w:rsidRPr="00B74E01" w14:paraId="33B31C6F" w14:textId="77777777" w:rsidTr="00671A31">
        <w:trPr>
          <w:tblCellSpacing w:w="15" w:type="dxa"/>
        </w:trPr>
        <w:tc>
          <w:tcPr>
            <w:tcW w:w="0" w:type="auto"/>
            <w:vAlign w:val="center"/>
            <w:hideMark/>
          </w:tcPr>
          <w:p w14:paraId="28490ED8"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Economia anual estimada ao Município</w:t>
            </w:r>
          </w:p>
        </w:tc>
        <w:tc>
          <w:tcPr>
            <w:tcW w:w="0" w:type="auto"/>
            <w:vAlign w:val="center"/>
            <w:hideMark/>
          </w:tcPr>
          <w:p w14:paraId="15CB4F6F"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R$ 3.070.022,52</w:t>
            </w:r>
          </w:p>
        </w:tc>
      </w:tr>
      <w:tr w:rsidR="00CF7ABE" w:rsidRPr="00B74E01" w14:paraId="749DA4CD" w14:textId="77777777" w:rsidTr="00671A31">
        <w:trPr>
          <w:tblCellSpacing w:w="15" w:type="dxa"/>
        </w:trPr>
        <w:tc>
          <w:tcPr>
            <w:tcW w:w="0" w:type="auto"/>
            <w:vAlign w:val="center"/>
            <w:hideMark/>
          </w:tcPr>
          <w:p w14:paraId="79569042"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lastRenderedPageBreak/>
              <w:t>Redução percentual estimada</w:t>
            </w:r>
          </w:p>
        </w:tc>
        <w:tc>
          <w:tcPr>
            <w:tcW w:w="0" w:type="auto"/>
            <w:vAlign w:val="center"/>
            <w:hideMark/>
          </w:tcPr>
          <w:p w14:paraId="08E92E30"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35,30%</w:t>
            </w:r>
          </w:p>
        </w:tc>
      </w:tr>
    </w:tbl>
    <w:p w14:paraId="5EC8439B"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 premissa energética é um dos pilares da vantajosidade municipal. A economia estimada de </w:t>
      </w:r>
      <w:r w:rsidRPr="00B74E01">
        <w:rPr>
          <w:rFonts w:eastAsia="Times New Roman" w:cs="Arial"/>
          <w:b/>
          <w:bCs/>
          <w:kern w:val="0"/>
          <w:lang w:eastAsia="pt-BR"/>
          <w14:ligatures w14:val="none"/>
        </w:rPr>
        <w:t>R$ 255.835,21/mês</w:t>
      </w:r>
      <w:r w:rsidRPr="00B74E01">
        <w:rPr>
          <w:rFonts w:eastAsia="Times New Roman" w:cs="Arial"/>
          <w:kern w:val="0"/>
          <w:lang w:eastAsia="pt-BR"/>
          <w14:ligatures w14:val="none"/>
        </w:rPr>
        <w:t xml:space="preserve"> permite, no cenário-base de </w:t>
      </w:r>
      <w:r w:rsidRPr="00B74E01">
        <w:rPr>
          <w:rFonts w:eastAsia="Times New Roman" w:cs="Arial"/>
          <w:b/>
          <w:bCs/>
          <w:kern w:val="0"/>
          <w:lang w:eastAsia="pt-BR"/>
          <w14:ligatures w14:val="none"/>
        </w:rPr>
        <w:t>R$ 95/t</w:t>
      </w:r>
      <w:r w:rsidRPr="00B74E01">
        <w:rPr>
          <w:rFonts w:eastAsia="Times New Roman" w:cs="Arial"/>
          <w:kern w:val="0"/>
          <w:lang w:eastAsia="pt-BR"/>
          <w14:ligatures w14:val="none"/>
        </w:rPr>
        <w:t>, custear integralmente a destinação/tratamento do RSU e ainda gerar saldo positivo ao Município.</w:t>
      </w:r>
    </w:p>
    <w:p w14:paraId="43D68A51"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 remuneração da SPE deverá ser redigida como </w:t>
      </w:r>
      <w:r w:rsidRPr="00B74E01">
        <w:rPr>
          <w:rFonts w:eastAsia="Times New Roman" w:cs="Arial"/>
          <w:b/>
          <w:bCs/>
          <w:kern w:val="0"/>
          <w:lang w:eastAsia="pt-BR"/>
          <w14:ligatures w14:val="none"/>
        </w:rPr>
        <w:t>disponibilização de capacidade energética renovável</w:t>
      </w:r>
      <w:r w:rsidRPr="00B74E01">
        <w:rPr>
          <w:rFonts w:eastAsia="Times New Roman" w:cs="Arial"/>
          <w:kern w:val="0"/>
          <w:lang w:eastAsia="pt-BR"/>
          <w14:ligatures w14:val="none"/>
        </w:rPr>
        <w:t>, no contexto da solução integrada da PPP, evitando enquadramento simplificado como venda direta de energia elétrica. Essa formulação deve ser compatibilizada com o edital, a minuta contratual e a matriz de riscos, para reduzir questionamentos regulatórios e preservar a segurança jurídica da contratação.</w:t>
      </w:r>
    </w:p>
    <w:p w14:paraId="480FCE3A" w14:textId="77777777" w:rsidR="00CF7ABE" w:rsidRPr="00B74E01" w:rsidRDefault="00CF7ABE" w:rsidP="00962262">
      <w:pPr>
        <w:pStyle w:val="Ttulo2"/>
        <w:rPr>
          <w:rFonts w:eastAsia="Times New Roman"/>
          <w:lang w:eastAsia="pt-BR"/>
        </w:rPr>
      </w:pPr>
      <w:bookmarkStart w:id="48" w:name="_Toc230204050"/>
      <w:r w:rsidRPr="00B74E01">
        <w:rPr>
          <w:rFonts w:eastAsia="Times New Roman"/>
          <w:lang w:eastAsia="pt-BR"/>
        </w:rPr>
        <w:t>6.4. Premissas de investimento</w:t>
      </w:r>
      <w:bookmarkEnd w:id="48"/>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483"/>
        <w:gridCol w:w="2004"/>
      </w:tblGrid>
      <w:tr w:rsidR="00CF7ABE" w:rsidRPr="00B74E01" w14:paraId="418DC844" w14:textId="77777777" w:rsidTr="00671A31">
        <w:trPr>
          <w:tblHeader/>
          <w:tblCellSpacing w:w="15" w:type="dxa"/>
        </w:trPr>
        <w:tc>
          <w:tcPr>
            <w:tcW w:w="0" w:type="auto"/>
            <w:vAlign w:val="center"/>
            <w:hideMark/>
          </w:tcPr>
          <w:p w14:paraId="216757B2" w14:textId="77777777" w:rsidR="00CF7ABE" w:rsidRPr="00B74E01" w:rsidRDefault="00CF7ABE" w:rsidP="00962262">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Componente</w:t>
            </w:r>
          </w:p>
        </w:tc>
        <w:tc>
          <w:tcPr>
            <w:tcW w:w="0" w:type="auto"/>
            <w:vAlign w:val="center"/>
            <w:hideMark/>
          </w:tcPr>
          <w:p w14:paraId="149C0C3A" w14:textId="77777777" w:rsidR="00CF7ABE" w:rsidRPr="00B74E01" w:rsidRDefault="00CF7ABE" w:rsidP="00962262">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w:t>
            </w:r>
          </w:p>
        </w:tc>
      </w:tr>
      <w:tr w:rsidR="00CF7ABE" w:rsidRPr="00B74E01" w14:paraId="7377A337" w14:textId="77777777" w:rsidTr="00671A31">
        <w:trPr>
          <w:tblCellSpacing w:w="15" w:type="dxa"/>
        </w:trPr>
        <w:tc>
          <w:tcPr>
            <w:tcW w:w="0" w:type="auto"/>
            <w:vAlign w:val="center"/>
            <w:hideMark/>
          </w:tcPr>
          <w:p w14:paraId="77489F35"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CAPEX base</w:t>
            </w:r>
          </w:p>
        </w:tc>
        <w:tc>
          <w:tcPr>
            <w:tcW w:w="0" w:type="auto"/>
            <w:vAlign w:val="center"/>
            <w:hideMark/>
          </w:tcPr>
          <w:p w14:paraId="3810B189"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R$ 26.252.043,00</w:t>
            </w:r>
          </w:p>
        </w:tc>
      </w:tr>
      <w:tr w:rsidR="00CF7ABE" w:rsidRPr="00B74E01" w14:paraId="5D37A591" w14:textId="77777777" w:rsidTr="00671A31">
        <w:trPr>
          <w:tblCellSpacing w:w="15" w:type="dxa"/>
        </w:trPr>
        <w:tc>
          <w:tcPr>
            <w:tcW w:w="0" w:type="auto"/>
            <w:vAlign w:val="center"/>
            <w:hideMark/>
          </w:tcPr>
          <w:p w14:paraId="4FBD7C00"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Contingência técnica — 10%</w:t>
            </w:r>
          </w:p>
        </w:tc>
        <w:tc>
          <w:tcPr>
            <w:tcW w:w="0" w:type="auto"/>
            <w:vAlign w:val="center"/>
            <w:hideMark/>
          </w:tcPr>
          <w:p w14:paraId="334AF221"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R$ 2.625.204,30</w:t>
            </w:r>
          </w:p>
        </w:tc>
      </w:tr>
      <w:tr w:rsidR="00CF7ABE" w:rsidRPr="00B74E01" w14:paraId="305D6CBE" w14:textId="77777777" w:rsidTr="00671A31">
        <w:trPr>
          <w:tblCellSpacing w:w="15" w:type="dxa"/>
        </w:trPr>
        <w:tc>
          <w:tcPr>
            <w:tcW w:w="0" w:type="auto"/>
            <w:vAlign w:val="center"/>
            <w:hideMark/>
          </w:tcPr>
          <w:p w14:paraId="3AD793C0"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CAPEX com contingência</w:t>
            </w:r>
          </w:p>
        </w:tc>
        <w:tc>
          <w:tcPr>
            <w:tcW w:w="0" w:type="auto"/>
            <w:vAlign w:val="center"/>
            <w:hideMark/>
          </w:tcPr>
          <w:p w14:paraId="7B4C120D"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R$ 28.877.247,30</w:t>
            </w:r>
          </w:p>
        </w:tc>
      </w:tr>
      <w:tr w:rsidR="00CF7ABE" w:rsidRPr="00B74E01" w14:paraId="0AD39253" w14:textId="77777777" w:rsidTr="00671A31">
        <w:trPr>
          <w:tblCellSpacing w:w="15" w:type="dxa"/>
        </w:trPr>
        <w:tc>
          <w:tcPr>
            <w:tcW w:w="0" w:type="auto"/>
            <w:vAlign w:val="center"/>
            <w:hideMark/>
          </w:tcPr>
          <w:p w14:paraId="0B217DC8"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Capital de giro inicial</w:t>
            </w:r>
          </w:p>
        </w:tc>
        <w:tc>
          <w:tcPr>
            <w:tcW w:w="0" w:type="auto"/>
            <w:vAlign w:val="center"/>
            <w:hideMark/>
          </w:tcPr>
          <w:p w14:paraId="1EE32372"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R$ 1.021.941,08</w:t>
            </w:r>
          </w:p>
        </w:tc>
      </w:tr>
      <w:tr w:rsidR="00CF7ABE" w:rsidRPr="00B74E01" w14:paraId="0C79ED03" w14:textId="77777777" w:rsidTr="00671A31">
        <w:trPr>
          <w:tblCellSpacing w:w="15" w:type="dxa"/>
        </w:trPr>
        <w:tc>
          <w:tcPr>
            <w:tcW w:w="0" w:type="auto"/>
            <w:vAlign w:val="center"/>
            <w:hideMark/>
          </w:tcPr>
          <w:p w14:paraId="71A13FAF"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IDC — juros durante implantação</w:t>
            </w:r>
          </w:p>
        </w:tc>
        <w:tc>
          <w:tcPr>
            <w:tcW w:w="0" w:type="auto"/>
            <w:vAlign w:val="center"/>
            <w:hideMark/>
          </w:tcPr>
          <w:p w14:paraId="52150BFE"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R$ 2.370.685,00</w:t>
            </w:r>
          </w:p>
        </w:tc>
      </w:tr>
      <w:tr w:rsidR="00CF7ABE" w:rsidRPr="00B74E01" w14:paraId="7D14BBB5" w14:textId="77777777" w:rsidTr="00671A31">
        <w:trPr>
          <w:tblCellSpacing w:w="15" w:type="dxa"/>
        </w:trPr>
        <w:tc>
          <w:tcPr>
            <w:tcW w:w="0" w:type="auto"/>
            <w:vAlign w:val="center"/>
            <w:hideMark/>
          </w:tcPr>
          <w:p w14:paraId="3C86487C"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Investimento financeiro total estimado</w:t>
            </w:r>
          </w:p>
        </w:tc>
        <w:tc>
          <w:tcPr>
            <w:tcW w:w="0" w:type="auto"/>
            <w:vAlign w:val="center"/>
            <w:hideMark/>
          </w:tcPr>
          <w:p w14:paraId="06977FF6"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R$ 32.269.873,38</w:t>
            </w:r>
          </w:p>
        </w:tc>
      </w:tr>
    </w:tbl>
    <w:p w14:paraId="1F720990"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 contingência técnica de </w:t>
      </w:r>
      <w:r w:rsidRPr="00B74E01">
        <w:rPr>
          <w:rFonts w:eastAsia="Times New Roman" w:cs="Arial"/>
          <w:b/>
          <w:bCs/>
          <w:kern w:val="0"/>
          <w:lang w:eastAsia="pt-BR"/>
          <w14:ligatures w14:val="none"/>
        </w:rPr>
        <w:t>10%</w:t>
      </w:r>
      <w:r w:rsidRPr="00B74E01">
        <w:rPr>
          <w:rFonts w:eastAsia="Times New Roman" w:cs="Arial"/>
          <w:kern w:val="0"/>
          <w:lang w:eastAsia="pt-BR"/>
          <w14:ligatures w14:val="none"/>
        </w:rPr>
        <w:t xml:space="preserve"> foi incorporada para conferir maior prudência à modelagem. Ela não deve ser interpretada como margem de lucro, mas como reserva técnica para absorver variações ordinárias de implantação, compatibilização de sistemas, ajustes de obra, montagem, integração e eventuais adequações técnicas.</w:t>
      </w:r>
    </w:p>
    <w:p w14:paraId="74E5A80F"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O capital de giro inicial foi mantido em patamar superior a três meses do OPEX revisado, como premissa conservadora de liquidez operacional para início das atividades da SPE.</w:t>
      </w:r>
    </w:p>
    <w:p w14:paraId="296D43FB"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lastRenderedPageBreak/>
        <w:t>O investimento financeiro total estimado representa a base de cálculo utilizada na simulação de financiamento. Na licitação, os proponentes poderão apresentar seus próprios custos, estruturas de capital, fornecedores, garantias, cronogramas e condições financeiras, desde que atendam aos requisitos técnicos, jurídicos e econômicos do edital.</w:t>
      </w:r>
    </w:p>
    <w:p w14:paraId="27AC9518" w14:textId="77777777" w:rsidR="00CF7ABE" w:rsidRPr="00B74E01" w:rsidRDefault="00CF7ABE" w:rsidP="00962262">
      <w:pPr>
        <w:pStyle w:val="Ttulo2"/>
        <w:rPr>
          <w:rFonts w:eastAsia="Times New Roman"/>
          <w:lang w:eastAsia="pt-BR"/>
        </w:rPr>
      </w:pPr>
      <w:bookmarkStart w:id="49" w:name="_Toc230204051"/>
      <w:r w:rsidRPr="00B74E01">
        <w:rPr>
          <w:rFonts w:eastAsia="Times New Roman"/>
          <w:lang w:eastAsia="pt-BR"/>
        </w:rPr>
        <w:t>6.5. Premissas de OPEX</w:t>
      </w:r>
      <w:bookmarkEnd w:id="49"/>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097"/>
        <w:gridCol w:w="1655"/>
        <w:gridCol w:w="1870"/>
      </w:tblGrid>
      <w:tr w:rsidR="00CF7ABE" w:rsidRPr="00B74E01" w14:paraId="514D75CC" w14:textId="77777777" w:rsidTr="00671A31">
        <w:trPr>
          <w:tblHeader/>
          <w:tblCellSpacing w:w="15" w:type="dxa"/>
        </w:trPr>
        <w:tc>
          <w:tcPr>
            <w:tcW w:w="0" w:type="auto"/>
            <w:vAlign w:val="center"/>
            <w:hideMark/>
          </w:tcPr>
          <w:p w14:paraId="22E093B6" w14:textId="77777777" w:rsidR="00CF7ABE" w:rsidRPr="00B74E01" w:rsidRDefault="00CF7ABE" w:rsidP="00962262">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Componente</w:t>
            </w:r>
          </w:p>
        </w:tc>
        <w:tc>
          <w:tcPr>
            <w:tcW w:w="0" w:type="auto"/>
            <w:vAlign w:val="center"/>
            <w:hideMark/>
          </w:tcPr>
          <w:p w14:paraId="1C8F665D" w14:textId="77777777" w:rsidR="00CF7ABE" w:rsidRPr="00B74E01" w:rsidRDefault="00CF7ABE" w:rsidP="00962262">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 mensal</w:t>
            </w:r>
          </w:p>
        </w:tc>
        <w:tc>
          <w:tcPr>
            <w:tcW w:w="0" w:type="auto"/>
            <w:vAlign w:val="center"/>
            <w:hideMark/>
          </w:tcPr>
          <w:p w14:paraId="4456CEEF" w14:textId="77777777" w:rsidR="00CF7ABE" w:rsidRPr="00B74E01" w:rsidRDefault="00CF7ABE" w:rsidP="00962262">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 anual</w:t>
            </w:r>
          </w:p>
        </w:tc>
      </w:tr>
      <w:tr w:rsidR="00CF7ABE" w:rsidRPr="00B74E01" w14:paraId="4884C2FB" w14:textId="77777777" w:rsidTr="00671A31">
        <w:trPr>
          <w:tblCellSpacing w:w="15" w:type="dxa"/>
        </w:trPr>
        <w:tc>
          <w:tcPr>
            <w:tcW w:w="0" w:type="auto"/>
            <w:vAlign w:val="center"/>
            <w:hideMark/>
          </w:tcPr>
          <w:p w14:paraId="23ACFE2F"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Mão de obra ativa</w:t>
            </w:r>
          </w:p>
        </w:tc>
        <w:tc>
          <w:tcPr>
            <w:tcW w:w="0" w:type="auto"/>
            <w:vAlign w:val="center"/>
            <w:hideMark/>
          </w:tcPr>
          <w:p w14:paraId="3EA01A34"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R$ 219.465,24</w:t>
            </w:r>
          </w:p>
        </w:tc>
        <w:tc>
          <w:tcPr>
            <w:tcW w:w="0" w:type="auto"/>
            <w:vAlign w:val="center"/>
            <w:hideMark/>
          </w:tcPr>
          <w:p w14:paraId="1F1A2186"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R$ 2.633.582,88</w:t>
            </w:r>
          </w:p>
        </w:tc>
      </w:tr>
      <w:tr w:rsidR="00CF7ABE" w:rsidRPr="00B74E01" w14:paraId="78D3F6A6" w14:textId="77777777" w:rsidTr="00671A31">
        <w:trPr>
          <w:tblCellSpacing w:w="15" w:type="dxa"/>
        </w:trPr>
        <w:tc>
          <w:tcPr>
            <w:tcW w:w="0" w:type="auto"/>
            <w:vAlign w:val="center"/>
            <w:hideMark/>
          </w:tcPr>
          <w:p w14:paraId="283904F5"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Demais custos operacionais</w:t>
            </w:r>
          </w:p>
        </w:tc>
        <w:tc>
          <w:tcPr>
            <w:tcW w:w="0" w:type="auto"/>
            <w:vAlign w:val="center"/>
            <w:hideMark/>
          </w:tcPr>
          <w:p w14:paraId="2E7FE274"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R$ 99.030,83</w:t>
            </w:r>
          </w:p>
        </w:tc>
        <w:tc>
          <w:tcPr>
            <w:tcW w:w="0" w:type="auto"/>
            <w:vAlign w:val="center"/>
            <w:hideMark/>
          </w:tcPr>
          <w:p w14:paraId="7B1F3F7F"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R$ 1.188.370,00</w:t>
            </w:r>
          </w:p>
        </w:tc>
      </w:tr>
      <w:tr w:rsidR="00CF7ABE" w:rsidRPr="00B74E01" w14:paraId="252864B0" w14:textId="77777777" w:rsidTr="00671A31">
        <w:trPr>
          <w:tblCellSpacing w:w="15" w:type="dxa"/>
        </w:trPr>
        <w:tc>
          <w:tcPr>
            <w:tcW w:w="0" w:type="auto"/>
            <w:vAlign w:val="center"/>
            <w:hideMark/>
          </w:tcPr>
          <w:p w14:paraId="76AA46E5"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OPEX total revisado</w:t>
            </w:r>
          </w:p>
        </w:tc>
        <w:tc>
          <w:tcPr>
            <w:tcW w:w="0" w:type="auto"/>
            <w:vAlign w:val="center"/>
            <w:hideMark/>
          </w:tcPr>
          <w:p w14:paraId="7D6EC47C"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R$ 318.496,07</w:t>
            </w:r>
          </w:p>
        </w:tc>
        <w:tc>
          <w:tcPr>
            <w:tcW w:w="0" w:type="auto"/>
            <w:vAlign w:val="center"/>
            <w:hideMark/>
          </w:tcPr>
          <w:p w14:paraId="1D74CEA5"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R$ 3.821.952,88</w:t>
            </w:r>
          </w:p>
        </w:tc>
      </w:tr>
    </w:tbl>
    <w:p w14:paraId="19AB7820"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O OPEX foi revisado para considerar apenas os cargos efetivamente ativados na modelagem, excluindo cargos referenciais com número de funcionários igual a zero.</w:t>
      </w:r>
    </w:p>
    <w:p w14:paraId="622C2257"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composição do OPEX deverá ser detalhada em capítulo próprio, com abertura da mão de obra, salários, encargos, adicional noturno, periculosidade, benefícios, manutenção, seguros, assessorias, transporte, alimentação, EPIs e demais despesas recorrentes.</w:t>
      </w:r>
    </w:p>
    <w:p w14:paraId="522E3EB8"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correta apuração do OPEX é fundamental para evitar subdimensionamento da operação, especialmente por se tratar de planta industrial, com exigência de equipe técnica, operação contínua, segurança do trabalho, manutenção, seguros, monitoramento e atendimento a condicionantes ambientais.</w:t>
      </w:r>
    </w:p>
    <w:p w14:paraId="643AFD85" w14:textId="77777777" w:rsidR="00CF7ABE" w:rsidRPr="00B74E01" w:rsidRDefault="00CF7ABE" w:rsidP="00962262">
      <w:pPr>
        <w:pStyle w:val="Ttulo2"/>
        <w:rPr>
          <w:rFonts w:eastAsia="Times New Roman"/>
          <w:lang w:eastAsia="pt-BR"/>
        </w:rPr>
      </w:pPr>
      <w:bookmarkStart w:id="50" w:name="_Toc230204052"/>
      <w:r w:rsidRPr="00B74E01">
        <w:rPr>
          <w:rFonts w:eastAsia="Times New Roman"/>
          <w:lang w:eastAsia="pt-BR"/>
        </w:rPr>
        <w:t>6.6. Premissas tributárias</w:t>
      </w:r>
      <w:bookmarkEnd w:id="50"/>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884"/>
        <w:gridCol w:w="5177"/>
      </w:tblGrid>
      <w:tr w:rsidR="00CF7ABE" w:rsidRPr="00B74E01" w14:paraId="6B9100F3" w14:textId="77777777" w:rsidTr="00671A31">
        <w:trPr>
          <w:tblHeader/>
          <w:tblCellSpacing w:w="15" w:type="dxa"/>
        </w:trPr>
        <w:tc>
          <w:tcPr>
            <w:tcW w:w="0" w:type="auto"/>
            <w:vAlign w:val="center"/>
            <w:hideMark/>
          </w:tcPr>
          <w:p w14:paraId="461CD246" w14:textId="77777777" w:rsidR="00CF7ABE" w:rsidRPr="00B74E01" w:rsidRDefault="00CF7ABE" w:rsidP="00962262">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Tributo / regime</w:t>
            </w:r>
          </w:p>
        </w:tc>
        <w:tc>
          <w:tcPr>
            <w:tcW w:w="0" w:type="auto"/>
            <w:vAlign w:val="center"/>
            <w:hideMark/>
          </w:tcPr>
          <w:p w14:paraId="5ABBA40A" w14:textId="77777777" w:rsidR="00CF7ABE" w:rsidRPr="00B74E01" w:rsidRDefault="00CF7ABE" w:rsidP="00962262">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Premissa adotada</w:t>
            </w:r>
          </w:p>
        </w:tc>
      </w:tr>
      <w:tr w:rsidR="00CF7ABE" w:rsidRPr="00B74E01" w14:paraId="69CA9B6C" w14:textId="77777777" w:rsidTr="00671A31">
        <w:trPr>
          <w:tblCellSpacing w:w="15" w:type="dxa"/>
        </w:trPr>
        <w:tc>
          <w:tcPr>
            <w:tcW w:w="0" w:type="auto"/>
            <w:vAlign w:val="center"/>
            <w:hideMark/>
          </w:tcPr>
          <w:p w14:paraId="34DE6B01"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Regime tributário-base</w:t>
            </w:r>
          </w:p>
        </w:tc>
        <w:tc>
          <w:tcPr>
            <w:tcW w:w="0" w:type="auto"/>
            <w:vAlign w:val="center"/>
            <w:hideMark/>
          </w:tcPr>
          <w:p w14:paraId="53BBE199"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Lucro Real</w:t>
            </w:r>
          </w:p>
        </w:tc>
      </w:tr>
      <w:tr w:rsidR="00CF7ABE" w:rsidRPr="00B74E01" w14:paraId="481E5FF5" w14:textId="77777777" w:rsidTr="00671A31">
        <w:trPr>
          <w:tblCellSpacing w:w="15" w:type="dxa"/>
        </w:trPr>
        <w:tc>
          <w:tcPr>
            <w:tcW w:w="0" w:type="auto"/>
            <w:vAlign w:val="center"/>
            <w:hideMark/>
          </w:tcPr>
          <w:p w14:paraId="1CB96D35"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ISS sobre receitas principais</w:t>
            </w:r>
          </w:p>
        </w:tc>
        <w:tc>
          <w:tcPr>
            <w:tcW w:w="0" w:type="auto"/>
            <w:vAlign w:val="center"/>
            <w:hideMark/>
          </w:tcPr>
          <w:p w14:paraId="109F3E1C"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2%</w:t>
            </w:r>
          </w:p>
        </w:tc>
      </w:tr>
      <w:tr w:rsidR="00CF7ABE" w:rsidRPr="00B74E01" w14:paraId="02302637" w14:textId="77777777" w:rsidTr="00671A31">
        <w:trPr>
          <w:tblCellSpacing w:w="15" w:type="dxa"/>
        </w:trPr>
        <w:tc>
          <w:tcPr>
            <w:tcW w:w="0" w:type="auto"/>
            <w:vAlign w:val="center"/>
            <w:hideMark/>
          </w:tcPr>
          <w:p w14:paraId="50542527"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PIS/COFINS não cumulativo</w:t>
            </w:r>
          </w:p>
        </w:tc>
        <w:tc>
          <w:tcPr>
            <w:tcW w:w="0" w:type="auto"/>
            <w:vAlign w:val="center"/>
            <w:hideMark/>
          </w:tcPr>
          <w:p w14:paraId="47221944"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9,25%</w:t>
            </w:r>
          </w:p>
        </w:tc>
      </w:tr>
      <w:tr w:rsidR="00CF7ABE" w:rsidRPr="00B74E01" w14:paraId="22DB6A5B" w14:textId="77777777" w:rsidTr="00671A31">
        <w:trPr>
          <w:tblCellSpacing w:w="15" w:type="dxa"/>
        </w:trPr>
        <w:tc>
          <w:tcPr>
            <w:tcW w:w="0" w:type="auto"/>
            <w:vAlign w:val="center"/>
            <w:hideMark/>
          </w:tcPr>
          <w:p w14:paraId="0C36BDA9"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lastRenderedPageBreak/>
              <w:t>Créditos de PIS/COFINS</w:t>
            </w:r>
          </w:p>
        </w:tc>
        <w:tc>
          <w:tcPr>
            <w:tcW w:w="0" w:type="auto"/>
            <w:vAlign w:val="center"/>
            <w:hideMark/>
          </w:tcPr>
          <w:p w14:paraId="2B16C049"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Considerados de forma estimada na receita principal</w:t>
            </w:r>
          </w:p>
        </w:tc>
      </w:tr>
      <w:tr w:rsidR="00CF7ABE" w:rsidRPr="00B74E01" w14:paraId="1F784C11" w14:textId="77777777" w:rsidTr="00671A31">
        <w:trPr>
          <w:tblCellSpacing w:w="15" w:type="dxa"/>
        </w:trPr>
        <w:tc>
          <w:tcPr>
            <w:tcW w:w="0" w:type="auto"/>
            <w:vAlign w:val="center"/>
            <w:hideMark/>
          </w:tcPr>
          <w:p w14:paraId="568BF857"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PIS/COFINS sobre receitas acessórias</w:t>
            </w:r>
          </w:p>
        </w:tc>
        <w:tc>
          <w:tcPr>
            <w:tcW w:w="0" w:type="auto"/>
            <w:vAlign w:val="center"/>
            <w:hideMark/>
          </w:tcPr>
          <w:p w14:paraId="52C30A8B"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9,25%</w:t>
            </w:r>
          </w:p>
        </w:tc>
      </w:tr>
      <w:tr w:rsidR="00CF7ABE" w:rsidRPr="00B74E01" w14:paraId="752E21B8" w14:textId="77777777" w:rsidTr="00671A31">
        <w:trPr>
          <w:tblCellSpacing w:w="15" w:type="dxa"/>
        </w:trPr>
        <w:tc>
          <w:tcPr>
            <w:tcW w:w="0" w:type="auto"/>
            <w:vAlign w:val="center"/>
            <w:hideMark/>
          </w:tcPr>
          <w:p w14:paraId="650AEC49"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IRPJ/CSLL</w:t>
            </w:r>
          </w:p>
        </w:tc>
        <w:tc>
          <w:tcPr>
            <w:tcW w:w="0" w:type="auto"/>
            <w:vAlign w:val="center"/>
            <w:hideMark/>
          </w:tcPr>
          <w:p w14:paraId="6F178AA0" w14:textId="77777777" w:rsidR="00CF7ABE" w:rsidRPr="00B74E01" w:rsidRDefault="00CF7ABE" w:rsidP="009622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 apurar em DRE fiscal própria</w:t>
            </w:r>
          </w:p>
        </w:tc>
      </w:tr>
    </w:tbl>
    <w:p w14:paraId="05D08AF4"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modelagem adota premissas tributárias gerenciais para fins de avaliação econômico-financeira. O IRPJ e a CSLL deverão ser tratados em etapa contábil-fiscal própria, considerando depreciação, despesas financeiras dedutíveis, compensação de prejuízos fiscais, adições, exclusões e demais ajustes aplicáveis.</w:t>
      </w:r>
    </w:p>
    <w:p w14:paraId="2C6F76E7"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O regime de </w:t>
      </w:r>
      <w:r w:rsidRPr="00B74E01">
        <w:rPr>
          <w:rFonts w:eastAsia="Times New Roman" w:cs="Arial"/>
          <w:b/>
          <w:bCs/>
          <w:kern w:val="0"/>
          <w:lang w:eastAsia="pt-BR"/>
          <w14:ligatures w14:val="none"/>
        </w:rPr>
        <w:t>Lucro Real</w:t>
      </w:r>
      <w:r w:rsidRPr="00B74E01">
        <w:rPr>
          <w:rFonts w:eastAsia="Times New Roman" w:cs="Arial"/>
          <w:kern w:val="0"/>
          <w:lang w:eastAsia="pt-BR"/>
          <w14:ligatures w14:val="none"/>
        </w:rPr>
        <w:t xml:space="preserve"> foi adotado como base por ser compatível com a natureza da SPE, o porte do projeto, a possibilidade de financiamento, a existência de despesas financeiras e a necessidade de apuração mais técnica dos resultados.</w:t>
      </w:r>
    </w:p>
    <w:p w14:paraId="4B31419A"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Na fase licitatória, a estrutura tributária efetiva poderá variar conforme o proponente, sua estrutura societária, regime fiscal aplicável, créditos tributários aproveitáveis e composição final das receitas. Por isso, as premissas tributárias devem ser tratadas como base de modelagem, não como substituto de planejamento contábil-tributário específico da futura SPE.</w:t>
      </w:r>
    </w:p>
    <w:p w14:paraId="31A1D79B" w14:textId="77777777" w:rsidR="00CF7ABE" w:rsidRPr="00B74E01" w:rsidRDefault="00CF7ABE" w:rsidP="00376497">
      <w:pPr>
        <w:spacing w:before="100" w:beforeAutospacing="1" w:after="100" w:afterAutospacing="1" w:line="360" w:lineRule="auto"/>
        <w:outlineLvl w:val="1"/>
        <w:rPr>
          <w:rFonts w:eastAsia="Times New Roman" w:cs="Arial"/>
          <w:b/>
          <w:bCs/>
          <w:kern w:val="0"/>
          <w:lang w:eastAsia="pt-BR"/>
          <w14:ligatures w14:val="none"/>
        </w:rPr>
      </w:pPr>
      <w:bookmarkStart w:id="51" w:name="_Toc230204053"/>
      <w:r w:rsidRPr="00B74E01">
        <w:rPr>
          <w:rFonts w:eastAsia="Times New Roman" w:cs="Arial"/>
          <w:b/>
          <w:bCs/>
          <w:kern w:val="0"/>
          <w:lang w:eastAsia="pt-BR"/>
          <w14:ligatures w14:val="none"/>
        </w:rPr>
        <w:t>6.7. Premissas de financiamento</w:t>
      </w:r>
      <w:bookmarkEnd w:id="51"/>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064"/>
        <w:gridCol w:w="3690"/>
      </w:tblGrid>
      <w:tr w:rsidR="00CF7ABE" w:rsidRPr="00B74E01" w14:paraId="2D6A83C6" w14:textId="77777777">
        <w:trPr>
          <w:tblHeader/>
          <w:tblCellSpacing w:w="15" w:type="dxa"/>
        </w:trPr>
        <w:tc>
          <w:tcPr>
            <w:tcW w:w="0" w:type="auto"/>
            <w:vAlign w:val="center"/>
            <w:hideMark/>
          </w:tcPr>
          <w:p w14:paraId="28D931D9" w14:textId="77777777" w:rsidR="00CF7ABE" w:rsidRPr="00B74E01" w:rsidRDefault="00CF7ABE" w:rsidP="00376497">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Premissa financeira</w:t>
            </w:r>
          </w:p>
        </w:tc>
        <w:tc>
          <w:tcPr>
            <w:tcW w:w="0" w:type="auto"/>
            <w:vAlign w:val="center"/>
            <w:hideMark/>
          </w:tcPr>
          <w:p w14:paraId="2F5A11D2" w14:textId="77777777" w:rsidR="00CF7ABE" w:rsidRPr="00B74E01" w:rsidRDefault="00CF7ABE" w:rsidP="00376497">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w:t>
            </w:r>
          </w:p>
        </w:tc>
      </w:tr>
      <w:tr w:rsidR="00CF7ABE" w:rsidRPr="00B74E01" w14:paraId="0D41EBD2" w14:textId="77777777">
        <w:trPr>
          <w:tblCellSpacing w:w="15" w:type="dxa"/>
        </w:trPr>
        <w:tc>
          <w:tcPr>
            <w:tcW w:w="0" w:type="auto"/>
            <w:vAlign w:val="center"/>
            <w:hideMark/>
          </w:tcPr>
          <w:p w14:paraId="6A4E1EA4" w14:textId="77777777" w:rsidR="00CF7ABE" w:rsidRPr="00B74E01" w:rsidRDefault="00CF7ABE" w:rsidP="0037649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Linha referencial</w:t>
            </w:r>
          </w:p>
        </w:tc>
        <w:tc>
          <w:tcPr>
            <w:tcW w:w="0" w:type="auto"/>
            <w:vAlign w:val="center"/>
            <w:hideMark/>
          </w:tcPr>
          <w:p w14:paraId="51FA6001" w14:textId="77777777" w:rsidR="00CF7ABE" w:rsidRPr="00B74E01" w:rsidRDefault="00CF7ABE" w:rsidP="00376497">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FNE Verde / Banco do Nordeste</w:t>
            </w:r>
          </w:p>
        </w:tc>
      </w:tr>
      <w:tr w:rsidR="00CF7ABE" w:rsidRPr="00B74E01" w14:paraId="49AFCC0B" w14:textId="77777777">
        <w:trPr>
          <w:tblCellSpacing w:w="15" w:type="dxa"/>
        </w:trPr>
        <w:tc>
          <w:tcPr>
            <w:tcW w:w="0" w:type="auto"/>
            <w:vAlign w:val="center"/>
            <w:hideMark/>
          </w:tcPr>
          <w:p w14:paraId="35008885" w14:textId="77777777" w:rsidR="00CF7ABE" w:rsidRPr="00B74E01" w:rsidRDefault="00CF7ABE" w:rsidP="0037649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Percentual financiado na modelagem</w:t>
            </w:r>
          </w:p>
        </w:tc>
        <w:tc>
          <w:tcPr>
            <w:tcW w:w="0" w:type="auto"/>
            <w:vAlign w:val="center"/>
            <w:hideMark/>
          </w:tcPr>
          <w:p w14:paraId="708216C1" w14:textId="77777777" w:rsidR="00CF7ABE" w:rsidRPr="00B74E01" w:rsidRDefault="00CF7ABE" w:rsidP="00376497">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100%</w:t>
            </w:r>
          </w:p>
        </w:tc>
      </w:tr>
      <w:tr w:rsidR="00CF7ABE" w:rsidRPr="00B74E01" w14:paraId="5C46EF4E" w14:textId="77777777">
        <w:trPr>
          <w:tblCellSpacing w:w="15" w:type="dxa"/>
        </w:trPr>
        <w:tc>
          <w:tcPr>
            <w:tcW w:w="0" w:type="auto"/>
            <w:vAlign w:val="center"/>
            <w:hideMark/>
          </w:tcPr>
          <w:p w14:paraId="7833AB6B" w14:textId="77777777" w:rsidR="00CF7ABE" w:rsidRPr="00B74E01" w:rsidRDefault="00CF7ABE" w:rsidP="0037649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Saldo financiado estimado</w:t>
            </w:r>
          </w:p>
        </w:tc>
        <w:tc>
          <w:tcPr>
            <w:tcW w:w="0" w:type="auto"/>
            <w:vAlign w:val="center"/>
            <w:hideMark/>
          </w:tcPr>
          <w:p w14:paraId="71441783" w14:textId="77777777" w:rsidR="00CF7ABE" w:rsidRPr="00B74E01" w:rsidRDefault="00CF7ABE" w:rsidP="00376497">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R$ 32.269.873,38</w:t>
            </w:r>
          </w:p>
        </w:tc>
      </w:tr>
      <w:tr w:rsidR="00CF7ABE" w:rsidRPr="00B74E01" w14:paraId="14FDC8F6" w14:textId="77777777">
        <w:trPr>
          <w:tblCellSpacing w:w="15" w:type="dxa"/>
        </w:trPr>
        <w:tc>
          <w:tcPr>
            <w:tcW w:w="0" w:type="auto"/>
            <w:vAlign w:val="center"/>
            <w:hideMark/>
          </w:tcPr>
          <w:p w14:paraId="285760C6" w14:textId="77777777" w:rsidR="00CF7ABE" w:rsidRPr="00B74E01" w:rsidRDefault="00CF7ABE" w:rsidP="0037649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Taxa prudencial</w:t>
            </w:r>
          </w:p>
        </w:tc>
        <w:tc>
          <w:tcPr>
            <w:tcW w:w="0" w:type="auto"/>
            <w:vAlign w:val="center"/>
            <w:hideMark/>
          </w:tcPr>
          <w:p w14:paraId="3B2852D0" w14:textId="77777777" w:rsidR="00CF7ABE" w:rsidRPr="00B74E01" w:rsidRDefault="00CF7ABE" w:rsidP="00376497">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10% a.a.</w:t>
            </w:r>
          </w:p>
        </w:tc>
      </w:tr>
      <w:tr w:rsidR="00CF7ABE" w:rsidRPr="00B74E01" w14:paraId="336CCF2D" w14:textId="77777777">
        <w:trPr>
          <w:tblCellSpacing w:w="15" w:type="dxa"/>
        </w:trPr>
        <w:tc>
          <w:tcPr>
            <w:tcW w:w="0" w:type="auto"/>
            <w:vAlign w:val="center"/>
            <w:hideMark/>
          </w:tcPr>
          <w:p w14:paraId="67133F36" w14:textId="77777777" w:rsidR="00CF7ABE" w:rsidRPr="00B74E01" w:rsidRDefault="00CF7ABE" w:rsidP="0037649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Taxa mensal equivalente</w:t>
            </w:r>
          </w:p>
        </w:tc>
        <w:tc>
          <w:tcPr>
            <w:tcW w:w="0" w:type="auto"/>
            <w:vAlign w:val="center"/>
            <w:hideMark/>
          </w:tcPr>
          <w:p w14:paraId="686CDD25" w14:textId="77777777" w:rsidR="00CF7ABE" w:rsidRPr="00B74E01" w:rsidRDefault="00CF7ABE" w:rsidP="00376497">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0,7974% a.m.</w:t>
            </w:r>
          </w:p>
        </w:tc>
      </w:tr>
      <w:tr w:rsidR="00CF7ABE" w:rsidRPr="00B74E01" w14:paraId="6CAA6C05" w14:textId="77777777">
        <w:trPr>
          <w:tblCellSpacing w:w="15" w:type="dxa"/>
        </w:trPr>
        <w:tc>
          <w:tcPr>
            <w:tcW w:w="0" w:type="auto"/>
            <w:vAlign w:val="center"/>
            <w:hideMark/>
          </w:tcPr>
          <w:p w14:paraId="7054B90D" w14:textId="77777777" w:rsidR="00CF7ABE" w:rsidRPr="00B74E01" w:rsidRDefault="00CF7ABE" w:rsidP="0037649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Prazo total do financiamento</w:t>
            </w:r>
          </w:p>
        </w:tc>
        <w:tc>
          <w:tcPr>
            <w:tcW w:w="0" w:type="auto"/>
            <w:vAlign w:val="center"/>
            <w:hideMark/>
          </w:tcPr>
          <w:p w14:paraId="7D4C2167" w14:textId="77777777" w:rsidR="00CF7ABE" w:rsidRPr="00B74E01" w:rsidRDefault="00CF7ABE" w:rsidP="00376497">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34 anos</w:t>
            </w:r>
          </w:p>
        </w:tc>
      </w:tr>
      <w:tr w:rsidR="00CF7ABE" w:rsidRPr="00B74E01" w14:paraId="69515AD8" w14:textId="77777777">
        <w:trPr>
          <w:tblCellSpacing w:w="15" w:type="dxa"/>
        </w:trPr>
        <w:tc>
          <w:tcPr>
            <w:tcW w:w="0" w:type="auto"/>
            <w:vAlign w:val="center"/>
            <w:hideMark/>
          </w:tcPr>
          <w:p w14:paraId="60FEE28B" w14:textId="77777777" w:rsidR="00CF7ABE" w:rsidRPr="00B74E01" w:rsidRDefault="00CF7ABE" w:rsidP="0037649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Carência</w:t>
            </w:r>
          </w:p>
        </w:tc>
        <w:tc>
          <w:tcPr>
            <w:tcW w:w="0" w:type="auto"/>
            <w:vAlign w:val="center"/>
            <w:hideMark/>
          </w:tcPr>
          <w:p w14:paraId="2D45C989" w14:textId="77777777" w:rsidR="00CF7ABE" w:rsidRPr="00B74E01" w:rsidRDefault="00CF7ABE" w:rsidP="00376497">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8 anos</w:t>
            </w:r>
          </w:p>
        </w:tc>
      </w:tr>
      <w:tr w:rsidR="00CF7ABE" w:rsidRPr="00B74E01" w14:paraId="59B4ECD0" w14:textId="77777777">
        <w:trPr>
          <w:tblCellSpacing w:w="15" w:type="dxa"/>
        </w:trPr>
        <w:tc>
          <w:tcPr>
            <w:tcW w:w="0" w:type="auto"/>
            <w:vAlign w:val="center"/>
            <w:hideMark/>
          </w:tcPr>
          <w:p w14:paraId="7116F4A5" w14:textId="77777777" w:rsidR="00CF7ABE" w:rsidRPr="00B74E01" w:rsidRDefault="00CF7ABE" w:rsidP="0037649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lastRenderedPageBreak/>
              <w:t>Amortização</w:t>
            </w:r>
          </w:p>
        </w:tc>
        <w:tc>
          <w:tcPr>
            <w:tcW w:w="0" w:type="auto"/>
            <w:vAlign w:val="center"/>
            <w:hideMark/>
          </w:tcPr>
          <w:p w14:paraId="18B45887" w14:textId="77777777" w:rsidR="00CF7ABE" w:rsidRPr="00B74E01" w:rsidRDefault="00CF7ABE" w:rsidP="00376497">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26 anos / 312 meses</w:t>
            </w:r>
          </w:p>
        </w:tc>
      </w:tr>
      <w:tr w:rsidR="00CF7ABE" w:rsidRPr="00B74E01" w14:paraId="3B76F53B" w14:textId="77777777">
        <w:trPr>
          <w:tblCellSpacing w:w="15" w:type="dxa"/>
        </w:trPr>
        <w:tc>
          <w:tcPr>
            <w:tcW w:w="0" w:type="auto"/>
            <w:vAlign w:val="center"/>
            <w:hideMark/>
          </w:tcPr>
          <w:p w14:paraId="0CEDC321" w14:textId="77777777" w:rsidR="00CF7ABE" w:rsidRPr="00B74E01" w:rsidRDefault="00CF7ABE" w:rsidP="0037649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Sistema de amortização</w:t>
            </w:r>
          </w:p>
        </w:tc>
        <w:tc>
          <w:tcPr>
            <w:tcW w:w="0" w:type="auto"/>
            <w:vAlign w:val="center"/>
            <w:hideMark/>
          </w:tcPr>
          <w:p w14:paraId="18637B1E" w14:textId="77777777" w:rsidR="00CF7ABE" w:rsidRPr="00B74E01" w:rsidRDefault="00CF7ABE" w:rsidP="00376497">
            <w:pPr>
              <w:spacing w:after="0" w:line="360" w:lineRule="auto"/>
              <w:rPr>
                <w:rFonts w:eastAsia="Times New Roman" w:cs="Arial"/>
                <w:kern w:val="0"/>
                <w:lang w:eastAsia="pt-BR"/>
                <w14:ligatures w14:val="none"/>
              </w:rPr>
            </w:pPr>
            <w:proofErr w:type="spellStart"/>
            <w:r w:rsidRPr="00B74E01">
              <w:rPr>
                <w:rFonts w:eastAsia="Times New Roman" w:cs="Arial"/>
                <w:b/>
                <w:bCs/>
                <w:kern w:val="0"/>
                <w:lang w:eastAsia="pt-BR"/>
                <w14:ligatures w14:val="none"/>
              </w:rPr>
              <w:t>Price</w:t>
            </w:r>
            <w:proofErr w:type="spellEnd"/>
          </w:p>
        </w:tc>
      </w:tr>
      <w:tr w:rsidR="00CF7ABE" w:rsidRPr="00B74E01" w14:paraId="0BB1A836" w14:textId="77777777">
        <w:trPr>
          <w:tblCellSpacing w:w="15" w:type="dxa"/>
        </w:trPr>
        <w:tc>
          <w:tcPr>
            <w:tcW w:w="0" w:type="auto"/>
            <w:vAlign w:val="center"/>
            <w:hideMark/>
          </w:tcPr>
          <w:p w14:paraId="5DAAAF46" w14:textId="77777777" w:rsidR="00CF7ABE" w:rsidRPr="00B74E01" w:rsidRDefault="00CF7ABE" w:rsidP="0037649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Serviço mensal da dívida na carência</w:t>
            </w:r>
          </w:p>
        </w:tc>
        <w:tc>
          <w:tcPr>
            <w:tcW w:w="0" w:type="auto"/>
            <w:vAlign w:val="center"/>
            <w:hideMark/>
          </w:tcPr>
          <w:p w14:paraId="7812FE45" w14:textId="77777777" w:rsidR="00CF7ABE" w:rsidRPr="00B74E01" w:rsidRDefault="00CF7ABE" w:rsidP="00376497">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R$ 257.324,50</w:t>
            </w:r>
          </w:p>
        </w:tc>
      </w:tr>
      <w:tr w:rsidR="00CF7ABE" w:rsidRPr="00B74E01" w14:paraId="7F2E5D70" w14:textId="77777777">
        <w:trPr>
          <w:tblCellSpacing w:w="15" w:type="dxa"/>
        </w:trPr>
        <w:tc>
          <w:tcPr>
            <w:tcW w:w="0" w:type="auto"/>
            <w:vAlign w:val="center"/>
            <w:hideMark/>
          </w:tcPr>
          <w:p w14:paraId="398EDEEF" w14:textId="77777777" w:rsidR="00CF7ABE" w:rsidRPr="00B74E01" w:rsidRDefault="00CF7ABE" w:rsidP="0037649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Serviço mensal após carência</w:t>
            </w:r>
          </w:p>
        </w:tc>
        <w:tc>
          <w:tcPr>
            <w:tcW w:w="0" w:type="auto"/>
            <w:vAlign w:val="center"/>
            <w:hideMark/>
          </w:tcPr>
          <w:p w14:paraId="390B3CF5" w14:textId="77777777" w:rsidR="00CF7ABE" w:rsidRPr="00B74E01" w:rsidRDefault="00CF7ABE" w:rsidP="00376497">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R$ 280.892,95</w:t>
            </w:r>
          </w:p>
        </w:tc>
      </w:tr>
    </w:tbl>
    <w:p w14:paraId="30C39B1B"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 adoção do </w:t>
      </w:r>
      <w:r w:rsidRPr="00B74E01">
        <w:rPr>
          <w:rFonts w:eastAsia="Times New Roman" w:cs="Arial"/>
          <w:b/>
          <w:bCs/>
          <w:kern w:val="0"/>
          <w:lang w:eastAsia="pt-BR"/>
          <w14:ligatures w14:val="none"/>
        </w:rPr>
        <w:t>FNE Verde / Banco do Nordeste</w:t>
      </w:r>
      <w:r w:rsidRPr="00B74E01">
        <w:rPr>
          <w:rFonts w:eastAsia="Times New Roman" w:cs="Arial"/>
          <w:kern w:val="0"/>
          <w:lang w:eastAsia="pt-BR"/>
          <w14:ligatures w14:val="none"/>
        </w:rPr>
        <w:t xml:space="preserve"> como linha referencial decorre da aderência territorial, ambiental, energética e de desenvolvimento regional do projeto.</w:t>
      </w:r>
    </w:p>
    <w:p w14:paraId="5B2239BE"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O percentual de financiamento de </w:t>
      </w:r>
      <w:r w:rsidRPr="00B74E01">
        <w:rPr>
          <w:rFonts w:eastAsia="Times New Roman" w:cs="Arial"/>
          <w:b/>
          <w:bCs/>
          <w:kern w:val="0"/>
          <w:lang w:eastAsia="pt-BR"/>
          <w14:ligatures w14:val="none"/>
        </w:rPr>
        <w:t>100%</w:t>
      </w:r>
      <w:r w:rsidRPr="00B74E01">
        <w:rPr>
          <w:rFonts w:eastAsia="Times New Roman" w:cs="Arial"/>
          <w:kern w:val="0"/>
          <w:lang w:eastAsia="pt-BR"/>
          <w14:ligatures w14:val="none"/>
        </w:rPr>
        <w:t xml:space="preserve"> é premissa de modelagem, e não garantia de aprovação bancária. Na licitação, os proponentes poderão estruturar financiamento próprio, utilizar capital próprio, financiamento parcial, fontes combinadas, BNDES, debêntures, fundos climáticos ou outras estruturas compatíveis com o edital e com a legislação aplicável.</w:t>
      </w:r>
    </w:p>
    <w:p w14:paraId="4B0E0D2F"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 taxa de </w:t>
      </w:r>
      <w:r w:rsidRPr="00B74E01">
        <w:rPr>
          <w:rFonts w:eastAsia="Times New Roman" w:cs="Arial"/>
          <w:b/>
          <w:bCs/>
          <w:kern w:val="0"/>
          <w:lang w:eastAsia="pt-BR"/>
          <w14:ligatures w14:val="none"/>
        </w:rPr>
        <w:t>10% a.a.</w:t>
      </w:r>
      <w:r w:rsidRPr="00B74E01">
        <w:rPr>
          <w:rFonts w:eastAsia="Times New Roman" w:cs="Arial"/>
          <w:kern w:val="0"/>
          <w:lang w:eastAsia="pt-BR"/>
          <w14:ligatures w14:val="none"/>
        </w:rPr>
        <w:t xml:space="preserve"> deve ser tratada como premissa prudencial até que haja simulação formal ou proposta financeira efetiva. O caderno não afirma que essa será a taxa final aplicável ao projeto, mas a utiliza como parâmetro de stress moderado e de avaliação preliminar da capacidade de pagamento.</w:t>
      </w:r>
    </w:p>
    <w:p w14:paraId="641140A1" w14:textId="77777777" w:rsidR="00CF7ABE" w:rsidRPr="00B74E01" w:rsidRDefault="00CF7ABE" w:rsidP="00376497">
      <w:pPr>
        <w:pStyle w:val="Ttulo2"/>
        <w:rPr>
          <w:rFonts w:eastAsia="Times New Roman"/>
          <w:lang w:eastAsia="pt-BR"/>
        </w:rPr>
      </w:pPr>
      <w:bookmarkStart w:id="52" w:name="_Toc230204054"/>
      <w:r w:rsidRPr="00B74E01">
        <w:rPr>
          <w:rFonts w:eastAsia="Times New Roman"/>
          <w:lang w:eastAsia="pt-BR"/>
        </w:rPr>
        <w:t>6.8. Premissas de receitas acessórias</w:t>
      </w:r>
      <w:bookmarkEnd w:id="52"/>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284"/>
        <w:gridCol w:w="2254"/>
        <w:gridCol w:w="2069"/>
      </w:tblGrid>
      <w:tr w:rsidR="00CF7ABE" w:rsidRPr="00B74E01" w14:paraId="3B27A7CB" w14:textId="77777777" w:rsidTr="00671A31">
        <w:trPr>
          <w:tblHeader/>
          <w:tblCellSpacing w:w="15" w:type="dxa"/>
        </w:trPr>
        <w:tc>
          <w:tcPr>
            <w:tcW w:w="0" w:type="auto"/>
            <w:vAlign w:val="center"/>
            <w:hideMark/>
          </w:tcPr>
          <w:p w14:paraId="04E94951" w14:textId="77777777" w:rsidR="00CF7ABE" w:rsidRPr="00B74E01" w:rsidRDefault="00CF7ABE" w:rsidP="00376497">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Receita acessória</w:t>
            </w:r>
          </w:p>
        </w:tc>
        <w:tc>
          <w:tcPr>
            <w:tcW w:w="0" w:type="auto"/>
            <w:vAlign w:val="center"/>
            <w:hideMark/>
          </w:tcPr>
          <w:p w14:paraId="04AE6054" w14:textId="77777777" w:rsidR="00CF7ABE" w:rsidRPr="00B74E01" w:rsidRDefault="00CF7ABE" w:rsidP="00376497">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 mensal bruto</w:t>
            </w:r>
          </w:p>
        </w:tc>
        <w:tc>
          <w:tcPr>
            <w:tcW w:w="0" w:type="auto"/>
            <w:vAlign w:val="center"/>
            <w:hideMark/>
          </w:tcPr>
          <w:p w14:paraId="30B216F6" w14:textId="77777777" w:rsidR="00CF7ABE" w:rsidRPr="00B74E01" w:rsidRDefault="00CF7ABE" w:rsidP="00376497">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 anual bruto</w:t>
            </w:r>
          </w:p>
        </w:tc>
      </w:tr>
      <w:tr w:rsidR="00CF7ABE" w:rsidRPr="00B74E01" w14:paraId="7C56BAA8" w14:textId="77777777" w:rsidTr="00671A31">
        <w:trPr>
          <w:tblCellSpacing w:w="15" w:type="dxa"/>
        </w:trPr>
        <w:tc>
          <w:tcPr>
            <w:tcW w:w="0" w:type="auto"/>
            <w:vAlign w:val="center"/>
            <w:hideMark/>
          </w:tcPr>
          <w:p w14:paraId="7B5CFB12" w14:textId="77777777" w:rsidR="00CF7ABE" w:rsidRPr="00B74E01" w:rsidRDefault="00CF7ABE" w:rsidP="00376497">
            <w:pPr>
              <w:spacing w:after="0" w:line="360" w:lineRule="auto"/>
              <w:rPr>
                <w:rFonts w:eastAsia="Times New Roman" w:cs="Arial"/>
                <w:kern w:val="0"/>
                <w:lang w:eastAsia="pt-BR"/>
                <w14:ligatures w14:val="none"/>
              </w:rPr>
            </w:pPr>
            <w:proofErr w:type="spellStart"/>
            <w:r w:rsidRPr="00B74E01">
              <w:rPr>
                <w:rFonts w:eastAsia="Times New Roman" w:cs="Arial"/>
                <w:kern w:val="0"/>
                <w:lang w:eastAsia="pt-BR"/>
                <w14:ligatures w14:val="none"/>
              </w:rPr>
              <w:t>Biochar</w:t>
            </w:r>
            <w:proofErr w:type="spellEnd"/>
            <w:r w:rsidRPr="00B74E01">
              <w:rPr>
                <w:rFonts w:eastAsia="Times New Roman" w:cs="Arial"/>
                <w:kern w:val="0"/>
                <w:lang w:eastAsia="pt-BR"/>
                <w14:ligatures w14:val="none"/>
              </w:rPr>
              <w:t xml:space="preserve"> / material carbonáceo</w:t>
            </w:r>
          </w:p>
        </w:tc>
        <w:tc>
          <w:tcPr>
            <w:tcW w:w="0" w:type="auto"/>
            <w:vAlign w:val="center"/>
            <w:hideMark/>
          </w:tcPr>
          <w:p w14:paraId="3918EA0F" w14:textId="77777777" w:rsidR="00CF7ABE" w:rsidRPr="00B74E01" w:rsidRDefault="00CF7ABE" w:rsidP="00376497">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R$ 315.604,17</w:t>
            </w:r>
          </w:p>
        </w:tc>
        <w:tc>
          <w:tcPr>
            <w:tcW w:w="0" w:type="auto"/>
            <w:vAlign w:val="center"/>
            <w:hideMark/>
          </w:tcPr>
          <w:p w14:paraId="0BD8197E" w14:textId="77777777" w:rsidR="00CF7ABE" w:rsidRPr="00B74E01" w:rsidRDefault="00CF7ABE" w:rsidP="00376497">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R$ 3.787.250,00</w:t>
            </w:r>
          </w:p>
        </w:tc>
      </w:tr>
      <w:tr w:rsidR="00CF7ABE" w:rsidRPr="00B74E01" w14:paraId="0373B4A7" w14:textId="77777777" w:rsidTr="00671A31">
        <w:trPr>
          <w:tblCellSpacing w:w="15" w:type="dxa"/>
        </w:trPr>
        <w:tc>
          <w:tcPr>
            <w:tcW w:w="0" w:type="auto"/>
            <w:vAlign w:val="center"/>
            <w:hideMark/>
          </w:tcPr>
          <w:p w14:paraId="2643AE9A" w14:textId="77777777" w:rsidR="00CF7ABE" w:rsidRPr="00B74E01" w:rsidRDefault="00CF7ABE" w:rsidP="0037649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 xml:space="preserve">Óleo </w:t>
            </w:r>
            <w:proofErr w:type="spellStart"/>
            <w:r w:rsidRPr="00B74E01">
              <w:rPr>
                <w:rFonts w:eastAsia="Times New Roman" w:cs="Arial"/>
                <w:kern w:val="0"/>
                <w:lang w:eastAsia="pt-BR"/>
                <w14:ligatures w14:val="none"/>
              </w:rPr>
              <w:t>pirolítico</w:t>
            </w:r>
            <w:proofErr w:type="spellEnd"/>
            <w:r w:rsidRPr="00B74E01">
              <w:rPr>
                <w:rFonts w:eastAsia="Times New Roman" w:cs="Arial"/>
                <w:kern w:val="0"/>
                <w:lang w:eastAsia="pt-BR"/>
                <w14:ligatures w14:val="none"/>
              </w:rPr>
              <w:t xml:space="preserve"> / extrato líquido</w:t>
            </w:r>
          </w:p>
        </w:tc>
        <w:tc>
          <w:tcPr>
            <w:tcW w:w="0" w:type="auto"/>
            <w:vAlign w:val="center"/>
            <w:hideMark/>
          </w:tcPr>
          <w:p w14:paraId="0D8E0F42" w14:textId="77777777" w:rsidR="00CF7ABE" w:rsidRPr="00B74E01" w:rsidRDefault="00CF7ABE" w:rsidP="00376497">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R$ 340.818,75</w:t>
            </w:r>
          </w:p>
        </w:tc>
        <w:tc>
          <w:tcPr>
            <w:tcW w:w="0" w:type="auto"/>
            <w:vAlign w:val="center"/>
            <w:hideMark/>
          </w:tcPr>
          <w:p w14:paraId="1DEC0B21" w14:textId="77777777" w:rsidR="00CF7ABE" w:rsidRPr="00B74E01" w:rsidRDefault="00CF7ABE" w:rsidP="00376497">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R$ 4.089.825,00</w:t>
            </w:r>
          </w:p>
        </w:tc>
      </w:tr>
      <w:tr w:rsidR="00CF7ABE" w:rsidRPr="00B74E01" w14:paraId="02FF2C8F" w14:textId="77777777" w:rsidTr="00671A31">
        <w:trPr>
          <w:tblCellSpacing w:w="15" w:type="dxa"/>
        </w:trPr>
        <w:tc>
          <w:tcPr>
            <w:tcW w:w="0" w:type="auto"/>
            <w:vAlign w:val="center"/>
            <w:hideMark/>
          </w:tcPr>
          <w:p w14:paraId="08E61EF9" w14:textId="77777777" w:rsidR="00CF7ABE" w:rsidRPr="00B74E01" w:rsidRDefault="00CF7ABE" w:rsidP="0037649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Créditos de carbono</w:t>
            </w:r>
          </w:p>
        </w:tc>
        <w:tc>
          <w:tcPr>
            <w:tcW w:w="0" w:type="auto"/>
            <w:vAlign w:val="center"/>
            <w:hideMark/>
          </w:tcPr>
          <w:p w14:paraId="7F3EE1B0" w14:textId="77777777" w:rsidR="00CF7ABE" w:rsidRPr="00B74E01" w:rsidRDefault="00CF7ABE" w:rsidP="00376497">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R$ 262.800,00</w:t>
            </w:r>
          </w:p>
        </w:tc>
        <w:tc>
          <w:tcPr>
            <w:tcW w:w="0" w:type="auto"/>
            <w:vAlign w:val="center"/>
            <w:hideMark/>
          </w:tcPr>
          <w:p w14:paraId="2A6515B9" w14:textId="77777777" w:rsidR="00CF7ABE" w:rsidRPr="00B74E01" w:rsidRDefault="00CF7ABE" w:rsidP="00376497">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R$ 3.153.600,00</w:t>
            </w:r>
          </w:p>
        </w:tc>
      </w:tr>
      <w:tr w:rsidR="00CF7ABE" w:rsidRPr="00B74E01" w14:paraId="54BCF7E4" w14:textId="77777777" w:rsidTr="00671A31">
        <w:trPr>
          <w:tblCellSpacing w:w="15" w:type="dxa"/>
        </w:trPr>
        <w:tc>
          <w:tcPr>
            <w:tcW w:w="0" w:type="auto"/>
            <w:vAlign w:val="center"/>
            <w:hideMark/>
          </w:tcPr>
          <w:p w14:paraId="125D0EF8" w14:textId="77777777" w:rsidR="00CF7ABE" w:rsidRPr="00B74E01" w:rsidRDefault="00CF7ABE" w:rsidP="00376497">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Total bruto potencial</w:t>
            </w:r>
          </w:p>
        </w:tc>
        <w:tc>
          <w:tcPr>
            <w:tcW w:w="0" w:type="auto"/>
            <w:vAlign w:val="center"/>
            <w:hideMark/>
          </w:tcPr>
          <w:p w14:paraId="1713E93C" w14:textId="77777777" w:rsidR="00CF7ABE" w:rsidRPr="00B74E01" w:rsidRDefault="00CF7ABE" w:rsidP="00376497">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R$ 919.222,92</w:t>
            </w:r>
          </w:p>
        </w:tc>
        <w:tc>
          <w:tcPr>
            <w:tcW w:w="0" w:type="auto"/>
            <w:vAlign w:val="center"/>
            <w:hideMark/>
          </w:tcPr>
          <w:p w14:paraId="71E7628F" w14:textId="77777777" w:rsidR="00CF7ABE" w:rsidRPr="00B74E01" w:rsidRDefault="00CF7ABE" w:rsidP="00376497">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R$ 11.030.675,00</w:t>
            </w:r>
          </w:p>
        </w:tc>
      </w:tr>
    </w:tbl>
    <w:p w14:paraId="707ECE0D"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As receitas acessórias são tratadas como potenciais econômicos da SPE, sujeitas a validação técnica, comercial, regulatória e ambiental.</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831"/>
        <w:gridCol w:w="1655"/>
        <w:gridCol w:w="2004"/>
      </w:tblGrid>
      <w:tr w:rsidR="00CF7ABE" w:rsidRPr="00B74E01" w14:paraId="1EFAF0EF" w14:textId="77777777" w:rsidTr="00671A31">
        <w:trPr>
          <w:tblHeader/>
          <w:tblCellSpacing w:w="15" w:type="dxa"/>
        </w:trPr>
        <w:tc>
          <w:tcPr>
            <w:tcW w:w="0" w:type="auto"/>
            <w:vAlign w:val="center"/>
            <w:hideMark/>
          </w:tcPr>
          <w:p w14:paraId="4BB3BBF6" w14:textId="77777777" w:rsidR="00CF7ABE" w:rsidRPr="00B74E01" w:rsidRDefault="00CF7ABE" w:rsidP="00376497">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lastRenderedPageBreak/>
              <w:t>Item</w:t>
            </w:r>
          </w:p>
        </w:tc>
        <w:tc>
          <w:tcPr>
            <w:tcW w:w="0" w:type="auto"/>
            <w:vAlign w:val="center"/>
            <w:hideMark/>
          </w:tcPr>
          <w:p w14:paraId="493EB44B" w14:textId="77777777" w:rsidR="00CF7ABE" w:rsidRPr="00B74E01" w:rsidRDefault="00CF7ABE" w:rsidP="00376497">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 mensal</w:t>
            </w:r>
          </w:p>
        </w:tc>
        <w:tc>
          <w:tcPr>
            <w:tcW w:w="0" w:type="auto"/>
            <w:vAlign w:val="center"/>
            <w:hideMark/>
          </w:tcPr>
          <w:p w14:paraId="0597789E" w14:textId="77777777" w:rsidR="00CF7ABE" w:rsidRPr="00B74E01" w:rsidRDefault="00CF7ABE" w:rsidP="00376497">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 anual</w:t>
            </w:r>
          </w:p>
        </w:tc>
      </w:tr>
      <w:tr w:rsidR="00CF7ABE" w:rsidRPr="00B74E01" w14:paraId="32C27076" w14:textId="77777777" w:rsidTr="00671A31">
        <w:trPr>
          <w:tblCellSpacing w:w="15" w:type="dxa"/>
        </w:trPr>
        <w:tc>
          <w:tcPr>
            <w:tcW w:w="0" w:type="auto"/>
            <w:vAlign w:val="center"/>
            <w:hideMark/>
          </w:tcPr>
          <w:p w14:paraId="1BF9C8C2" w14:textId="77777777" w:rsidR="00CF7ABE" w:rsidRPr="00B74E01" w:rsidRDefault="00CF7ABE" w:rsidP="0037649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 acessória bruta potencial</w:t>
            </w:r>
          </w:p>
        </w:tc>
        <w:tc>
          <w:tcPr>
            <w:tcW w:w="0" w:type="auto"/>
            <w:vAlign w:val="center"/>
            <w:hideMark/>
          </w:tcPr>
          <w:p w14:paraId="58977C56" w14:textId="77777777" w:rsidR="00CF7ABE" w:rsidRPr="00B74E01" w:rsidRDefault="00CF7ABE" w:rsidP="00376497">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R$ 919.222,92</w:t>
            </w:r>
          </w:p>
        </w:tc>
        <w:tc>
          <w:tcPr>
            <w:tcW w:w="0" w:type="auto"/>
            <w:vAlign w:val="center"/>
            <w:hideMark/>
          </w:tcPr>
          <w:p w14:paraId="4689E27B" w14:textId="77777777" w:rsidR="00CF7ABE" w:rsidRPr="00B74E01" w:rsidRDefault="00CF7ABE" w:rsidP="00376497">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R$ 11.030.675,00</w:t>
            </w:r>
          </w:p>
        </w:tc>
      </w:tr>
      <w:tr w:rsidR="00CF7ABE" w:rsidRPr="00B74E01" w14:paraId="3B4722E1" w14:textId="77777777" w:rsidTr="00671A31">
        <w:trPr>
          <w:tblCellSpacing w:w="15" w:type="dxa"/>
        </w:trPr>
        <w:tc>
          <w:tcPr>
            <w:tcW w:w="0" w:type="auto"/>
            <w:vAlign w:val="center"/>
            <w:hideMark/>
          </w:tcPr>
          <w:p w14:paraId="6861284B" w14:textId="77777777" w:rsidR="00CF7ABE" w:rsidRPr="00B74E01" w:rsidRDefault="00CF7ABE" w:rsidP="0037649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PIS/COFINS estimado — 9,25%</w:t>
            </w:r>
          </w:p>
        </w:tc>
        <w:tc>
          <w:tcPr>
            <w:tcW w:w="0" w:type="auto"/>
            <w:vAlign w:val="center"/>
            <w:hideMark/>
          </w:tcPr>
          <w:p w14:paraId="7253C5BF" w14:textId="77777777" w:rsidR="00CF7ABE" w:rsidRPr="00B74E01" w:rsidRDefault="00CF7ABE" w:rsidP="00376497">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-R$ 85.028,12</w:t>
            </w:r>
          </w:p>
        </w:tc>
        <w:tc>
          <w:tcPr>
            <w:tcW w:w="0" w:type="auto"/>
            <w:vAlign w:val="center"/>
            <w:hideMark/>
          </w:tcPr>
          <w:p w14:paraId="12D61DEF" w14:textId="77777777" w:rsidR="00CF7ABE" w:rsidRPr="00B74E01" w:rsidRDefault="00CF7ABE" w:rsidP="00376497">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-R$ 1.020.337,44</w:t>
            </w:r>
          </w:p>
        </w:tc>
      </w:tr>
      <w:tr w:rsidR="00CF7ABE" w:rsidRPr="00B74E01" w14:paraId="18C26FD6" w14:textId="77777777" w:rsidTr="00671A31">
        <w:trPr>
          <w:tblCellSpacing w:w="15" w:type="dxa"/>
        </w:trPr>
        <w:tc>
          <w:tcPr>
            <w:tcW w:w="0" w:type="auto"/>
            <w:vAlign w:val="center"/>
            <w:hideMark/>
          </w:tcPr>
          <w:p w14:paraId="3311EF66" w14:textId="77777777" w:rsidR="00CF7ABE" w:rsidRPr="00B74E01" w:rsidRDefault="00CF7ABE" w:rsidP="0037649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 acessória líquida estimada</w:t>
            </w:r>
          </w:p>
        </w:tc>
        <w:tc>
          <w:tcPr>
            <w:tcW w:w="0" w:type="auto"/>
            <w:vAlign w:val="center"/>
            <w:hideMark/>
          </w:tcPr>
          <w:p w14:paraId="5219F7D7" w14:textId="77777777" w:rsidR="00CF7ABE" w:rsidRPr="00B74E01" w:rsidRDefault="00CF7ABE" w:rsidP="00376497">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R$ 834.194,80</w:t>
            </w:r>
          </w:p>
        </w:tc>
        <w:tc>
          <w:tcPr>
            <w:tcW w:w="0" w:type="auto"/>
            <w:vAlign w:val="center"/>
            <w:hideMark/>
          </w:tcPr>
          <w:p w14:paraId="4945E080" w14:textId="77777777" w:rsidR="00CF7ABE" w:rsidRPr="00B74E01" w:rsidRDefault="00CF7ABE" w:rsidP="00376497">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R$ 10.010.337,56</w:t>
            </w:r>
          </w:p>
        </w:tc>
      </w:tr>
      <w:tr w:rsidR="00CF7ABE" w:rsidRPr="00B74E01" w14:paraId="043D7F93" w14:textId="77777777" w:rsidTr="00671A31">
        <w:trPr>
          <w:tblCellSpacing w:w="15" w:type="dxa"/>
        </w:trPr>
        <w:tc>
          <w:tcPr>
            <w:tcW w:w="0" w:type="auto"/>
            <w:vAlign w:val="center"/>
            <w:hideMark/>
          </w:tcPr>
          <w:p w14:paraId="76491657" w14:textId="77777777" w:rsidR="00CF7ABE" w:rsidRPr="00B74E01" w:rsidRDefault="00CF7ABE" w:rsidP="0037649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5% ao Fundo Municipal</w:t>
            </w:r>
          </w:p>
        </w:tc>
        <w:tc>
          <w:tcPr>
            <w:tcW w:w="0" w:type="auto"/>
            <w:vAlign w:val="center"/>
            <w:hideMark/>
          </w:tcPr>
          <w:p w14:paraId="6CEB113F" w14:textId="77777777" w:rsidR="00CF7ABE" w:rsidRPr="00B74E01" w:rsidRDefault="00CF7ABE" w:rsidP="00376497">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-R$ 41.709,74</w:t>
            </w:r>
          </w:p>
        </w:tc>
        <w:tc>
          <w:tcPr>
            <w:tcW w:w="0" w:type="auto"/>
            <w:vAlign w:val="center"/>
            <w:hideMark/>
          </w:tcPr>
          <w:p w14:paraId="110191A7" w14:textId="77777777" w:rsidR="00CF7ABE" w:rsidRPr="00B74E01" w:rsidRDefault="00CF7ABE" w:rsidP="00376497">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-R$ 500.516,88</w:t>
            </w:r>
          </w:p>
        </w:tc>
      </w:tr>
      <w:tr w:rsidR="00CF7ABE" w:rsidRPr="00B74E01" w14:paraId="2AE7A933" w14:textId="77777777" w:rsidTr="00671A31">
        <w:trPr>
          <w:tblCellSpacing w:w="15" w:type="dxa"/>
        </w:trPr>
        <w:tc>
          <w:tcPr>
            <w:tcW w:w="0" w:type="auto"/>
            <w:vAlign w:val="center"/>
            <w:hideMark/>
          </w:tcPr>
          <w:p w14:paraId="4653DDF4" w14:textId="77777777" w:rsidR="00CF7ABE" w:rsidRPr="00B74E01" w:rsidRDefault="00CF7ABE" w:rsidP="0037649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Acréscimo líquido ao caixa da SPE</w:t>
            </w:r>
          </w:p>
        </w:tc>
        <w:tc>
          <w:tcPr>
            <w:tcW w:w="0" w:type="auto"/>
            <w:vAlign w:val="center"/>
            <w:hideMark/>
          </w:tcPr>
          <w:p w14:paraId="1A76B249" w14:textId="77777777" w:rsidR="00CF7ABE" w:rsidRPr="00B74E01" w:rsidRDefault="00CF7ABE" w:rsidP="00376497">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R$ 792.485,06</w:t>
            </w:r>
          </w:p>
        </w:tc>
        <w:tc>
          <w:tcPr>
            <w:tcW w:w="0" w:type="auto"/>
            <w:vAlign w:val="center"/>
            <w:hideMark/>
          </w:tcPr>
          <w:p w14:paraId="56A2496C" w14:textId="77777777" w:rsidR="00CF7ABE" w:rsidRPr="00B74E01" w:rsidRDefault="00CF7ABE" w:rsidP="00376497">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R$ 9.509.820,68</w:t>
            </w:r>
          </w:p>
        </w:tc>
      </w:tr>
    </w:tbl>
    <w:p w14:paraId="1452D1C3"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modelagem não trata receitas acessórias como garantidas. Elas integram o cenário ampliado de atratividade, mas permanecem sujeitas a mercado, qualidade dos subprodutos, laudos, compradores, certificação e demais condicionantes.</w:t>
      </w:r>
    </w:p>
    <w:p w14:paraId="4845DD36"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Receitas adicionais, como recicláveis eventualmente aproveitáveis, poderão ser reconhecidas como potenciais econômicos complementares, desde que demonstradas tecnicamente pelos licitantes e não incorporadas de forma artificial ao cenário-base sem comprovação de volume, qualidade, preço e mercado comprador.</w:t>
      </w:r>
    </w:p>
    <w:p w14:paraId="44D97CC9" w14:textId="77777777" w:rsidR="00CF7ABE" w:rsidRPr="00B74E01" w:rsidRDefault="00CF7ABE" w:rsidP="00376497">
      <w:pPr>
        <w:pStyle w:val="Ttulo2"/>
        <w:rPr>
          <w:rFonts w:eastAsia="Times New Roman"/>
          <w:lang w:eastAsia="pt-BR"/>
        </w:rPr>
      </w:pPr>
      <w:bookmarkStart w:id="53" w:name="_Toc230204055"/>
      <w:r w:rsidRPr="00B74E01">
        <w:rPr>
          <w:rFonts w:eastAsia="Times New Roman"/>
          <w:lang w:eastAsia="pt-BR"/>
        </w:rPr>
        <w:t>6.9. Premissas do Fundo Municipal de Meio Ambiente e Tecnologia Pública</w:t>
      </w:r>
      <w:bookmarkEnd w:id="53"/>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218"/>
        <w:gridCol w:w="1575"/>
        <w:gridCol w:w="1670"/>
      </w:tblGrid>
      <w:tr w:rsidR="00CF7ABE" w:rsidRPr="00B74E01" w14:paraId="6E831956" w14:textId="77777777" w:rsidTr="00671A31">
        <w:trPr>
          <w:tblHeader/>
          <w:tblCellSpacing w:w="15" w:type="dxa"/>
        </w:trPr>
        <w:tc>
          <w:tcPr>
            <w:tcW w:w="0" w:type="auto"/>
            <w:vAlign w:val="center"/>
            <w:hideMark/>
          </w:tcPr>
          <w:p w14:paraId="66950CB9" w14:textId="77777777" w:rsidR="00CF7ABE" w:rsidRPr="00B74E01" w:rsidRDefault="00CF7ABE" w:rsidP="00376497">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Fonte potencial ao Fundo</w:t>
            </w:r>
          </w:p>
        </w:tc>
        <w:tc>
          <w:tcPr>
            <w:tcW w:w="0" w:type="auto"/>
            <w:vAlign w:val="center"/>
            <w:hideMark/>
          </w:tcPr>
          <w:p w14:paraId="7F161003" w14:textId="77777777" w:rsidR="00CF7ABE" w:rsidRPr="00B74E01" w:rsidRDefault="00CF7ABE" w:rsidP="00376497">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 mensal</w:t>
            </w:r>
          </w:p>
        </w:tc>
        <w:tc>
          <w:tcPr>
            <w:tcW w:w="0" w:type="auto"/>
            <w:vAlign w:val="center"/>
            <w:hideMark/>
          </w:tcPr>
          <w:p w14:paraId="0C713822" w14:textId="77777777" w:rsidR="00CF7ABE" w:rsidRPr="00B74E01" w:rsidRDefault="00CF7ABE" w:rsidP="00376497">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 anual</w:t>
            </w:r>
          </w:p>
        </w:tc>
      </w:tr>
      <w:tr w:rsidR="00CF7ABE" w:rsidRPr="00B74E01" w14:paraId="1DE5E70D" w14:textId="77777777" w:rsidTr="00671A31">
        <w:trPr>
          <w:tblCellSpacing w:w="15" w:type="dxa"/>
        </w:trPr>
        <w:tc>
          <w:tcPr>
            <w:tcW w:w="0" w:type="auto"/>
            <w:vAlign w:val="center"/>
            <w:hideMark/>
          </w:tcPr>
          <w:p w14:paraId="366FDFCB" w14:textId="77777777" w:rsidR="00CF7ABE" w:rsidRPr="00B74E01" w:rsidRDefault="00CF7ABE" w:rsidP="0037649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Saldo positivo energia x RSU — cenário R$ 95/t</w:t>
            </w:r>
          </w:p>
        </w:tc>
        <w:tc>
          <w:tcPr>
            <w:tcW w:w="0" w:type="auto"/>
            <w:vAlign w:val="center"/>
            <w:hideMark/>
          </w:tcPr>
          <w:p w14:paraId="7CE949C8" w14:textId="77777777" w:rsidR="00CF7ABE" w:rsidRPr="00B74E01" w:rsidRDefault="00CF7ABE" w:rsidP="00376497">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R$ 24.668,54</w:t>
            </w:r>
          </w:p>
        </w:tc>
        <w:tc>
          <w:tcPr>
            <w:tcW w:w="0" w:type="auto"/>
            <w:vAlign w:val="center"/>
            <w:hideMark/>
          </w:tcPr>
          <w:p w14:paraId="1CC07219" w14:textId="77777777" w:rsidR="00CF7ABE" w:rsidRPr="00B74E01" w:rsidRDefault="00CF7ABE" w:rsidP="00376497">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R$ 296.022,52</w:t>
            </w:r>
          </w:p>
        </w:tc>
      </w:tr>
      <w:tr w:rsidR="00CF7ABE" w:rsidRPr="00B74E01" w14:paraId="6610B01A" w14:textId="77777777" w:rsidTr="00671A31">
        <w:trPr>
          <w:tblCellSpacing w:w="15" w:type="dxa"/>
        </w:trPr>
        <w:tc>
          <w:tcPr>
            <w:tcW w:w="0" w:type="auto"/>
            <w:vAlign w:val="center"/>
            <w:hideMark/>
          </w:tcPr>
          <w:p w14:paraId="17DD9985" w14:textId="77777777" w:rsidR="00CF7ABE" w:rsidRPr="00B74E01" w:rsidRDefault="00CF7ABE" w:rsidP="0037649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5% da receita acessória líquida estimada</w:t>
            </w:r>
          </w:p>
        </w:tc>
        <w:tc>
          <w:tcPr>
            <w:tcW w:w="0" w:type="auto"/>
            <w:vAlign w:val="center"/>
            <w:hideMark/>
          </w:tcPr>
          <w:p w14:paraId="2B5734D8" w14:textId="77777777" w:rsidR="00CF7ABE" w:rsidRPr="00B74E01" w:rsidRDefault="00CF7ABE" w:rsidP="00376497">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R$ 41.709,74</w:t>
            </w:r>
          </w:p>
        </w:tc>
        <w:tc>
          <w:tcPr>
            <w:tcW w:w="0" w:type="auto"/>
            <w:vAlign w:val="center"/>
            <w:hideMark/>
          </w:tcPr>
          <w:p w14:paraId="4B931EC8" w14:textId="77777777" w:rsidR="00CF7ABE" w:rsidRPr="00B74E01" w:rsidRDefault="00CF7ABE" w:rsidP="00376497">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R$ 500.516,88</w:t>
            </w:r>
          </w:p>
        </w:tc>
      </w:tr>
      <w:tr w:rsidR="00CF7ABE" w:rsidRPr="00B74E01" w14:paraId="7F37CE0D" w14:textId="77777777" w:rsidTr="00671A31">
        <w:trPr>
          <w:tblCellSpacing w:w="15" w:type="dxa"/>
        </w:trPr>
        <w:tc>
          <w:tcPr>
            <w:tcW w:w="0" w:type="auto"/>
            <w:vAlign w:val="center"/>
            <w:hideMark/>
          </w:tcPr>
          <w:p w14:paraId="2940C04B" w14:textId="77777777" w:rsidR="00CF7ABE" w:rsidRPr="00B74E01" w:rsidRDefault="00CF7ABE" w:rsidP="00376497">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Total potencial ao Fundo</w:t>
            </w:r>
          </w:p>
        </w:tc>
        <w:tc>
          <w:tcPr>
            <w:tcW w:w="0" w:type="auto"/>
            <w:vAlign w:val="center"/>
            <w:hideMark/>
          </w:tcPr>
          <w:p w14:paraId="341DD7D6" w14:textId="77777777" w:rsidR="00CF7ABE" w:rsidRPr="00B74E01" w:rsidRDefault="00CF7ABE" w:rsidP="00376497">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R$ 66.378,28</w:t>
            </w:r>
          </w:p>
        </w:tc>
        <w:tc>
          <w:tcPr>
            <w:tcW w:w="0" w:type="auto"/>
            <w:vAlign w:val="center"/>
            <w:hideMark/>
          </w:tcPr>
          <w:p w14:paraId="77EDF75E" w14:textId="77777777" w:rsidR="00CF7ABE" w:rsidRPr="00B74E01" w:rsidRDefault="00CF7ABE" w:rsidP="00376497">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R$ 796.539,40</w:t>
            </w:r>
          </w:p>
        </w:tc>
      </w:tr>
    </w:tbl>
    <w:p w14:paraId="1AE8C123"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O Fundo Municipal poderá ser fortalecido por duas fontes: o saldo positivo obtido na comparação entre economia energética e custo do RSU no cenário-base, e a parcela de 5% das receitas acessórias líquidas efetivamente realizadas.</w:t>
      </w:r>
    </w:p>
    <w:p w14:paraId="6E460B4B"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parcela vinculada às receitas acessórias deverá ser sempre tratada como estimativa variável, dependente da efetiva realização econômica dessas receitas.</w:t>
      </w:r>
    </w:p>
    <w:p w14:paraId="102C2333"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No cenário superior regional de </w:t>
      </w:r>
      <w:r w:rsidRPr="00B74E01">
        <w:rPr>
          <w:rFonts w:eastAsia="Times New Roman" w:cs="Arial"/>
          <w:b/>
          <w:bCs/>
          <w:kern w:val="0"/>
          <w:lang w:eastAsia="pt-BR"/>
          <w14:ligatures w14:val="none"/>
        </w:rPr>
        <w:t>R$ 140/t</w:t>
      </w:r>
      <w:r w:rsidRPr="00B74E01">
        <w:rPr>
          <w:rFonts w:eastAsia="Times New Roman" w:cs="Arial"/>
          <w:kern w:val="0"/>
          <w:lang w:eastAsia="pt-BR"/>
          <w14:ligatures w14:val="none"/>
        </w:rPr>
        <w:t xml:space="preserve">, a economia energética não gera saldo positivo direto na comparação energia x RSU. Nesse caso, a eventual destinação ao </w:t>
      </w:r>
      <w:r w:rsidRPr="00B74E01">
        <w:rPr>
          <w:rFonts w:eastAsia="Times New Roman" w:cs="Arial"/>
          <w:kern w:val="0"/>
          <w:lang w:eastAsia="pt-BR"/>
          <w14:ligatures w14:val="none"/>
        </w:rPr>
        <w:lastRenderedPageBreak/>
        <w:t>Fundo dependerá principalmente das receitas acessórias efetivamente realizadas ou de outra regra contratual específica, caso o Município decida adotá-la.</w:t>
      </w:r>
    </w:p>
    <w:p w14:paraId="5F5244C1" w14:textId="2C4047BC" w:rsidR="00CF7ABE" w:rsidRPr="00B74E01" w:rsidRDefault="00CF7ABE" w:rsidP="00376497">
      <w:pPr>
        <w:pStyle w:val="Ttulo2"/>
        <w:rPr>
          <w:rFonts w:eastAsia="Times New Roman"/>
          <w:lang w:eastAsia="pt-BR"/>
        </w:rPr>
      </w:pPr>
      <w:bookmarkStart w:id="54" w:name="_Toc230204056"/>
      <w:r w:rsidRPr="00B74E01">
        <w:rPr>
          <w:rFonts w:eastAsia="Times New Roman"/>
          <w:lang w:eastAsia="pt-BR"/>
        </w:rPr>
        <w:t>6.10. Premissas de garantias</w:t>
      </w:r>
      <w:bookmarkEnd w:id="54"/>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432"/>
        <w:gridCol w:w="1870"/>
      </w:tblGrid>
      <w:tr w:rsidR="00CF7ABE" w:rsidRPr="00B74E01" w14:paraId="5A81FABC" w14:textId="77777777" w:rsidTr="00671A31">
        <w:trPr>
          <w:tblHeader/>
          <w:tblCellSpacing w:w="15" w:type="dxa"/>
        </w:trPr>
        <w:tc>
          <w:tcPr>
            <w:tcW w:w="0" w:type="auto"/>
            <w:vAlign w:val="center"/>
            <w:hideMark/>
          </w:tcPr>
          <w:p w14:paraId="7224814B" w14:textId="77777777" w:rsidR="00CF7ABE" w:rsidRPr="00B74E01" w:rsidRDefault="00CF7ABE" w:rsidP="00376497">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Premissa</w:t>
            </w:r>
          </w:p>
        </w:tc>
        <w:tc>
          <w:tcPr>
            <w:tcW w:w="0" w:type="auto"/>
            <w:vAlign w:val="center"/>
            <w:hideMark/>
          </w:tcPr>
          <w:p w14:paraId="7D810AA3" w14:textId="77777777" w:rsidR="00CF7ABE" w:rsidRPr="00B74E01" w:rsidRDefault="00CF7ABE" w:rsidP="00376497">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w:t>
            </w:r>
          </w:p>
        </w:tc>
      </w:tr>
      <w:tr w:rsidR="00CF7ABE" w:rsidRPr="00B74E01" w14:paraId="4FF4129E" w14:textId="77777777" w:rsidTr="00671A31">
        <w:trPr>
          <w:tblCellSpacing w:w="15" w:type="dxa"/>
        </w:trPr>
        <w:tc>
          <w:tcPr>
            <w:tcW w:w="0" w:type="auto"/>
            <w:vAlign w:val="center"/>
            <w:hideMark/>
          </w:tcPr>
          <w:p w14:paraId="477CF150" w14:textId="77777777" w:rsidR="00CF7ABE" w:rsidRPr="00B74E01" w:rsidRDefault="00CF7ABE" w:rsidP="0037649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 xml:space="preserve">Receita principal mensal </w:t>
            </w:r>
            <w:proofErr w:type="spellStart"/>
            <w:r w:rsidRPr="00B74E01">
              <w:rPr>
                <w:rFonts w:eastAsia="Times New Roman" w:cs="Arial"/>
                <w:kern w:val="0"/>
                <w:lang w:eastAsia="pt-BR"/>
                <w14:ligatures w14:val="none"/>
              </w:rPr>
              <w:t>garantível</w:t>
            </w:r>
            <w:proofErr w:type="spellEnd"/>
            <w:r w:rsidRPr="00B74E01">
              <w:rPr>
                <w:rFonts w:eastAsia="Times New Roman" w:cs="Arial"/>
                <w:kern w:val="0"/>
                <w:lang w:eastAsia="pt-BR"/>
                <w14:ligatures w14:val="none"/>
              </w:rPr>
              <w:t xml:space="preserve"> — cenário-base R$ 95/t</w:t>
            </w:r>
          </w:p>
        </w:tc>
        <w:tc>
          <w:tcPr>
            <w:tcW w:w="0" w:type="auto"/>
            <w:vAlign w:val="center"/>
            <w:hideMark/>
          </w:tcPr>
          <w:p w14:paraId="1F425CEF" w14:textId="77777777" w:rsidR="00CF7ABE" w:rsidRPr="00B74E01" w:rsidRDefault="00CF7ABE" w:rsidP="00376497">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R$ 700.077,09</w:t>
            </w:r>
          </w:p>
        </w:tc>
      </w:tr>
      <w:tr w:rsidR="00CF7ABE" w:rsidRPr="00B74E01" w14:paraId="0BAB91F9" w14:textId="77777777" w:rsidTr="00671A31">
        <w:trPr>
          <w:tblCellSpacing w:w="15" w:type="dxa"/>
        </w:trPr>
        <w:tc>
          <w:tcPr>
            <w:tcW w:w="0" w:type="auto"/>
            <w:vAlign w:val="center"/>
            <w:hideMark/>
          </w:tcPr>
          <w:p w14:paraId="617B1069" w14:textId="77777777" w:rsidR="00CF7ABE" w:rsidRPr="00B74E01" w:rsidRDefault="00CF7ABE" w:rsidP="0037649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 xml:space="preserve">Receita principal anual </w:t>
            </w:r>
            <w:proofErr w:type="spellStart"/>
            <w:r w:rsidRPr="00B74E01">
              <w:rPr>
                <w:rFonts w:eastAsia="Times New Roman" w:cs="Arial"/>
                <w:kern w:val="0"/>
                <w:lang w:eastAsia="pt-BR"/>
                <w14:ligatures w14:val="none"/>
              </w:rPr>
              <w:t>garantível</w:t>
            </w:r>
            <w:proofErr w:type="spellEnd"/>
            <w:r w:rsidRPr="00B74E01">
              <w:rPr>
                <w:rFonts w:eastAsia="Times New Roman" w:cs="Arial"/>
                <w:kern w:val="0"/>
                <w:lang w:eastAsia="pt-BR"/>
                <w14:ligatures w14:val="none"/>
              </w:rPr>
              <w:t xml:space="preserve"> — cenário-base R$ 95/t</w:t>
            </w:r>
          </w:p>
        </w:tc>
        <w:tc>
          <w:tcPr>
            <w:tcW w:w="0" w:type="auto"/>
            <w:vAlign w:val="center"/>
            <w:hideMark/>
          </w:tcPr>
          <w:p w14:paraId="49318441" w14:textId="77777777" w:rsidR="00CF7ABE" w:rsidRPr="00B74E01" w:rsidRDefault="00CF7ABE" w:rsidP="00376497">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R$ 8.400.925,04</w:t>
            </w:r>
          </w:p>
        </w:tc>
      </w:tr>
      <w:tr w:rsidR="00CF7ABE" w:rsidRPr="00B74E01" w14:paraId="1504D682" w14:textId="77777777" w:rsidTr="00671A31">
        <w:trPr>
          <w:tblCellSpacing w:w="15" w:type="dxa"/>
        </w:trPr>
        <w:tc>
          <w:tcPr>
            <w:tcW w:w="0" w:type="auto"/>
            <w:vAlign w:val="center"/>
            <w:hideMark/>
          </w:tcPr>
          <w:p w14:paraId="500BC78F" w14:textId="77777777" w:rsidR="00CF7ABE" w:rsidRPr="00B74E01" w:rsidRDefault="00CF7ABE" w:rsidP="0037649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Garantia mínima — 3 meses</w:t>
            </w:r>
          </w:p>
        </w:tc>
        <w:tc>
          <w:tcPr>
            <w:tcW w:w="0" w:type="auto"/>
            <w:vAlign w:val="center"/>
            <w:hideMark/>
          </w:tcPr>
          <w:p w14:paraId="6EF3AB70" w14:textId="77777777" w:rsidR="00CF7ABE" w:rsidRPr="00B74E01" w:rsidRDefault="00CF7ABE" w:rsidP="00376497">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R$ 2.100.231,27</w:t>
            </w:r>
          </w:p>
        </w:tc>
      </w:tr>
      <w:tr w:rsidR="00CF7ABE" w:rsidRPr="00B74E01" w14:paraId="56799E0D" w14:textId="77777777" w:rsidTr="00671A31">
        <w:trPr>
          <w:tblCellSpacing w:w="15" w:type="dxa"/>
        </w:trPr>
        <w:tc>
          <w:tcPr>
            <w:tcW w:w="0" w:type="auto"/>
            <w:vAlign w:val="center"/>
            <w:hideMark/>
          </w:tcPr>
          <w:p w14:paraId="75A60593" w14:textId="77777777" w:rsidR="00CF7ABE" w:rsidRPr="00B74E01" w:rsidRDefault="00CF7ABE" w:rsidP="0037649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Garantia recomendada — 6 meses</w:t>
            </w:r>
          </w:p>
        </w:tc>
        <w:tc>
          <w:tcPr>
            <w:tcW w:w="0" w:type="auto"/>
            <w:vAlign w:val="center"/>
            <w:hideMark/>
          </w:tcPr>
          <w:p w14:paraId="7D30DC1F" w14:textId="77777777" w:rsidR="00CF7ABE" w:rsidRPr="00B74E01" w:rsidRDefault="00CF7ABE" w:rsidP="00376497">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R$ 4.200.462,54</w:t>
            </w:r>
          </w:p>
        </w:tc>
      </w:tr>
      <w:tr w:rsidR="00CF7ABE" w:rsidRPr="00B74E01" w14:paraId="11A216E2" w14:textId="77777777" w:rsidTr="00671A31">
        <w:trPr>
          <w:tblCellSpacing w:w="15" w:type="dxa"/>
        </w:trPr>
        <w:tc>
          <w:tcPr>
            <w:tcW w:w="0" w:type="auto"/>
            <w:vAlign w:val="center"/>
            <w:hideMark/>
          </w:tcPr>
          <w:p w14:paraId="12B13E41" w14:textId="77777777" w:rsidR="00CF7ABE" w:rsidRPr="00B74E01" w:rsidRDefault="00CF7ABE" w:rsidP="0037649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Garantia robusta — 12 meses</w:t>
            </w:r>
          </w:p>
        </w:tc>
        <w:tc>
          <w:tcPr>
            <w:tcW w:w="0" w:type="auto"/>
            <w:vAlign w:val="center"/>
            <w:hideMark/>
          </w:tcPr>
          <w:p w14:paraId="34ADFBCF" w14:textId="77777777" w:rsidR="00CF7ABE" w:rsidRPr="00B74E01" w:rsidRDefault="00CF7ABE" w:rsidP="00376497">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R$ 8.400.925,08</w:t>
            </w:r>
          </w:p>
        </w:tc>
      </w:tr>
    </w:tbl>
    <w:p w14:paraId="1254980C"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Recomenda-se que as receitas principais da PPP sejam protegidas por Fundo Garantidor, conta vinculada, conta reserva, </w:t>
      </w:r>
      <w:proofErr w:type="spellStart"/>
      <w:r w:rsidRPr="00B74E01">
        <w:rPr>
          <w:rFonts w:eastAsia="Times New Roman" w:cs="Arial"/>
          <w:kern w:val="0"/>
          <w:lang w:eastAsia="pt-BR"/>
          <w14:ligatures w14:val="none"/>
        </w:rPr>
        <w:t>escrow</w:t>
      </w:r>
      <w:proofErr w:type="spellEnd"/>
      <w:r w:rsidRPr="00B74E01">
        <w:rPr>
          <w:rFonts w:eastAsia="Times New Roman" w:cs="Arial"/>
          <w:kern w:val="0"/>
          <w:lang w:eastAsia="pt-BR"/>
          <w14:ligatures w14:val="none"/>
        </w:rPr>
        <w:t xml:space="preserve"> </w:t>
      </w:r>
      <w:proofErr w:type="spellStart"/>
      <w:r w:rsidRPr="00B74E01">
        <w:rPr>
          <w:rFonts w:eastAsia="Times New Roman" w:cs="Arial"/>
          <w:kern w:val="0"/>
          <w:lang w:eastAsia="pt-BR"/>
          <w14:ligatures w14:val="none"/>
        </w:rPr>
        <w:t>account</w:t>
      </w:r>
      <w:proofErr w:type="spellEnd"/>
      <w:r w:rsidRPr="00B74E01">
        <w:rPr>
          <w:rFonts w:eastAsia="Times New Roman" w:cs="Arial"/>
          <w:kern w:val="0"/>
          <w:lang w:eastAsia="pt-BR"/>
          <w14:ligatures w14:val="none"/>
        </w:rPr>
        <w:t xml:space="preserve"> ou mecanismo equivalente.</w:t>
      </w:r>
    </w:p>
    <w:p w14:paraId="5259C3D3"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 garantia recomendada de </w:t>
      </w:r>
      <w:r w:rsidRPr="00B74E01">
        <w:rPr>
          <w:rFonts w:eastAsia="Times New Roman" w:cs="Arial"/>
          <w:b/>
          <w:bCs/>
          <w:kern w:val="0"/>
          <w:lang w:eastAsia="pt-BR"/>
          <w14:ligatures w14:val="none"/>
        </w:rPr>
        <w:t>6 meses da receita principal</w:t>
      </w:r>
      <w:r w:rsidRPr="00B74E01">
        <w:rPr>
          <w:rFonts w:eastAsia="Times New Roman" w:cs="Arial"/>
          <w:kern w:val="0"/>
          <w:lang w:eastAsia="pt-BR"/>
          <w14:ligatures w14:val="none"/>
        </w:rPr>
        <w:t xml:space="preserve"> equilibra segurança para a SPE e financiadores com razoabilidade fiscal para o Município.</w:t>
      </w:r>
    </w:p>
    <w:p w14:paraId="58BA49B9"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Caso a tarifa de destinação adotada na licitação se aproxime do cenário superior regional de </w:t>
      </w:r>
      <w:r w:rsidRPr="00B74E01">
        <w:rPr>
          <w:rFonts w:eastAsia="Times New Roman" w:cs="Arial"/>
          <w:b/>
          <w:bCs/>
          <w:kern w:val="0"/>
          <w:lang w:eastAsia="pt-BR"/>
          <w14:ligatures w14:val="none"/>
        </w:rPr>
        <w:t>R$ 140/t</w:t>
      </w:r>
      <w:r w:rsidRPr="00B74E01">
        <w:rPr>
          <w:rFonts w:eastAsia="Times New Roman" w:cs="Arial"/>
          <w:kern w:val="0"/>
          <w:lang w:eastAsia="pt-BR"/>
          <w14:ligatures w14:val="none"/>
        </w:rPr>
        <w:t xml:space="preserve">, os valores de garantia deverão ser recalculados sobre a nova receita principal mensal, uma vez que a base </w:t>
      </w:r>
      <w:proofErr w:type="spellStart"/>
      <w:r w:rsidRPr="00B74E01">
        <w:rPr>
          <w:rFonts w:eastAsia="Times New Roman" w:cs="Arial"/>
          <w:kern w:val="0"/>
          <w:lang w:eastAsia="pt-BR"/>
          <w14:ligatures w14:val="none"/>
        </w:rPr>
        <w:t>garantível</w:t>
      </w:r>
      <w:proofErr w:type="spellEnd"/>
      <w:r w:rsidRPr="00B74E01">
        <w:rPr>
          <w:rFonts w:eastAsia="Times New Roman" w:cs="Arial"/>
          <w:kern w:val="0"/>
          <w:lang w:eastAsia="pt-BR"/>
          <w14:ligatures w14:val="none"/>
        </w:rPr>
        <w:t xml:space="preserve"> passaria de </w:t>
      </w:r>
      <w:r w:rsidRPr="00B74E01">
        <w:rPr>
          <w:rFonts w:eastAsia="Times New Roman" w:cs="Arial"/>
          <w:b/>
          <w:bCs/>
          <w:kern w:val="0"/>
          <w:lang w:eastAsia="pt-BR"/>
          <w14:ligatures w14:val="none"/>
        </w:rPr>
        <w:t>R$ 700.077,09/mês</w:t>
      </w:r>
      <w:r w:rsidRPr="00B74E01">
        <w:rPr>
          <w:rFonts w:eastAsia="Times New Roman" w:cs="Arial"/>
          <w:kern w:val="0"/>
          <w:lang w:eastAsia="pt-BR"/>
          <w14:ligatures w14:val="none"/>
        </w:rPr>
        <w:t xml:space="preserve"> para </w:t>
      </w:r>
      <w:r w:rsidRPr="00B74E01">
        <w:rPr>
          <w:rFonts w:eastAsia="Times New Roman" w:cs="Arial"/>
          <w:b/>
          <w:bCs/>
          <w:kern w:val="0"/>
          <w:lang w:eastAsia="pt-BR"/>
          <w14:ligatures w14:val="none"/>
        </w:rPr>
        <w:t>R$ 809.577,09/mês</w:t>
      </w:r>
      <w:r w:rsidRPr="00B74E01">
        <w:rPr>
          <w:rFonts w:eastAsia="Times New Roman" w:cs="Arial"/>
          <w:kern w:val="0"/>
          <w:lang w:eastAsia="pt-BR"/>
          <w14:ligatures w14:val="none"/>
        </w:rPr>
        <w:t>.</w:t>
      </w:r>
    </w:p>
    <w:p w14:paraId="26A12339" w14:textId="77777777" w:rsidR="00CF7ABE" w:rsidRPr="00B74E01" w:rsidRDefault="00CF7ABE" w:rsidP="00A41E60">
      <w:pPr>
        <w:pStyle w:val="Ttulo2"/>
        <w:rPr>
          <w:rFonts w:eastAsia="Times New Roman"/>
          <w:lang w:eastAsia="pt-BR"/>
        </w:rPr>
      </w:pPr>
      <w:bookmarkStart w:id="55" w:name="_Toc230204057"/>
      <w:r w:rsidRPr="00B74E01">
        <w:rPr>
          <w:rFonts w:eastAsia="Times New Roman"/>
          <w:lang w:eastAsia="pt-BR"/>
        </w:rPr>
        <w:t>6.11. Premissas que deverão ser tratadas como variáveis de sensibilidade</w:t>
      </w:r>
      <w:bookmarkEnd w:id="55"/>
    </w:p>
    <w:p w14:paraId="0ED11974"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Nem todas as premissas devem ser vistas como valores rígidos. Algumas precisam ser testadas em análise de sensibilidade.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884"/>
        <w:gridCol w:w="6187"/>
      </w:tblGrid>
      <w:tr w:rsidR="00CF7ABE" w:rsidRPr="00B74E01" w14:paraId="65D35FA8" w14:textId="77777777">
        <w:trPr>
          <w:tblHeader/>
          <w:tblCellSpacing w:w="15" w:type="dxa"/>
        </w:trPr>
        <w:tc>
          <w:tcPr>
            <w:tcW w:w="0" w:type="auto"/>
            <w:vAlign w:val="center"/>
            <w:hideMark/>
          </w:tcPr>
          <w:p w14:paraId="06CA1F28" w14:textId="77777777" w:rsidR="00CF7ABE" w:rsidRPr="00B74E01" w:rsidRDefault="00CF7ABE" w:rsidP="00A41E6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Variável</w:t>
            </w:r>
          </w:p>
        </w:tc>
        <w:tc>
          <w:tcPr>
            <w:tcW w:w="0" w:type="auto"/>
            <w:vAlign w:val="center"/>
            <w:hideMark/>
          </w:tcPr>
          <w:p w14:paraId="1319F4DC" w14:textId="77777777" w:rsidR="00CF7ABE" w:rsidRPr="00B74E01" w:rsidRDefault="00CF7ABE" w:rsidP="00A41E6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Cenários recomendados</w:t>
            </w:r>
          </w:p>
        </w:tc>
      </w:tr>
      <w:tr w:rsidR="00CF7ABE" w:rsidRPr="00B74E01" w14:paraId="6E1774BD" w14:textId="77777777">
        <w:trPr>
          <w:tblCellSpacing w:w="15" w:type="dxa"/>
        </w:trPr>
        <w:tc>
          <w:tcPr>
            <w:tcW w:w="0" w:type="auto"/>
            <w:vAlign w:val="center"/>
            <w:hideMark/>
          </w:tcPr>
          <w:p w14:paraId="790991A9" w14:textId="77777777" w:rsidR="00CF7ABE" w:rsidRPr="00B74E01" w:rsidRDefault="00CF7ABE" w:rsidP="00A41E6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Tarifa de destinação</w:t>
            </w:r>
          </w:p>
        </w:tc>
        <w:tc>
          <w:tcPr>
            <w:tcW w:w="0" w:type="auto"/>
            <w:vAlign w:val="center"/>
            <w:hideMark/>
          </w:tcPr>
          <w:p w14:paraId="7F25F43B" w14:textId="77777777" w:rsidR="00CF7ABE" w:rsidRPr="00B74E01" w:rsidRDefault="00CF7ABE" w:rsidP="00A41E6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R$ 95/t e R$ 140/t</w:t>
            </w:r>
          </w:p>
        </w:tc>
      </w:tr>
      <w:tr w:rsidR="00CF7ABE" w:rsidRPr="00B74E01" w14:paraId="1F6F74E5" w14:textId="77777777">
        <w:trPr>
          <w:tblCellSpacing w:w="15" w:type="dxa"/>
        </w:trPr>
        <w:tc>
          <w:tcPr>
            <w:tcW w:w="0" w:type="auto"/>
            <w:vAlign w:val="center"/>
            <w:hideMark/>
          </w:tcPr>
          <w:p w14:paraId="14E679DD" w14:textId="77777777" w:rsidR="00CF7ABE" w:rsidRPr="00B74E01" w:rsidRDefault="00CF7ABE" w:rsidP="00A41E6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Taxa de juros</w:t>
            </w:r>
          </w:p>
        </w:tc>
        <w:tc>
          <w:tcPr>
            <w:tcW w:w="0" w:type="auto"/>
            <w:vAlign w:val="center"/>
            <w:hideMark/>
          </w:tcPr>
          <w:p w14:paraId="68DDC8DB" w14:textId="77777777" w:rsidR="00CF7ABE" w:rsidRPr="00B74E01" w:rsidRDefault="00CF7ABE" w:rsidP="00A41E6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8%, 10% e 12% a.a.</w:t>
            </w:r>
          </w:p>
        </w:tc>
      </w:tr>
      <w:tr w:rsidR="00CF7ABE" w:rsidRPr="00B74E01" w14:paraId="33D3973B" w14:textId="77777777">
        <w:trPr>
          <w:tblCellSpacing w:w="15" w:type="dxa"/>
        </w:trPr>
        <w:tc>
          <w:tcPr>
            <w:tcW w:w="0" w:type="auto"/>
            <w:vAlign w:val="center"/>
            <w:hideMark/>
          </w:tcPr>
          <w:p w14:paraId="11E427EC" w14:textId="77777777" w:rsidR="00CF7ABE" w:rsidRPr="00B74E01" w:rsidRDefault="00CF7ABE" w:rsidP="00A41E6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CAPEX</w:t>
            </w:r>
          </w:p>
        </w:tc>
        <w:tc>
          <w:tcPr>
            <w:tcW w:w="0" w:type="auto"/>
            <w:vAlign w:val="center"/>
            <w:hideMark/>
          </w:tcPr>
          <w:p w14:paraId="78DC3B15" w14:textId="77777777" w:rsidR="00CF7ABE" w:rsidRPr="00B74E01" w:rsidRDefault="00CF7ABE" w:rsidP="00A41E6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-10%, base e +10%</w:t>
            </w:r>
          </w:p>
        </w:tc>
      </w:tr>
      <w:tr w:rsidR="00CF7ABE" w:rsidRPr="00B74E01" w14:paraId="24F4FC24" w14:textId="77777777">
        <w:trPr>
          <w:tblCellSpacing w:w="15" w:type="dxa"/>
        </w:trPr>
        <w:tc>
          <w:tcPr>
            <w:tcW w:w="0" w:type="auto"/>
            <w:vAlign w:val="center"/>
            <w:hideMark/>
          </w:tcPr>
          <w:p w14:paraId="575D7CFC" w14:textId="77777777" w:rsidR="00CF7ABE" w:rsidRPr="00B74E01" w:rsidRDefault="00CF7ABE" w:rsidP="00A41E6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lastRenderedPageBreak/>
              <w:t>OPEX</w:t>
            </w:r>
          </w:p>
        </w:tc>
        <w:tc>
          <w:tcPr>
            <w:tcW w:w="0" w:type="auto"/>
            <w:vAlign w:val="center"/>
            <w:hideMark/>
          </w:tcPr>
          <w:p w14:paraId="3890C57C" w14:textId="77777777" w:rsidR="00CF7ABE" w:rsidRPr="00B74E01" w:rsidRDefault="00CF7ABE" w:rsidP="00A41E6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-10%, base e +10%</w:t>
            </w:r>
          </w:p>
        </w:tc>
      </w:tr>
      <w:tr w:rsidR="00CF7ABE" w:rsidRPr="00B74E01" w14:paraId="5E10E8E5" w14:textId="77777777">
        <w:trPr>
          <w:tblCellSpacing w:w="15" w:type="dxa"/>
        </w:trPr>
        <w:tc>
          <w:tcPr>
            <w:tcW w:w="0" w:type="auto"/>
            <w:vAlign w:val="center"/>
            <w:hideMark/>
          </w:tcPr>
          <w:p w14:paraId="6579BF9A" w14:textId="77777777" w:rsidR="00CF7ABE" w:rsidRPr="00B74E01" w:rsidRDefault="00CF7ABE" w:rsidP="00A41E6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Receitas acessórias</w:t>
            </w:r>
          </w:p>
        </w:tc>
        <w:tc>
          <w:tcPr>
            <w:tcW w:w="0" w:type="auto"/>
            <w:vAlign w:val="center"/>
            <w:hideMark/>
          </w:tcPr>
          <w:p w14:paraId="0AB85E93" w14:textId="77777777" w:rsidR="00CF7ABE" w:rsidRPr="00B74E01" w:rsidRDefault="00CF7ABE" w:rsidP="00A41E6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0%, 50%, 75% e 100%</w:t>
            </w:r>
          </w:p>
        </w:tc>
      </w:tr>
      <w:tr w:rsidR="00CF7ABE" w:rsidRPr="00B74E01" w14:paraId="2289EDB1" w14:textId="77777777">
        <w:trPr>
          <w:tblCellSpacing w:w="15" w:type="dxa"/>
        </w:trPr>
        <w:tc>
          <w:tcPr>
            <w:tcW w:w="0" w:type="auto"/>
            <w:vAlign w:val="center"/>
            <w:hideMark/>
          </w:tcPr>
          <w:p w14:paraId="49C37B92" w14:textId="77777777" w:rsidR="00CF7ABE" w:rsidRPr="00B74E01" w:rsidRDefault="00CF7ABE" w:rsidP="00A41E6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Volume efetivo processado</w:t>
            </w:r>
          </w:p>
        </w:tc>
        <w:tc>
          <w:tcPr>
            <w:tcW w:w="0" w:type="auto"/>
            <w:vAlign w:val="center"/>
            <w:hideMark/>
          </w:tcPr>
          <w:p w14:paraId="6B687CD5" w14:textId="77777777" w:rsidR="00CF7ABE" w:rsidRPr="00B74E01" w:rsidRDefault="00CF7ABE" w:rsidP="00A41E6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70, 80 e 90 t/dia</w:t>
            </w:r>
            <w:r w:rsidRPr="00B74E01">
              <w:rPr>
                <w:rFonts w:eastAsia="Times New Roman" w:cs="Arial"/>
                <w:kern w:val="0"/>
                <w:lang w:eastAsia="pt-BR"/>
                <w14:ligatures w14:val="none"/>
              </w:rPr>
              <w:t>, preservada quantidade mínima contratada</w:t>
            </w:r>
          </w:p>
        </w:tc>
      </w:tr>
      <w:tr w:rsidR="00CF7ABE" w:rsidRPr="00B74E01" w14:paraId="130788A4" w14:textId="77777777">
        <w:trPr>
          <w:tblCellSpacing w:w="15" w:type="dxa"/>
        </w:trPr>
        <w:tc>
          <w:tcPr>
            <w:tcW w:w="0" w:type="auto"/>
            <w:vAlign w:val="center"/>
            <w:hideMark/>
          </w:tcPr>
          <w:p w14:paraId="207071F3" w14:textId="77777777" w:rsidR="00CF7ABE" w:rsidRPr="00B74E01" w:rsidRDefault="00CF7ABE" w:rsidP="00A41E6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Remuneração energética</w:t>
            </w:r>
          </w:p>
        </w:tc>
        <w:tc>
          <w:tcPr>
            <w:tcW w:w="0" w:type="auto"/>
            <w:vAlign w:val="center"/>
            <w:hideMark/>
          </w:tcPr>
          <w:p w14:paraId="14D0382B" w14:textId="77777777" w:rsidR="00CF7ABE" w:rsidRPr="00B74E01" w:rsidRDefault="00CF7ABE" w:rsidP="00A41E6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-10%, base e +10%</w:t>
            </w:r>
          </w:p>
        </w:tc>
      </w:tr>
    </w:tbl>
    <w:p w14:paraId="2311A5D7"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Essas sensibilidades são necessárias para evitar que o caderno pareça excessivamente otimista e para demonstrar a resistência do projeto em cenários menos favoráveis.</w:t>
      </w:r>
    </w:p>
    <w:p w14:paraId="7713EDA9"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análise de sensibilidade deverá sempre distinguir o impacto sobre as receitas principais contratadas e o impacto sobre as receitas acessórias, porque possuem natureza de risco distinta.</w:t>
      </w:r>
    </w:p>
    <w:p w14:paraId="31280E16" w14:textId="77777777" w:rsidR="00CF7ABE" w:rsidRPr="00B74E01" w:rsidRDefault="00CF7ABE" w:rsidP="00A41E60">
      <w:pPr>
        <w:pStyle w:val="Ttulo2"/>
        <w:rPr>
          <w:rFonts w:eastAsia="Times New Roman"/>
          <w:lang w:eastAsia="pt-BR"/>
        </w:rPr>
      </w:pPr>
      <w:bookmarkStart w:id="56" w:name="_Toc230204058"/>
      <w:r w:rsidRPr="00B74E01">
        <w:rPr>
          <w:rFonts w:eastAsia="Times New Roman"/>
          <w:lang w:eastAsia="pt-BR"/>
        </w:rPr>
        <w:t>6.12. Conclusão do tópico</w:t>
      </w:r>
      <w:bookmarkEnd w:id="56"/>
    </w:p>
    <w:p w14:paraId="68B1207B"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As premissas oficiais da modelagem estabelecem a base econômico-financeira da PPP e permitem compreender a formação dos principais resultados do projeto.</w:t>
      </w:r>
    </w:p>
    <w:p w14:paraId="6E37FB41"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O cenário-base adota tarifa de destinação de </w:t>
      </w:r>
      <w:r w:rsidRPr="00B74E01">
        <w:rPr>
          <w:rFonts w:eastAsia="Times New Roman" w:cs="Arial"/>
          <w:b/>
          <w:bCs/>
          <w:kern w:val="0"/>
          <w:lang w:eastAsia="pt-BR"/>
          <w14:ligatures w14:val="none"/>
        </w:rPr>
        <w:t>R$ 95/t</w:t>
      </w:r>
      <w:r w:rsidRPr="00B74E01">
        <w:rPr>
          <w:rFonts w:eastAsia="Times New Roman" w:cs="Arial"/>
          <w:kern w:val="0"/>
          <w:lang w:eastAsia="pt-BR"/>
          <w14:ligatures w14:val="none"/>
        </w:rPr>
        <w:t xml:space="preserve">, quantidade mínima contratada de </w:t>
      </w:r>
      <w:r w:rsidRPr="00B74E01">
        <w:rPr>
          <w:rFonts w:eastAsia="Times New Roman" w:cs="Arial"/>
          <w:b/>
          <w:bCs/>
          <w:kern w:val="0"/>
          <w:lang w:eastAsia="pt-BR"/>
          <w14:ligatures w14:val="none"/>
        </w:rPr>
        <w:t>80 t/dia</w:t>
      </w:r>
      <w:r w:rsidRPr="00B74E01">
        <w:rPr>
          <w:rFonts w:eastAsia="Times New Roman" w:cs="Arial"/>
          <w:kern w:val="0"/>
          <w:lang w:eastAsia="pt-BR"/>
          <w14:ligatures w14:val="none"/>
        </w:rPr>
        <w:t xml:space="preserve">, remuneração energética de </w:t>
      </w:r>
      <w:r w:rsidRPr="00B74E01">
        <w:rPr>
          <w:rFonts w:eastAsia="Times New Roman" w:cs="Arial"/>
          <w:b/>
          <w:bCs/>
          <w:kern w:val="0"/>
          <w:lang w:eastAsia="pt-BR"/>
          <w14:ligatures w14:val="none"/>
        </w:rPr>
        <w:t>R$ 468.910,42/mês</w:t>
      </w:r>
      <w:r w:rsidRPr="00B74E01">
        <w:rPr>
          <w:rFonts w:eastAsia="Times New Roman" w:cs="Arial"/>
          <w:kern w:val="0"/>
          <w:lang w:eastAsia="pt-BR"/>
          <w14:ligatures w14:val="none"/>
        </w:rPr>
        <w:t xml:space="preserve">, OPEX anual de </w:t>
      </w:r>
      <w:r w:rsidRPr="00B74E01">
        <w:rPr>
          <w:rFonts w:eastAsia="Times New Roman" w:cs="Arial"/>
          <w:b/>
          <w:bCs/>
          <w:kern w:val="0"/>
          <w:lang w:eastAsia="pt-BR"/>
          <w14:ligatures w14:val="none"/>
        </w:rPr>
        <w:t>R$ 3.821.952,88</w:t>
      </w:r>
      <w:r w:rsidRPr="00B74E01">
        <w:rPr>
          <w:rFonts w:eastAsia="Times New Roman" w:cs="Arial"/>
          <w:kern w:val="0"/>
          <w:lang w:eastAsia="pt-BR"/>
          <w14:ligatures w14:val="none"/>
        </w:rPr>
        <w:t xml:space="preserve">, investimento financeiro total de </w:t>
      </w:r>
      <w:r w:rsidRPr="00B74E01">
        <w:rPr>
          <w:rFonts w:eastAsia="Times New Roman" w:cs="Arial"/>
          <w:b/>
          <w:bCs/>
          <w:kern w:val="0"/>
          <w:lang w:eastAsia="pt-BR"/>
          <w14:ligatures w14:val="none"/>
        </w:rPr>
        <w:t>R$ 32.269.873,38</w:t>
      </w:r>
      <w:r w:rsidRPr="00B74E01">
        <w:rPr>
          <w:rFonts w:eastAsia="Times New Roman" w:cs="Arial"/>
          <w:kern w:val="0"/>
          <w:lang w:eastAsia="pt-BR"/>
          <w14:ligatures w14:val="none"/>
        </w:rPr>
        <w:t xml:space="preserve"> e financiamento referencial pelo </w:t>
      </w:r>
      <w:r w:rsidRPr="00B74E01">
        <w:rPr>
          <w:rFonts w:eastAsia="Times New Roman" w:cs="Arial"/>
          <w:b/>
          <w:bCs/>
          <w:kern w:val="0"/>
          <w:lang w:eastAsia="pt-BR"/>
          <w14:ligatures w14:val="none"/>
        </w:rPr>
        <w:t>FNE Verde / Banco do Nordeste</w:t>
      </w:r>
      <w:r w:rsidRPr="00B74E01">
        <w:rPr>
          <w:rFonts w:eastAsia="Times New Roman" w:cs="Arial"/>
          <w:kern w:val="0"/>
          <w:lang w:eastAsia="pt-BR"/>
          <w14:ligatures w14:val="none"/>
        </w:rPr>
        <w:t>.</w:t>
      </w:r>
    </w:p>
    <w:p w14:paraId="74AECE04"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 modelagem também reconhece cenário superior regional de </w:t>
      </w:r>
      <w:r w:rsidRPr="00B74E01">
        <w:rPr>
          <w:rFonts w:eastAsia="Times New Roman" w:cs="Arial"/>
          <w:b/>
          <w:bCs/>
          <w:kern w:val="0"/>
          <w:lang w:eastAsia="pt-BR"/>
          <w14:ligatures w14:val="none"/>
        </w:rPr>
        <w:t>R$ 140/t</w:t>
      </w:r>
      <w:r w:rsidRPr="00B74E01">
        <w:rPr>
          <w:rFonts w:eastAsia="Times New Roman" w:cs="Arial"/>
          <w:kern w:val="0"/>
          <w:lang w:eastAsia="pt-BR"/>
          <w14:ligatures w14:val="none"/>
        </w:rPr>
        <w:t>, útil para sensibilidade e referência licitatória, bem como receitas acessórias potenciais que ampliam a robustez do projeto, mas não substituem as receitas principais contratadas.</w:t>
      </w:r>
    </w:p>
    <w:p w14:paraId="712274BF"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 correta leitura dessas premissas é essencial para preservar a auditabilidade, a </w:t>
      </w:r>
      <w:proofErr w:type="spellStart"/>
      <w:r w:rsidRPr="00B74E01">
        <w:rPr>
          <w:rFonts w:eastAsia="Times New Roman" w:cs="Arial"/>
          <w:kern w:val="0"/>
          <w:lang w:eastAsia="pt-BR"/>
          <w14:ligatures w14:val="none"/>
        </w:rPr>
        <w:t>bancabilidade</w:t>
      </w:r>
      <w:proofErr w:type="spellEnd"/>
      <w:r w:rsidRPr="00B74E01">
        <w:rPr>
          <w:rFonts w:eastAsia="Times New Roman" w:cs="Arial"/>
          <w:kern w:val="0"/>
          <w:lang w:eastAsia="pt-BR"/>
          <w14:ligatures w14:val="none"/>
        </w:rPr>
        <w:t xml:space="preserve"> e a </w:t>
      </w:r>
      <w:proofErr w:type="spellStart"/>
      <w:r w:rsidRPr="00B74E01">
        <w:rPr>
          <w:rFonts w:eastAsia="Times New Roman" w:cs="Arial"/>
          <w:kern w:val="0"/>
          <w:lang w:eastAsia="pt-BR"/>
          <w14:ligatures w14:val="none"/>
        </w:rPr>
        <w:t>defensabilidade</w:t>
      </w:r>
      <w:proofErr w:type="spellEnd"/>
      <w:r w:rsidRPr="00B74E01">
        <w:rPr>
          <w:rFonts w:eastAsia="Times New Roman" w:cs="Arial"/>
          <w:kern w:val="0"/>
          <w:lang w:eastAsia="pt-BR"/>
          <w14:ligatures w14:val="none"/>
        </w:rPr>
        <w:t xml:space="preserve"> do caderno perante o Município, banca avaliadora, financiadores, investidores e órgãos de controle.</w:t>
      </w:r>
    </w:p>
    <w:p w14:paraId="51E5C8FC" w14:textId="23B509B5" w:rsidR="00CF7ABE" w:rsidRDefault="00CF7ABE" w:rsidP="00B74E01">
      <w:pPr>
        <w:spacing w:after="0" w:line="360" w:lineRule="auto"/>
        <w:ind w:firstLine="709"/>
        <w:jc w:val="both"/>
        <w:rPr>
          <w:rFonts w:eastAsia="Times New Roman" w:cs="Arial"/>
          <w:kern w:val="0"/>
          <w:lang w:eastAsia="pt-BR"/>
          <w14:ligatures w14:val="none"/>
        </w:rPr>
      </w:pPr>
    </w:p>
    <w:p w14:paraId="1BACFAF7" w14:textId="77777777" w:rsidR="00CF7ABE" w:rsidRPr="00B74E01" w:rsidRDefault="00CF7ABE" w:rsidP="00A41E60">
      <w:pPr>
        <w:pStyle w:val="Ttulo1"/>
        <w:rPr>
          <w:rFonts w:eastAsia="Times New Roman"/>
          <w:lang w:eastAsia="pt-BR"/>
        </w:rPr>
      </w:pPr>
      <w:bookmarkStart w:id="57" w:name="_Toc230204059"/>
      <w:r w:rsidRPr="00B74E01">
        <w:rPr>
          <w:rFonts w:eastAsia="Times New Roman"/>
          <w:lang w:eastAsia="pt-BR"/>
        </w:rPr>
        <w:lastRenderedPageBreak/>
        <w:t>7. CAPEX — Investimento Inicial</w:t>
      </w:r>
      <w:bookmarkEnd w:id="57"/>
    </w:p>
    <w:p w14:paraId="56249737"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O CAPEX representa o investimento inicial necessário à implantação da infraestrutura física, industrial, operacional, energética e de apoio da PPP.</w:t>
      </w:r>
    </w:p>
    <w:p w14:paraId="54CA0FBE"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Neste projeto, o CAPEX não corresponde apenas à aquisição de equipamentos. Ele compreende um conjunto integrado de componentes necessários à implantação de uma planta industrial de destinação/tratamento de RSU com integração energética, incluindo licenças, projetos, preparação da área, obras civis, sistemas de apoio, segurança, carbonização, geração de energia, contingência técnica, capital de giro inicial e juros durante a implantação.</w:t>
      </w:r>
    </w:p>
    <w:p w14:paraId="66CAC20A"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O tópico de CAPEX deve demonstrar não apenas </w:t>
      </w:r>
      <w:r w:rsidRPr="00B74E01">
        <w:rPr>
          <w:rFonts w:eastAsia="Times New Roman" w:cs="Arial"/>
          <w:b/>
          <w:bCs/>
          <w:kern w:val="0"/>
          <w:lang w:eastAsia="pt-BR"/>
          <w14:ligatures w14:val="none"/>
        </w:rPr>
        <w:t>quanto custa</w:t>
      </w:r>
      <w:r w:rsidRPr="00B74E01">
        <w:rPr>
          <w:rFonts w:eastAsia="Times New Roman" w:cs="Arial"/>
          <w:kern w:val="0"/>
          <w:lang w:eastAsia="pt-BR"/>
          <w14:ligatures w14:val="none"/>
        </w:rPr>
        <w:t xml:space="preserve">, mas </w:t>
      </w:r>
      <w:proofErr w:type="gramStart"/>
      <w:r w:rsidRPr="00B74E01">
        <w:rPr>
          <w:rFonts w:eastAsia="Times New Roman" w:cs="Arial"/>
          <w:b/>
          <w:bCs/>
          <w:kern w:val="0"/>
          <w:lang w:eastAsia="pt-BR"/>
          <w14:ligatures w14:val="none"/>
        </w:rPr>
        <w:t>por que</w:t>
      </w:r>
      <w:proofErr w:type="gramEnd"/>
      <w:r w:rsidRPr="00B74E01">
        <w:rPr>
          <w:rFonts w:eastAsia="Times New Roman" w:cs="Arial"/>
          <w:b/>
          <w:bCs/>
          <w:kern w:val="0"/>
          <w:lang w:eastAsia="pt-BR"/>
          <w14:ligatures w14:val="none"/>
        </w:rPr>
        <w:t xml:space="preserve"> custa</w:t>
      </w:r>
      <w:r w:rsidRPr="00B74E01">
        <w:rPr>
          <w:rFonts w:eastAsia="Times New Roman" w:cs="Arial"/>
          <w:kern w:val="0"/>
          <w:lang w:eastAsia="pt-BR"/>
          <w14:ligatures w14:val="none"/>
        </w:rPr>
        <w:t xml:space="preserve">, </w:t>
      </w:r>
      <w:r w:rsidRPr="00B74E01">
        <w:rPr>
          <w:rFonts w:eastAsia="Times New Roman" w:cs="Arial"/>
          <w:b/>
          <w:bCs/>
          <w:kern w:val="0"/>
          <w:lang w:eastAsia="pt-BR"/>
          <w14:ligatures w14:val="none"/>
        </w:rPr>
        <w:t>quais blocos compõem o investimento</w:t>
      </w:r>
      <w:r w:rsidRPr="00B74E01">
        <w:rPr>
          <w:rFonts w:eastAsia="Times New Roman" w:cs="Arial"/>
          <w:kern w:val="0"/>
          <w:lang w:eastAsia="pt-BR"/>
          <w14:ligatures w14:val="none"/>
        </w:rPr>
        <w:t xml:space="preserve">, </w:t>
      </w:r>
      <w:r w:rsidRPr="00B74E01">
        <w:rPr>
          <w:rFonts w:eastAsia="Times New Roman" w:cs="Arial"/>
          <w:b/>
          <w:bCs/>
          <w:kern w:val="0"/>
          <w:lang w:eastAsia="pt-BR"/>
          <w14:ligatures w14:val="none"/>
        </w:rPr>
        <w:t>quais riscos estão associados</w:t>
      </w:r>
      <w:r w:rsidRPr="00B74E01">
        <w:rPr>
          <w:rFonts w:eastAsia="Times New Roman" w:cs="Arial"/>
          <w:kern w:val="0"/>
          <w:lang w:eastAsia="pt-BR"/>
          <w14:ligatures w14:val="none"/>
        </w:rPr>
        <w:t xml:space="preserve"> e </w:t>
      </w:r>
      <w:r w:rsidRPr="00B74E01">
        <w:rPr>
          <w:rFonts w:eastAsia="Times New Roman" w:cs="Arial"/>
          <w:b/>
          <w:bCs/>
          <w:kern w:val="0"/>
          <w:lang w:eastAsia="pt-BR"/>
          <w14:ligatures w14:val="none"/>
        </w:rPr>
        <w:t>como a licitação deverá tratar a comprovação dos valores pelos concorrentes</w:t>
      </w:r>
      <w:r w:rsidRPr="00B74E01">
        <w:rPr>
          <w:rFonts w:eastAsia="Times New Roman" w:cs="Arial"/>
          <w:kern w:val="0"/>
          <w:lang w:eastAsia="pt-BR"/>
          <w14:ligatures w14:val="none"/>
        </w:rPr>
        <w:t>.</w:t>
      </w:r>
    </w:p>
    <w:p w14:paraId="37F9F7F8" w14:textId="77777777" w:rsidR="00CF7ABE" w:rsidRPr="00B74E01" w:rsidRDefault="00CF7ABE" w:rsidP="00D65A3E">
      <w:pPr>
        <w:pStyle w:val="Ttulo2"/>
        <w:rPr>
          <w:rFonts w:eastAsia="Times New Roman"/>
          <w:lang w:eastAsia="pt-BR"/>
        </w:rPr>
      </w:pPr>
      <w:bookmarkStart w:id="58" w:name="_Toc230204060"/>
      <w:r w:rsidRPr="00B74E01">
        <w:rPr>
          <w:rFonts w:eastAsia="Times New Roman"/>
          <w:lang w:eastAsia="pt-BR"/>
        </w:rPr>
        <w:t>7.1. Finalidade do CAPEX na modelagem</w:t>
      </w:r>
      <w:bookmarkEnd w:id="58"/>
    </w:p>
    <w:p w14:paraId="0BAAC694"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O CAPEX tem a função de estimar o volume de investimento necessário para que a futura SPE implante a estrutura física e tecnológica mínima da PPP.</w:t>
      </w:r>
    </w:p>
    <w:p w14:paraId="3190DB4E"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estrutura de investimento considerada na modelagem contempla os seguintes blocos: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498"/>
        <w:gridCol w:w="6563"/>
      </w:tblGrid>
      <w:tr w:rsidR="00CF7ABE" w:rsidRPr="00B74E01" w14:paraId="3B022875" w14:textId="77777777" w:rsidTr="00671A31">
        <w:trPr>
          <w:tblHeade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1D3A1A60" w14:textId="77777777" w:rsidR="00CF7ABE" w:rsidRPr="00B74E01" w:rsidRDefault="00CF7ABE" w:rsidP="00D65A3E">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Bloco de investimento</w:t>
            </w:r>
          </w:p>
        </w:tc>
        <w:tc>
          <w:tcPr>
            <w:tcW w:w="0" w:type="auto"/>
            <w:tcBorders>
              <w:top w:val="single" w:sz="4" w:space="0" w:color="auto"/>
              <w:left w:val="single" w:sz="4" w:space="0" w:color="auto"/>
              <w:bottom w:val="single" w:sz="4" w:space="0" w:color="auto"/>
              <w:right w:val="single" w:sz="4" w:space="0" w:color="auto"/>
            </w:tcBorders>
            <w:vAlign w:val="center"/>
            <w:hideMark/>
          </w:tcPr>
          <w:p w14:paraId="5912A2F3" w14:textId="77777777" w:rsidR="00CF7ABE" w:rsidRPr="00B74E01" w:rsidRDefault="00CF7ABE" w:rsidP="00D65A3E">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Finalidade</w:t>
            </w:r>
          </w:p>
        </w:tc>
      </w:tr>
      <w:tr w:rsidR="00CF7ABE" w:rsidRPr="00B74E01" w14:paraId="269C7E2B" w14:textId="77777777" w:rsidTr="00671A31">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5CD6E4B9"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Licenças e projetos</w:t>
            </w:r>
          </w:p>
        </w:tc>
        <w:tc>
          <w:tcPr>
            <w:tcW w:w="0" w:type="auto"/>
            <w:tcBorders>
              <w:top w:val="single" w:sz="4" w:space="0" w:color="auto"/>
              <w:left w:val="single" w:sz="4" w:space="0" w:color="auto"/>
              <w:bottom w:val="single" w:sz="4" w:space="0" w:color="auto"/>
              <w:right w:val="single" w:sz="4" w:space="0" w:color="auto"/>
            </w:tcBorders>
            <w:vAlign w:val="center"/>
            <w:hideMark/>
          </w:tcPr>
          <w:p w14:paraId="3B116D57"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Viabilizar juridicamente, tecnicamente e ambientalmente a implantação</w:t>
            </w:r>
          </w:p>
        </w:tc>
      </w:tr>
      <w:tr w:rsidR="00CF7ABE" w:rsidRPr="00B74E01" w14:paraId="0E45EE7E" w14:textId="77777777" w:rsidTr="00671A31">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5CA1101C"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Terraplenagem e acesso</w:t>
            </w:r>
          </w:p>
        </w:tc>
        <w:tc>
          <w:tcPr>
            <w:tcW w:w="0" w:type="auto"/>
            <w:tcBorders>
              <w:top w:val="single" w:sz="4" w:space="0" w:color="auto"/>
              <w:left w:val="single" w:sz="4" w:space="0" w:color="auto"/>
              <w:bottom w:val="single" w:sz="4" w:space="0" w:color="auto"/>
              <w:right w:val="single" w:sz="4" w:space="0" w:color="auto"/>
            </w:tcBorders>
            <w:vAlign w:val="center"/>
            <w:hideMark/>
          </w:tcPr>
          <w:p w14:paraId="29F3EFDE"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Preparar a área e permitir circulação operacional</w:t>
            </w:r>
          </w:p>
        </w:tc>
      </w:tr>
      <w:tr w:rsidR="00CF7ABE" w:rsidRPr="00B74E01" w14:paraId="244F12EF" w14:textId="77777777" w:rsidTr="00671A31">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2BDB1F42"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Pátio, piso e galpão</w:t>
            </w:r>
          </w:p>
        </w:tc>
        <w:tc>
          <w:tcPr>
            <w:tcW w:w="0" w:type="auto"/>
            <w:tcBorders>
              <w:top w:val="single" w:sz="4" w:space="0" w:color="auto"/>
              <w:left w:val="single" w:sz="4" w:space="0" w:color="auto"/>
              <w:bottom w:val="single" w:sz="4" w:space="0" w:color="auto"/>
              <w:right w:val="single" w:sz="4" w:space="0" w:color="auto"/>
            </w:tcBorders>
            <w:vAlign w:val="center"/>
            <w:hideMark/>
          </w:tcPr>
          <w:p w14:paraId="104AE565"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Estruturar a base física da planta industrial</w:t>
            </w:r>
          </w:p>
        </w:tc>
      </w:tr>
      <w:tr w:rsidR="00CF7ABE" w:rsidRPr="00B74E01" w14:paraId="3B902746" w14:textId="77777777" w:rsidTr="00671A31">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089619FE"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Balança e sistemas</w:t>
            </w:r>
          </w:p>
        </w:tc>
        <w:tc>
          <w:tcPr>
            <w:tcW w:w="0" w:type="auto"/>
            <w:tcBorders>
              <w:top w:val="single" w:sz="4" w:space="0" w:color="auto"/>
              <w:left w:val="single" w:sz="4" w:space="0" w:color="auto"/>
              <w:bottom w:val="single" w:sz="4" w:space="0" w:color="auto"/>
              <w:right w:val="single" w:sz="4" w:space="0" w:color="auto"/>
            </w:tcBorders>
            <w:vAlign w:val="center"/>
            <w:hideMark/>
          </w:tcPr>
          <w:p w14:paraId="016FDD79"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Controlar recebimento, pesagem, rastreabilidade e operação</w:t>
            </w:r>
          </w:p>
        </w:tc>
      </w:tr>
      <w:tr w:rsidR="00CF7ABE" w:rsidRPr="00B74E01" w14:paraId="68264FE8" w14:textId="77777777" w:rsidTr="00671A31">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243F8ABD"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lastRenderedPageBreak/>
              <w:t>Segurança e prevenção</w:t>
            </w:r>
          </w:p>
        </w:tc>
        <w:tc>
          <w:tcPr>
            <w:tcW w:w="0" w:type="auto"/>
            <w:tcBorders>
              <w:top w:val="single" w:sz="4" w:space="0" w:color="auto"/>
              <w:left w:val="single" w:sz="4" w:space="0" w:color="auto"/>
              <w:bottom w:val="single" w:sz="4" w:space="0" w:color="auto"/>
              <w:right w:val="single" w:sz="4" w:space="0" w:color="auto"/>
            </w:tcBorders>
            <w:vAlign w:val="center"/>
            <w:hideMark/>
          </w:tcPr>
          <w:p w14:paraId="34BA3F97"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Atender requisitos de proteção patrimonial, operacional e contra incêndio</w:t>
            </w:r>
          </w:p>
        </w:tc>
      </w:tr>
      <w:tr w:rsidR="00CF7ABE" w:rsidRPr="00B74E01" w14:paraId="0AFC7AC5" w14:textId="77777777" w:rsidTr="00671A31">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20D45F22"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Carbonização</w:t>
            </w:r>
          </w:p>
        </w:tc>
        <w:tc>
          <w:tcPr>
            <w:tcW w:w="0" w:type="auto"/>
            <w:tcBorders>
              <w:top w:val="single" w:sz="4" w:space="0" w:color="auto"/>
              <w:left w:val="single" w:sz="4" w:space="0" w:color="auto"/>
              <w:bottom w:val="single" w:sz="4" w:space="0" w:color="auto"/>
              <w:right w:val="single" w:sz="4" w:space="0" w:color="auto"/>
            </w:tcBorders>
            <w:vAlign w:val="center"/>
            <w:hideMark/>
          </w:tcPr>
          <w:p w14:paraId="0E526BC1"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Núcleo industrial de tratamento/valorização do RSU</w:t>
            </w:r>
          </w:p>
        </w:tc>
      </w:tr>
      <w:tr w:rsidR="00CF7ABE" w:rsidRPr="00B74E01" w14:paraId="1242B236" w14:textId="77777777" w:rsidTr="00671A31">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12FE9F20"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Geração de energia</w:t>
            </w:r>
          </w:p>
        </w:tc>
        <w:tc>
          <w:tcPr>
            <w:tcW w:w="0" w:type="auto"/>
            <w:tcBorders>
              <w:top w:val="single" w:sz="4" w:space="0" w:color="auto"/>
              <w:left w:val="single" w:sz="4" w:space="0" w:color="auto"/>
              <w:bottom w:val="single" w:sz="4" w:space="0" w:color="auto"/>
              <w:right w:val="single" w:sz="4" w:space="0" w:color="auto"/>
            </w:tcBorders>
            <w:vAlign w:val="center"/>
            <w:hideMark/>
          </w:tcPr>
          <w:p w14:paraId="4D2B5402"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Núcleo energético da solução integrada</w:t>
            </w:r>
          </w:p>
        </w:tc>
      </w:tr>
      <w:tr w:rsidR="00CF7ABE" w:rsidRPr="00B74E01" w14:paraId="78A6CD1C" w14:textId="77777777" w:rsidTr="00671A31">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23BB8129"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Contingência técnica</w:t>
            </w:r>
          </w:p>
        </w:tc>
        <w:tc>
          <w:tcPr>
            <w:tcW w:w="0" w:type="auto"/>
            <w:tcBorders>
              <w:top w:val="single" w:sz="4" w:space="0" w:color="auto"/>
              <w:left w:val="single" w:sz="4" w:space="0" w:color="auto"/>
              <w:bottom w:val="single" w:sz="4" w:space="0" w:color="auto"/>
              <w:right w:val="single" w:sz="4" w:space="0" w:color="auto"/>
            </w:tcBorders>
            <w:vAlign w:val="center"/>
            <w:hideMark/>
          </w:tcPr>
          <w:p w14:paraId="6B56B691"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Absorver variações ordinárias de implantação</w:t>
            </w:r>
          </w:p>
        </w:tc>
      </w:tr>
      <w:tr w:rsidR="00CF7ABE" w:rsidRPr="00B74E01" w14:paraId="2F14C3D0" w14:textId="77777777" w:rsidTr="00671A31">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3217B5DE"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Capital de giro</w:t>
            </w:r>
          </w:p>
        </w:tc>
        <w:tc>
          <w:tcPr>
            <w:tcW w:w="0" w:type="auto"/>
            <w:tcBorders>
              <w:top w:val="single" w:sz="4" w:space="0" w:color="auto"/>
              <w:left w:val="single" w:sz="4" w:space="0" w:color="auto"/>
              <w:bottom w:val="single" w:sz="4" w:space="0" w:color="auto"/>
              <w:right w:val="single" w:sz="4" w:space="0" w:color="auto"/>
            </w:tcBorders>
            <w:vAlign w:val="center"/>
            <w:hideMark/>
          </w:tcPr>
          <w:p w14:paraId="52A8C184"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Garantir liquidez inicial da SPE</w:t>
            </w:r>
          </w:p>
        </w:tc>
      </w:tr>
      <w:tr w:rsidR="00CF7ABE" w:rsidRPr="00B74E01" w14:paraId="18ED8B27" w14:textId="77777777" w:rsidTr="00671A31">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4AA8DAC1"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IDC</w:t>
            </w:r>
          </w:p>
        </w:tc>
        <w:tc>
          <w:tcPr>
            <w:tcW w:w="0" w:type="auto"/>
            <w:tcBorders>
              <w:top w:val="single" w:sz="4" w:space="0" w:color="auto"/>
              <w:left w:val="single" w:sz="4" w:space="0" w:color="auto"/>
              <w:bottom w:val="single" w:sz="4" w:space="0" w:color="auto"/>
              <w:right w:val="single" w:sz="4" w:space="0" w:color="auto"/>
            </w:tcBorders>
            <w:vAlign w:val="center"/>
            <w:hideMark/>
          </w:tcPr>
          <w:p w14:paraId="4ADCEFEF"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Cobrir juros durante o período de implantação</w:t>
            </w:r>
          </w:p>
        </w:tc>
      </w:tr>
    </w:tbl>
    <w:p w14:paraId="6C001D26"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 estruturação do CAPEX deve ser compatível com o modelo </w:t>
      </w:r>
      <w:proofErr w:type="spellStart"/>
      <w:r w:rsidRPr="00B74E01">
        <w:rPr>
          <w:rFonts w:eastAsia="Times New Roman" w:cs="Arial"/>
          <w:b/>
          <w:bCs/>
          <w:kern w:val="0"/>
          <w:lang w:eastAsia="pt-BR"/>
          <w14:ligatures w14:val="none"/>
        </w:rPr>
        <w:t>turnkey</w:t>
      </w:r>
      <w:proofErr w:type="spellEnd"/>
      <w:r w:rsidRPr="00B74E01">
        <w:rPr>
          <w:rFonts w:eastAsia="Times New Roman" w:cs="Arial"/>
          <w:kern w:val="0"/>
          <w:lang w:eastAsia="pt-BR"/>
          <w14:ligatures w14:val="none"/>
        </w:rPr>
        <w:t>, no qual a responsabilidade pela entrega integrada da solução, montagem, compatibilização, comissionamento, testes e funcionamento inicial deverá ser concentrada no fornecedor/implantador ou na SPE, conforme definido no edital e no contrato.</w:t>
      </w:r>
    </w:p>
    <w:p w14:paraId="39C3E47E" w14:textId="77777777" w:rsidR="00CF7ABE" w:rsidRPr="00B74E01" w:rsidRDefault="00CF7ABE" w:rsidP="00D65A3E">
      <w:pPr>
        <w:pStyle w:val="Ttulo2"/>
        <w:rPr>
          <w:rFonts w:eastAsia="Times New Roman"/>
          <w:lang w:eastAsia="pt-BR"/>
        </w:rPr>
      </w:pPr>
      <w:bookmarkStart w:id="59" w:name="_Toc230204061"/>
      <w:r w:rsidRPr="00B74E01">
        <w:rPr>
          <w:rFonts w:eastAsia="Times New Roman"/>
          <w:lang w:eastAsia="pt-BR"/>
        </w:rPr>
        <w:t>7.2. CAPEX base da modelagem</w:t>
      </w:r>
      <w:bookmarkEnd w:id="59"/>
    </w:p>
    <w:p w14:paraId="2B219AC7"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O CAPEX base da modelagem foi estimado em </w:t>
      </w:r>
      <w:r w:rsidRPr="00B74E01">
        <w:rPr>
          <w:rFonts w:eastAsia="Times New Roman" w:cs="Arial"/>
          <w:b/>
          <w:bCs/>
          <w:kern w:val="0"/>
          <w:lang w:eastAsia="pt-BR"/>
          <w14:ligatures w14:val="none"/>
        </w:rPr>
        <w:t>R$ 26.252.043,00</w:t>
      </w:r>
      <w:r w:rsidRPr="00B74E01">
        <w:rPr>
          <w:rFonts w:eastAsia="Times New Roman" w:cs="Arial"/>
          <w:kern w:val="0"/>
          <w:lang w:eastAsia="pt-BR"/>
          <w14:ligatures w14:val="none"/>
        </w:rPr>
        <w:t>, conforme composição abaixo.</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484"/>
        <w:gridCol w:w="2004"/>
      </w:tblGrid>
      <w:tr w:rsidR="00CF7ABE" w:rsidRPr="00B74E01" w14:paraId="0BD95FE2" w14:textId="77777777" w:rsidTr="00671A31">
        <w:trPr>
          <w:tblHeader/>
          <w:tblCellSpacing w:w="15" w:type="dxa"/>
        </w:trPr>
        <w:tc>
          <w:tcPr>
            <w:tcW w:w="0" w:type="auto"/>
            <w:vAlign w:val="center"/>
            <w:hideMark/>
          </w:tcPr>
          <w:p w14:paraId="433B9870" w14:textId="77777777" w:rsidR="00CF7ABE" w:rsidRPr="00B74E01" w:rsidRDefault="00CF7ABE" w:rsidP="00D65A3E">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Item de CAPEX</w:t>
            </w:r>
          </w:p>
        </w:tc>
        <w:tc>
          <w:tcPr>
            <w:tcW w:w="0" w:type="auto"/>
            <w:vAlign w:val="center"/>
            <w:hideMark/>
          </w:tcPr>
          <w:p w14:paraId="6053D9DA" w14:textId="77777777" w:rsidR="00CF7ABE" w:rsidRPr="00B74E01" w:rsidRDefault="00CF7ABE" w:rsidP="00D65A3E">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w:t>
            </w:r>
          </w:p>
        </w:tc>
      </w:tr>
      <w:tr w:rsidR="00CF7ABE" w:rsidRPr="00B74E01" w14:paraId="026E7599" w14:textId="77777777" w:rsidTr="00671A31">
        <w:trPr>
          <w:tblCellSpacing w:w="15" w:type="dxa"/>
        </w:trPr>
        <w:tc>
          <w:tcPr>
            <w:tcW w:w="0" w:type="auto"/>
            <w:vAlign w:val="center"/>
            <w:hideMark/>
          </w:tcPr>
          <w:p w14:paraId="2D4012DB"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Licenças</w:t>
            </w:r>
          </w:p>
        </w:tc>
        <w:tc>
          <w:tcPr>
            <w:tcW w:w="0" w:type="auto"/>
            <w:vAlign w:val="center"/>
            <w:hideMark/>
          </w:tcPr>
          <w:p w14:paraId="0E20266A"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R$ 250.000,00</w:t>
            </w:r>
          </w:p>
        </w:tc>
      </w:tr>
      <w:tr w:rsidR="00CF7ABE" w:rsidRPr="00B74E01" w14:paraId="6033C62C" w14:textId="77777777" w:rsidTr="00671A31">
        <w:trPr>
          <w:tblCellSpacing w:w="15" w:type="dxa"/>
        </w:trPr>
        <w:tc>
          <w:tcPr>
            <w:tcW w:w="0" w:type="auto"/>
            <w:vAlign w:val="center"/>
            <w:hideMark/>
          </w:tcPr>
          <w:p w14:paraId="62A20DD3"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Projetos</w:t>
            </w:r>
          </w:p>
        </w:tc>
        <w:tc>
          <w:tcPr>
            <w:tcW w:w="0" w:type="auto"/>
            <w:vAlign w:val="center"/>
            <w:hideMark/>
          </w:tcPr>
          <w:p w14:paraId="7DF94E0A"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R$ 300.000,00</w:t>
            </w:r>
          </w:p>
        </w:tc>
      </w:tr>
      <w:tr w:rsidR="00CF7ABE" w:rsidRPr="00B74E01" w14:paraId="28E0F22F" w14:textId="77777777" w:rsidTr="00671A31">
        <w:trPr>
          <w:tblCellSpacing w:w="15" w:type="dxa"/>
        </w:trPr>
        <w:tc>
          <w:tcPr>
            <w:tcW w:w="0" w:type="auto"/>
            <w:vAlign w:val="center"/>
            <w:hideMark/>
          </w:tcPr>
          <w:p w14:paraId="3D467F98"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Terraplenagem / via de acesso</w:t>
            </w:r>
          </w:p>
        </w:tc>
        <w:tc>
          <w:tcPr>
            <w:tcW w:w="0" w:type="auto"/>
            <w:vAlign w:val="center"/>
            <w:hideMark/>
          </w:tcPr>
          <w:p w14:paraId="5499BC7D"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R$ 590.893,00</w:t>
            </w:r>
          </w:p>
        </w:tc>
      </w:tr>
      <w:tr w:rsidR="00CF7ABE" w:rsidRPr="00B74E01" w14:paraId="63AA6FAC" w14:textId="77777777" w:rsidTr="00671A31">
        <w:trPr>
          <w:tblCellSpacing w:w="15" w:type="dxa"/>
        </w:trPr>
        <w:tc>
          <w:tcPr>
            <w:tcW w:w="0" w:type="auto"/>
            <w:vAlign w:val="center"/>
            <w:hideMark/>
          </w:tcPr>
          <w:p w14:paraId="58B7C8B1"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Asfaltamento de pátio</w:t>
            </w:r>
          </w:p>
        </w:tc>
        <w:tc>
          <w:tcPr>
            <w:tcW w:w="0" w:type="auto"/>
            <w:vAlign w:val="center"/>
            <w:hideMark/>
          </w:tcPr>
          <w:p w14:paraId="1D9B236B"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R$ 406.800,00</w:t>
            </w:r>
          </w:p>
        </w:tc>
      </w:tr>
      <w:tr w:rsidR="00CF7ABE" w:rsidRPr="00B74E01" w14:paraId="0F5EAA68" w14:textId="77777777" w:rsidTr="00671A31">
        <w:trPr>
          <w:tblCellSpacing w:w="15" w:type="dxa"/>
        </w:trPr>
        <w:tc>
          <w:tcPr>
            <w:tcW w:w="0" w:type="auto"/>
            <w:vAlign w:val="center"/>
            <w:hideMark/>
          </w:tcPr>
          <w:p w14:paraId="1C8B1558"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Galpão 2.000 m²</w:t>
            </w:r>
          </w:p>
        </w:tc>
        <w:tc>
          <w:tcPr>
            <w:tcW w:w="0" w:type="auto"/>
            <w:vAlign w:val="center"/>
            <w:hideMark/>
          </w:tcPr>
          <w:p w14:paraId="1EBE8E1D"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R$ 1.600.000,00</w:t>
            </w:r>
          </w:p>
        </w:tc>
      </w:tr>
      <w:tr w:rsidR="00CF7ABE" w:rsidRPr="00B74E01" w14:paraId="2F74D45F" w14:textId="77777777" w:rsidTr="00671A31">
        <w:trPr>
          <w:tblCellSpacing w:w="15" w:type="dxa"/>
        </w:trPr>
        <w:tc>
          <w:tcPr>
            <w:tcW w:w="0" w:type="auto"/>
            <w:vAlign w:val="center"/>
            <w:hideMark/>
          </w:tcPr>
          <w:p w14:paraId="3DBC1047"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Balança + sistemas + estrutura</w:t>
            </w:r>
          </w:p>
        </w:tc>
        <w:tc>
          <w:tcPr>
            <w:tcW w:w="0" w:type="auto"/>
            <w:vAlign w:val="center"/>
            <w:hideMark/>
          </w:tcPr>
          <w:p w14:paraId="72C94BFB"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R$ 306.000,00</w:t>
            </w:r>
          </w:p>
        </w:tc>
      </w:tr>
      <w:tr w:rsidR="00CF7ABE" w:rsidRPr="00B74E01" w14:paraId="78565BD6" w14:textId="77777777" w:rsidTr="00671A31">
        <w:trPr>
          <w:tblCellSpacing w:w="15" w:type="dxa"/>
        </w:trPr>
        <w:tc>
          <w:tcPr>
            <w:tcW w:w="0" w:type="auto"/>
            <w:vAlign w:val="center"/>
            <w:hideMark/>
          </w:tcPr>
          <w:p w14:paraId="3004017A"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Piso concreto prédio / armazém</w:t>
            </w:r>
          </w:p>
        </w:tc>
        <w:tc>
          <w:tcPr>
            <w:tcW w:w="0" w:type="auto"/>
            <w:vAlign w:val="center"/>
            <w:hideMark/>
          </w:tcPr>
          <w:p w14:paraId="24B96B4E"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R$ 420.000,00</w:t>
            </w:r>
          </w:p>
        </w:tc>
      </w:tr>
      <w:tr w:rsidR="00CF7ABE" w:rsidRPr="00B74E01" w14:paraId="330FAD63" w14:textId="77777777" w:rsidTr="00671A31">
        <w:trPr>
          <w:tblCellSpacing w:w="15" w:type="dxa"/>
        </w:trPr>
        <w:tc>
          <w:tcPr>
            <w:tcW w:w="0" w:type="auto"/>
            <w:vAlign w:val="center"/>
            <w:hideMark/>
          </w:tcPr>
          <w:p w14:paraId="240E0C0B"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Sistema contra incêndios</w:t>
            </w:r>
          </w:p>
        </w:tc>
        <w:tc>
          <w:tcPr>
            <w:tcW w:w="0" w:type="auto"/>
            <w:vAlign w:val="center"/>
            <w:hideMark/>
          </w:tcPr>
          <w:p w14:paraId="49F0B9AB"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R$ 102.000,00</w:t>
            </w:r>
          </w:p>
        </w:tc>
      </w:tr>
      <w:tr w:rsidR="00CF7ABE" w:rsidRPr="00B74E01" w14:paraId="0DAB4226" w14:textId="77777777" w:rsidTr="00671A31">
        <w:trPr>
          <w:tblCellSpacing w:w="15" w:type="dxa"/>
        </w:trPr>
        <w:tc>
          <w:tcPr>
            <w:tcW w:w="0" w:type="auto"/>
            <w:vAlign w:val="center"/>
            <w:hideMark/>
          </w:tcPr>
          <w:p w14:paraId="7B7B87C0"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Sistema de alarmes</w:t>
            </w:r>
          </w:p>
        </w:tc>
        <w:tc>
          <w:tcPr>
            <w:tcW w:w="0" w:type="auto"/>
            <w:vAlign w:val="center"/>
            <w:hideMark/>
          </w:tcPr>
          <w:p w14:paraId="4D13DA51"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R$ 93.000,00</w:t>
            </w:r>
          </w:p>
        </w:tc>
      </w:tr>
      <w:tr w:rsidR="00CF7ABE" w:rsidRPr="00B74E01" w14:paraId="3B9D3B1A" w14:textId="77777777" w:rsidTr="00671A31">
        <w:trPr>
          <w:tblCellSpacing w:w="15" w:type="dxa"/>
        </w:trPr>
        <w:tc>
          <w:tcPr>
            <w:tcW w:w="0" w:type="auto"/>
            <w:vAlign w:val="center"/>
            <w:hideMark/>
          </w:tcPr>
          <w:p w14:paraId="7E1574C8"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Carbonização</w:t>
            </w:r>
          </w:p>
        </w:tc>
        <w:tc>
          <w:tcPr>
            <w:tcW w:w="0" w:type="auto"/>
            <w:vAlign w:val="center"/>
            <w:hideMark/>
          </w:tcPr>
          <w:p w14:paraId="182E19B7"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R$ 12.100.000,00</w:t>
            </w:r>
          </w:p>
        </w:tc>
      </w:tr>
      <w:tr w:rsidR="00CF7ABE" w:rsidRPr="00B74E01" w14:paraId="01FF5D04" w14:textId="77777777" w:rsidTr="00671A31">
        <w:trPr>
          <w:tblCellSpacing w:w="15" w:type="dxa"/>
        </w:trPr>
        <w:tc>
          <w:tcPr>
            <w:tcW w:w="0" w:type="auto"/>
            <w:vAlign w:val="center"/>
            <w:hideMark/>
          </w:tcPr>
          <w:p w14:paraId="19F12213"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lastRenderedPageBreak/>
              <w:t>Geração de energia</w:t>
            </w:r>
          </w:p>
        </w:tc>
        <w:tc>
          <w:tcPr>
            <w:tcW w:w="0" w:type="auto"/>
            <w:vAlign w:val="center"/>
            <w:hideMark/>
          </w:tcPr>
          <w:p w14:paraId="52B4ED45"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R$ 10.083.350,00</w:t>
            </w:r>
          </w:p>
        </w:tc>
      </w:tr>
      <w:tr w:rsidR="00CF7ABE" w:rsidRPr="00B74E01" w14:paraId="6522E7D6" w14:textId="77777777" w:rsidTr="00671A31">
        <w:trPr>
          <w:tblCellSpacing w:w="15" w:type="dxa"/>
        </w:trPr>
        <w:tc>
          <w:tcPr>
            <w:tcW w:w="0" w:type="auto"/>
            <w:vAlign w:val="center"/>
            <w:hideMark/>
          </w:tcPr>
          <w:p w14:paraId="3CA019FA"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CAPEX base</w:t>
            </w:r>
          </w:p>
        </w:tc>
        <w:tc>
          <w:tcPr>
            <w:tcW w:w="0" w:type="auto"/>
            <w:vAlign w:val="center"/>
            <w:hideMark/>
          </w:tcPr>
          <w:p w14:paraId="65115626"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R$ 26.252.043,00</w:t>
            </w:r>
          </w:p>
        </w:tc>
      </w:tr>
    </w:tbl>
    <w:p w14:paraId="0724FC80"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Os dois maiores itens do CAPEX são o sistema de </w:t>
      </w:r>
      <w:r w:rsidRPr="00B74E01">
        <w:rPr>
          <w:rFonts w:eastAsia="Times New Roman" w:cs="Arial"/>
          <w:b/>
          <w:bCs/>
          <w:kern w:val="0"/>
          <w:lang w:eastAsia="pt-BR"/>
          <w14:ligatures w14:val="none"/>
        </w:rPr>
        <w:t>carbonização</w:t>
      </w:r>
      <w:r w:rsidRPr="00B74E01">
        <w:rPr>
          <w:rFonts w:eastAsia="Times New Roman" w:cs="Arial"/>
          <w:kern w:val="0"/>
          <w:lang w:eastAsia="pt-BR"/>
          <w14:ligatures w14:val="none"/>
        </w:rPr>
        <w:t xml:space="preserve">, no valor estimado de </w:t>
      </w:r>
      <w:r w:rsidRPr="00B74E01">
        <w:rPr>
          <w:rFonts w:eastAsia="Times New Roman" w:cs="Arial"/>
          <w:b/>
          <w:bCs/>
          <w:kern w:val="0"/>
          <w:lang w:eastAsia="pt-BR"/>
          <w14:ligatures w14:val="none"/>
        </w:rPr>
        <w:t>R$ 12.100.000,00</w:t>
      </w:r>
      <w:r w:rsidRPr="00B74E01">
        <w:rPr>
          <w:rFonts w:eastAsia="Times New Roman" w:cs="Arial"/>
          <w:kern w:val="0"/>
          <w:lang w:eastAsia="pt-BR"/>
          <w14:ligatures w14:val="none"/>
        </w:rPr>
        <w:t xml:space="preserve">, e o sistema de </w:t>
      </w:r>
      <w:r w:rsidRPr="00B74E01">
        <w:rPr>
          <w:rFonts w:eastAsia="Times New Roman" w:cs="Arial"/>
          <w:b/>
          <w:bCs/>
          <w:kern w:val="0"/>
          <w:lang w:eastAsia="pt-BR"/>
          <w14:ligatures w14:val="none"/>
        </w:rPr>
        <w:t>geração de energia</w:t>
      </w:r>
      <w:r w:rsidRPr="00B74E01">
        <w:rPr>
          <w:rFonts w:eastAsia="Times New Roman" w:cs="Arial"/>
          <w:kern w:val="0"/>
          <w:lang w:eastAsia="pt-BR"/>
          <w14:ligatures w14:val="none"/>
        </w:rPr>
        <w:t xml:space="preserve">, no valor estimado de </w:t>
      </w:r>
      <w:r w:rsidRPr="00B74E01">
        <w:rPr>
          <w:rFonts w:eastAsia="Times New Roman" w:cs="Arial"/>
          <w:b/>
          <w:bCs/>
          <w:kern w:val="0"/>
          <w:lang w:eastAsia="pt-BR"/>
          <w14:ligatures w14:val="none"/>
        </w:rPr>
        <w:t>R$ 10.083.350,00</w:t>
      </w:r>
      <w:r w:rsidRPr="00B74E01">
        <w:rPr>
          <w:rFonts w:eastAsia="Times New Roman" w:cs="Arial"/>
          <w:kern w:val="0"/>
          <w:lang w:eastAsia="pt-BR"/>
          <w14:ligatures w14:val="none"/>
        </w:rPr>
        <w:t>. Juntos, esses dois componentes representam a maior parte do investimento inicial e constituem o núcleo tecnológico da PPP.</w:t>
      </w:r>
    </w:p>
    <w:p w14:paraId="30F7625D"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Por isso, esses itens deverão receber tratamento licitatório reforçado, com exigência de comprovação técnica, garantias de desempenho, operação assistida, assistência técnica, cronograma de implantação, testes de aceitação, comissionamento e responsabilidade por integração.</w:t>
      </w:r>
    </w:p>
    <w:p w14:paraId="1F2F5B1D" w14:textId="77777777" w:rsidR="00CF7ABE" w:rsidRPr="00B74E01" w:rsidRDefault="00CF7ABE" w:rsidP="00D65A3E">
      <w:pPr>
        <w:pStyle w:val="Ttulo2"/>
        <w:rPr>
          <w:rFonts w:eastAsia="Times New Roman"/>
          <w:lang w:eastAsia="pt-BR"/>
        </w:rPr>
      </w:pPr>
      <w:bookmarkStart w:id="60" w:name="_Toc230204062"/>
      <w:r w:rsidRPr="00B74E01">
        <w:rPr>
          <w:rFonts w:eastAsia="Times New Roman"/>
          <w:lang w:eastAsia="pt-BR"/>
        </w:rPr>
        <w:t>7.3. Leitura dos principais blocos do CAPEX</w:t>
      </w:r>
      <w:bookmarkEnd w:id="60"/>
    </w:p>
    <w:p w14:paraId="76C7220D" w14:textId="77777777" w:rsidR="00CF7ABE" w:rsidRPr="00D65A3E" w:rsidRDefault="00CF7ABE" w:rsidP="00D65A3E">
      <w:pPr>
        <w:pStyle w:val="Ttulo3"/>
      </w:pPr>
      <w:bookmarkStart w:id="61" w:name="_Toc230204063"/>
      <w:r w:rsidRPr="00D65A3E">
        <w:t>7.3.1. Licenças e projetos</w:t>
      </w:r>
      <w:bookmarkEnd w:id="61"/>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055"/>
        <w:gridCol w:w="1670"/>
      </w:tblGrid>
      <w:tr w:rsidR="00CF7ABE" w:rsidRPr="00B74E01" w14:paraId="52A98DB8" w14:textId="77777777" w:rsidTr="00671A31">
        <w:trPr>
          <w:tblHeader/>
          <w:tblCellSpacing w:w="15" w:type="dxa"/>
        </w:trPr>
        <w:tc>
          <w:tcPr>
            <w:tcW w:w="0" w:type="auto"/>
            <w:vAlign w:val="center"/>
            <w:hideMark/>
          </w:tcPr>
          <w:p w14:paraId="5072479B" w14:textId="77777777" w:rsidR="00CF7ABE" w:rsidRPr="00B74E01" w:rsidRDefault="00CF7ABE" w:rsidP="00D65A3E">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Item</w:t>
            </w:r>
          </w:p>
        </w:tc>
        <w:tc>
          <w:tcPr>
            <w:tcW w:w="0" w:type="auto"/>
            <w:vAlign w:val="center"/>
            <w:hideMark/>
          </w:tcPr>
          <w:p w14:paraId="4B31DAF4" w14:textId="77777777" w:rsidR="00CF7ABE" w:rsidRPr="00B74E01" w:rsidRDefault="00CF7ABE" w:rsidP="00D65A3E">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w:t>
            </w:r>
          </w:p>
        </w:tc>
      </w:tr>
      <w:tr w:rsidR="00CF7ABE" w:rsidRPr="00B74E01" w14:paraId="2964AA0F" w14:textId="77777777" w:rsidTr="00671A31">
        <w:trPr>
          <w:tblCellSpacing w:w="15" w:type="dxa"/>
        </w:trPr>
        <w:tc>
          <w:tcPr>
            <w:tcW w:w="0" w:type="auto"/>
            <w:vAlign w:val="center"/>
            <w:hideMark/>
          </w:tcPr>
          <w:p w14:paraId="4DAEA5D5"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Licenças</w:t>
            </w:r>
          </w:p>
        </w:tc>
        <w:tc>
          <w:tcPr>
            <w:tcW w:w="0" w:type="auto"/>
            <w:vAlign w:val="center"/>
            <w:hideMark/>
          </w:tcPr>
          <w:p w14:paraId="401CBBFD"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R$ 250.000,00</w:t>
            </w:r>
          </w:p>
        </w:tc>
      </w:tr>
      <w:tr w:rsidR="00CF7ABE" w:rsidRPr="00B74E01" w14:paraId="267661D5" w14:textId="77777777" w:rsidTr="00671A31">
        <w:trPr>
          <w:tblCellSpacing w:w="15" w:type="dxa"/>
        </w:trPr>
        <w:tc>
          <w:tcPr>
            <w:tcW w:w="0" w:type="auto"/>
            <w:vAlign w:val="center"/>
            <w:hideMark/>
          </w:tcPr>
          <w:p w14:paraId="15DCD06D"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Projetos</w:t>
            </w:r>
          </w:p>
        </w:tc>
        <w:tc>
          <w:tcPr>
            <w:tcW w:w="0" w:type="auto"/>
            <w:vAlign w:val="center"/>
            <w:hideMark/>
          </w:tcPr>
          <w:p w14:paraId="5334AA4E"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R$ 300.000,00</w:t>
            </w:r>
          </w:p>
        </w:tc>
      </w:tr>
      <w:tr w:rsidR="00CF7ABE" w:rsidRPr="00B74E01" w14:paraId="203D6B15" w14:textId="77777777" w:rsidTr="00671A31">
        <w:trPr>
          <w:tblCellSpacing w:w="15" w:type="dxa"/>
        </w:trPr>
        <w:tc>
          <w:tcPr>
            <w:tcW w:w="0" w:type="auto"/>
            <w:vAlign w:val="center"/>
            <w:hideMark/>
          </w:tcPr>
          <w:p w14:paraId="2693E6A5"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Subtotal</w:t>
            </w:r>
          </w:p>
        </w:tc>
        <w:tc>
          <w:tcPr>
            <w:tcW w:w="0" w:type="auto"/>
            <w:vAlign w:val="center"/>
            <w:hideMark/>
          </w:tcPr>
          <w:p w14:paraId="13041F9C"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R$ 550.000,00</w:t>
            </w:r>
          </w:p>
        </w:tc>
      </w:tr>
    </w:tbl>
    <w:p w14:paraId="6F41BC13"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As licenças e projetos compõem a base técnica e institucional necessária para implantação da planta. Incluem estudos, projetos executivos, documentação técnica, processos de licenciamento, análises de engenharia e demais elementos necessários para a implantação regular da unidade.</w:t>
      </w:r>
    </w:p>
    <w:p w14:paraId="47D90EA0"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Na licitação, deverá ser exigido que a futura SPE assuma a responsabilidade pela obtenção das licenças, autorizações e aprovações necessárias à implantação e operação, observada a matriz de riscos e eventuais obrigações do Município relativas à disponibilização da área ou fornecimento de informações públicas.</w:t>
      </w:r>
    </w:p>
    <w:p w14:paraId="6D12F55A" w14:textId="758A29DC" w:rsidR="00CF7ABE" w:rsidRDefault="00CF7ABE" w:rsidP="00B74E01">
      <w:pPr>
        <w:spacing w:after="0" w:line="360" w:lineRule="auto"/>
        <w:ind w:firstLine="709"/>
        <w:jc w:val="both"/>
        <w:rPr>
          <w:rFonts w:eastAsia="Times New Roman" w:cs="Arial"/>
          <w:kern w:val="0"/>
          <w:lang w:eastAsia="pt-BR"/>
          <w14:ligatures w14:val="none"/>
        </w:rPr>
      </w:pPr>
    </w:p>
    <w:p w14:paraId="2D1A948B" w14:textId="77777777" w:rsidR="00D65A3E" w:rsidRPr="00B74E01" w:rsidRDefault="00D65A3E" w:rsidP="00B74E01">
      <w:pPr>
        <w:spacing w:after="0" w:line="360" w:lineRule="auto"/>
        <w:ind w:firstLine="709"/>
        <w:jc w:val="both"/>
        <w:rPr>
          <w:rFonts w:eastAsia="Times New Roman" w:cs="Arial"/>
          <w:kern w:val="0"/>
          <w:lang w:eastAsia="pt-BR"/>
          <w14:ligatures w14:val="none"/>
        </w:rPr>
      </w:pPr>
    </w:p>
    <w:p w14:paraId="0B5B66C0" w14:textId="77777777" w:rsidR="00CF7ABE" w:rsidRPr="00B74E01" w:rsidRDefault="00CF7ABE" w:rsidP="00D65A3E">
      <w:pPr>
        <w:pStyle w:val="Ttulo3"/>
        <w:rPr>
          <w:rFonts w:eastAsia="Times New Roman"/>
          <w:lang w:eastAsia="pt-BR"/>
        </w:rPr>
      </w:pPr>
      <w:bookmarkStart w:id="62" w:name="_Toc230204064"/>
      <w:r w:rsidRPr="00B74E01">
        <w:rPr>
          <w:rFonts w:eastAsia="Times New Roman"/>
          <w:lang w:eastAsia="pt-BR"/>
        </w:rPr>
        <w:lastRenderedPageBreak/>
        <w:t>7.3.2. Preparação da área, acesso e pátio</w:t>
      </w:r>
      <w:bookmarkEnd w:id="62"/>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391"/>
        <w:gridCol w:w="1670"/>
      </w:tblGrid>
      <w:tr w:rsidR="00CF7ABE" w:rsidRPr="00B74E01" w14:paraId="77546637" w14:textId="77777777" w:rsidTr="00671A31">
        <w:trPr>
          <w:tblHeader/>
          <w:tblCellSpacing w:w="15" w:type="dxa"/>
        </w:trPr>
        <w:tc>
          <w:tcPr>
            <w:tcW w:w="0" w:type="auto"/>
            <w:vAlign w:val="center"/>
            <w:hideMark/>
          </w:tcPr>
          <w:p w14:paraId="4C817A56" w14:textId="77777777" w:rsidR="00CF7ABE" w:rsidRPr="00B74E01" w:rsidRDefault="00CF7ABE" w:rsidP="00D65A3E">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Item</w:t>
            </w:r>
          </w:p>
        </w:tc>
        <w:tc>
          <w:tcPr>
            <w:tcW w:w="0" w:type="auto"/>
            <w:vAlign w:val="center"/>
            <w:hideMark/>
          </w:tcPr>
          <w:p w14:paraId="1E3F23FD" w14:textId="77777777" w:rsidR="00CF7ABE" w:rsidRPr="00B74E01" w:rsidRDefault="00CF7ABE" w:rsidP="00D65A3E">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w:t>
            </w:r>
          </w:p>
        </w:tc>
      </w:tr>
      <w:tr w:rsidR="00CF7ABE" w:rsidRPr="00B74E01" w14:paraId="4F4BC9DE" w14:textId="77777777" w:rsidTr="00671A31">
        <w:trPr>
          <w:tblCellSpacing w:w="15" w:type="dxa"/>
        </w:trPr>
        <w:tc>
          <w:tcPr>
            <w:tcW w:w="0" w:type="auto"/>
            <w:vAlign w:val="center"/>
            <w:hideMark/>
          </w:tcPr>
          <w:p w14:paraId="7BE24CDB"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Terraplenagem / via de acesso</w:t>
            </w:r>
          </w:p>
        </w:tc>
        <w:tc>
          <w:tcPr>
            <w:tcW w:w="0" w:type="auto"/>
            <w:vAlign w:val="center"/>
            <w:hideMark/>
          </w:tcPr>
          <w:p w14:paraId="33AB5795"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R$ 590.893,00</w:t>
            </w:r>
          </w:p>
        </w:tc>
      </w:tr>
      <w:tr w:rsidR="00CF7ABE" w:rsidRPr="00B74E01" w14:paraId="03A5AAE2" w14:textId="77777777" w:rsidTr="00671A31">
        <w:trPr>
          <w:tblCellSpacing w:w="15" w:type="dxa"/>
        </w:trPr>
        <w:tc>
          <w:tcPr>
            <w:tcW w:w="0" w:type="auto"/>
            <w:vAlign w:val="center"/>
            <w:hideMark/>
          </w:tcPr>
          <w:p w14:paraId="298C2237"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Asfaltamento de pátio</w:t>
            </w:r>
          </w:p>
        </w:tc>
        <w:tc>
          <w:tcPr>
            <w:tcW w:w="0" w:type="auto"/>
            <w:vAlign w:val="center"/>
            <w:hideMark/>
          </w:tcPr>
          <w:p w14:paraId="00096649"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R$ 406.800,00</w:t>
            </w:r>
          </w:p>
        </w:tc>
      </w:tr>
      <w:tr w:rsidR="00CF7ABE" w:rsidRPr="00B74E01" w14:paraId="4D600ABF" w14:textId="77777777" w:rsidTr="00671A31">
        <w:trPr>
          <w:tblCellSpacing w:w="15" w:type="dxa"/>
        </w:trPr>
        <w:tc>
          <w:tcPr>
            <w:tcW w:w="0" w:type="auto"/>
            <w:vAlign w:val="center"/>
            <w:hideMark/>
          </w:tcPr>
          <w:p w14:paraId="0599419A"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Subtotal</w:t>
            </w:r>
          </w:p>
        </w:tc>
        <w:tc>
          <w:tcPr>
            <w:tcW w:w="0" w:type="auto"/>
            <w:vAlign w:val="center"/>
            <w:hideMark/>
          </w:tcPr>
          <w:p w14:paraId="63765321"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R$ 997.693,00</w:t>
            </w:r>
          </w:p>
        </w:tc>
      </w:tr>
    </w:tbl>
    <w:p w14:paraId="78892F61"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preparação da área é fundamental para implantação da planta industrial. A unidade demandará circulação de caminhões, operação contínua, movimentação de resíduos, segurança de tráfego interno, áreas de manobra, recebimento e expedição de materiais.</w:t>
      </w:r>
    </w:p>
    <w:p w14:paraId="41EB8EF4"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 área considerada na modelagem possui </w:t>
      </w:r>
      <w:r w:rsidRPr="00B74E01">
        <w:rPr>
          <w:rFonts w:eastAsia="Times New Roman" w:cs="Arial"/>
          <w:b/>
          <w:bCs/>
          <w:kern w:val="0"/>
          <w:lang w:eastAsia="pt-BR"/>
          <w14:ligatures w14:val="none"/>
        </w:rPr>
        <w:t>7 hectares</w:t>
      </w:r>
      <w:r w:rsidRPr="00B74E01">
        <w:rPr>
          <w:rFonts w:eastAsia="Times New Roman" w:cs="Arial"/>
          <w:kern w:val="0"/>
          <w:lang w:eastAsia="pt-BR"/>
          <w14:ligatures w14:val="none"/>
        </w:rPr>
        <w:t>, disponibilizada pelo Município como contrapartida pública, sem custo de aquisição para a SPE. Essa premissa reduz o CAPEX privado e melhora a estrutura econômico-financeira da PPP.</w:t>
      </w:r>
    </w:p>
    <w:p w14:paraId="04D80415"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O contrato deverá definir as condições de entrega da área, incluindo regularidade, acesso, disponibilidade, restrições ambientais, eventuais interferências, responsabilidade por desapropriação se houver, e prazo de disponibilização.</w:t>
      </w:r>
    </w:p>
    <w:p w14:paraId="0BC09734" w14:textId="77777777" w:rsidR="00CF7ABE" w:rsidRPr="00B74E01" w:rsidRDefault="00CF7ABE" w:rsidP="00D65A3E">
      <w:pPr>
        <w:pStyle w:val="Ttulo3"/>
        <w:rPr>
          <w:rFonts w:eastAsia="Times New Roman"/>
          <w:lang w:eastAsia="pt-BR"/>
        </w:rPr>
      </w:pPr>
      <w:bookmarkStart w:id="63" w:name="_Toc230204065"/>
      <w:r w:rsidRPr="00B74E01">
        <w:rPr>
          <w:rFonts w:eastAsia="Times New Roman"/>
          <w:lang w:eastAsia="pt-BR"/>
        </w:rPr>
        <w:t>7.3.3. Galpão, piso e estruturas civis</w:t>
      </w:r>
      <w:bookmarkEnd w:id="63"/>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484"/>
        <w:gridCol w:w="1870"/>
      </w:tblGrid>
      <w:tr w:rsidR="00CF7ABE" w:rsidRPr="00B74E01" w14:paraId="09BBB047" w14:textId="77777777" w:rsidTr="00671A31">
        <w:trPr>
          <w:tblHeader/>
          <w:tblCellSpacing w:w="15" w:type="dxa"/>
        </w:trPr>
        <w:tc>
          <w:tcPr>
            <w:tcW w:w="0" w:type="auto"/>
            <w:vAlign w:val="center"/>
            <w:hideMark/>
          </w:tcPr>
          <w:p w14:paraId="76755FCF" w14:textId="77777777" w:rsidR="00CF7ABE" w:rsidRPr="00B74E01" w:rsidRDefault="00CF7ABE" w:rsidP="00D65A3E">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Item</w:t>
            </w:r>
          </w:p>
        </w:tc>
        <w:tc>
          <w:tcPr>
            <w:tcW w:w="0" w:type="auto"/>
            <w:vAlign w:val="center"/>
            <w:hideMark/>
          </w:tcPr>
          <w:p w14:paraId="0FE971B4" w14:textId="77777777" w:rsidR="00CF7ABE" w:rsidRPr="00B74E01" w:rsidRDefault="00CF7ABE" w:rsidP="00D65A3E">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w:t>
            </w:r>
          </w:p>
        </w:tc>
      </w:tr>
      <w:tr w:rsidR="00CF7ABE" w:rsidRPr="00B74E01" w14:paraId="23DF32FC" w14:textId="77777777" w:rsidTr="00671A31">
        <w:trPr>
          <w:tblCellSpacing w:w="15" w:type="dxa"/>
        </w:trPr>
        <w:tc>
          <w:tcPr>
            <w:tcW w:w="0" w:type="auto"/>
            <w:vAlign w:val="center"/>
            <w:hideMark/>
          </w:tcPr>
          <w:p w14:paraId="00665BE1"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Galpão 2.000 m²</w:t>
            </w:r>
          </w:p>
        </w:tc>
        <w:tc>
          <w:tcPr>
            <w:tcW w:w="0" w:type="auto"/>
            <w:vAlign w:val="center"/>
            <w:hideMark/>
          </w:tcPr>
          <w:p w14:paraId="71DF702C"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R$ 1.600.000,00</w:t>
            </w:r>
          </w:p>
        </w:tc>
      </w:tr>
      <w:tr w:rsidR="00CF7ABE" w:rsidRPr="00B74E01" w14:paraId="48F1E629" w14:textId="77777777" w:rsidTr="00671A31">
        <w:trPr>
          <w:tblCellSpacing w:w="15" w:type="dxa"/>
        </w:trPr>
        <w:tc>
          <w:tcPr>
            <w:tcW w:w="0" w:type="auto"/>
            <w:vAlign w:val="center"/>
            <w:hideMark/>
          </w:tcPr>
          <w:p w14:paraId="44B3BE18"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Piso concreto prédio / armazém</w:t>
            </w:r>
          </w:p>
        </w:tc>
        <w:tc>
          <w:tcPr>
            <w:tcW w:w="0" w:type="auto"/>
            <w:vAlign w:val="center"/>
            <w:hideMark/>
          </w:tcPr>
          <w:p w14:paraId="3E9082AC"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R$ 420.000,00</w:t>
            </w:r>
          </w:p>
        </w:tc>
      </w:tr>
      <w:tr w:rsidR="00CF7ABE" w:rsidRPr="00B74E01" w14:paraId="14F9D743" w14:textId="77777777" w:rsidTr="00671A31">
        <w:trPr>
          <w:tblCellSpacing w:w="15" w:type="dxa"/>
        </w:trPr>
        <w:tc>
          <w:tcPr>
            <w:tcW w:w="0" w:type="auto"/>
            <w:vAlign w:val="center"/>
            <w:hideMark/>
          </w:tcPr>
          <w:p w14:paraId="03179F65"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Subtotal</w:t>
            </w:r>
          </w:p>
        </w:tc>
        <w:tc>
          <w:tcPr>
            <w:tcW w:w="0" w:type="auto"/>
            <w:vAlign w:val="center"/>
            <w:hideMark/>
          </w:tcPr>
          <w:p w14:paraId="3C4A99C4"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R$ 2.020.000,00</w:t>
            </w:r>
          </w:p>
        </w:tc>
      </w:tr>
    </w:tbl>
    <w:p w14:paraId="4FC3F4C3"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O galpão e as estruturas civis são necessários para abrigar parte da operação, equipamentos, áreas de apoio, armazenamento, proteção operacional e atividades de controle.</w:t>
      </w:r>
    </w:p>
    <w:p w14:paraId="2B91CB5C"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natureza industrial da planta exige piso adequado, resistência estrutural, logística interna, ventilação, segurança, acessos operacionais e compatibilidade com os equipamentos a serem implantados.</w:t>
      </w:r>
    </w:p>
    <w:p w14:paraId="13335F31"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lastRenderedPageBreak/>
        <w:t>Na licitação, os concorrentes deverão demonstrar que o layout proposto é compatível com a capacidade contratada, fluxos operacionais, segurança, licenciamento ambiental e exigências de operação.</w:t>
      </w:r>
    </w:p>
    <w:p w14:paraId="4E6E34F6" w14:textId="77777777" w:rsidR="00CF7ABE" w:rsidRPr="00B74E01" w:rsidRDefault="00CF7ABE" w:rsidP="00D65A3E">
      <w:pPr>
        <w:pStyle w:val="Ttulo3"/>
        <w:rPr>
          <w:rFonts w:eastAsia="Times New Roman"/>
          <w:lang w:eastAsia="pt-BR"/>
        </w:rPr>
      </w:pPr>
      <w:bookmarkStart w:id="64" w:name="_Toc230204066"/>
      <w:r w:rsidRPr="00B74E01">
        <w:rPr>
          <w:rFonts w:eastAsia="Times New Roman"/>
          <w:lang w:eastAsia="pt-BR"/>
        </w:rPr>
        <w:t>7.3.4. Balança, sistemas e estrutura operacional</w:t>
      </w:r>
      <w:bookmarkEnd w:id="64"/>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404"/>
        <w:gridCol w:w="1670"/>
      </w:tblGrid>
      <w:tr w:rsidR="00CF7ABE" w:rsidRPr="00B74E01" w14:paraId="14406A05" w14:textId="77777777" w:rsidTr="00671A31">
        <w:trPr>
          <w:tblHeader/>
          <w:tblCellSpacing w:w="15" w:type="dxa"/>
        </w:trPr>
        <w:tc>
          <w:tcPr>
            <w:tcW w:w="0" w:type="auto"/>
            <w:vAlign w:val="center"/>
            <w:hideMark/>
          </w:tcPr>
          <w:p w14:paraId="74F2A698" w14:textId="77777777" w:rsidR="00CF7ABE" w:rsidRPr="00B74E01" w:rsidRDefault="00CF7ABE" w:rsidP="00D65A3E">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Item</w:t>
            </w:r>
          </w:p>
        </w:tc>
        <w:tc>
          <w:tcPr>
            <w:tcW w:w="0" w:type="auto"/>
            <w:vAlign w:val="center"/>
            <w:hideMark/>
          </w:tcPr>
          <w:p w14:paraId="1BEDFE45" w14:textId="77777777" w:rsidR="00CF7ABE" w:rsidRPr="00B74E01" w:rsidRDefault="00CF7ABE" w:rsidP="00D65A3E">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Valor</w:t>
            </w:r>
          </w:p>
        </w:tc>
      </w:tr>
      <w:tr w:rsidR="00CF7ABE" w:rsidRPr="00B74E01" w14:paraId="4246EB41" w14:textId="77777777" w:rsidTr="00671A31">
        <w:trPr>
          <w:tblCellSpacing w:w="15" w:type="dxa"/>
        </w:trPr>
        <w:tc>
          <w:tcPr>
            <w:tcW w:w="0" w:type="auto"/>
            <w:vAlign w:val="center"/>
            <w:hideMark/>
          </w:tcPr>
          <w:p w14:paraId="06300A33" w14:textId="77777777" w:rsidR="00CF7ABE" w:rsidRPr="00B74E01" w:rsidRDefault="00CF7ABE" w:rsidP="00D65A3E">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Balança + sistemas + estrutura</w:t>
            </w:r>
          </w:p>
        </w:tc>
        <w:tc>
          <w:tcPr>
            <w:tcW w:w="0" w:type="auto"/>
            <w:vAlign w:val="center"/>
            <w:hideMark/>
          </w:tcPr>
          <w:p w14:paraId="7C040BD5" w14:textId="77777777" w:rsidR="00CF7ABE" w:rsidRPr="00B74E01" w:rsidRDefault="00CF7ABE" w:rsidP="00D65A3E">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R$ 306.000,00</w:t>
            </w:r>
          </w:p>
        </w:tc>
      </w:tr>
    </w:tbl>
    <w:p w14:paraId="35BC06A3"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balança e os sistemas de controle são essenciais para a rastreabilidade da operação. A remuneração da destinação/tratamento depende de medição objetiva do RSU recebido, ainda que exista quantidade mínima contratada.</w:t>
      </w:r>
    </w:p>
    <w:p w14:paraId="095775E2"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Esses sistemas deverão permitir:</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282"/>
        <w:gridCol w:w="5779"/>
      </w:tblGrid>
      <w:tr w:rsidR="00CF7ABE" w:rsidRPr="00B74E01" w14:paraId="1F26E71B" w14:textId="77777777" w:rsidTr="00671A31">
        <w:trPr>
          <w:tblHeader/>
          <w:tblCellSpacing w:w="15" w:type="dxa"/>
        </w:trPr>
        <w:tc>
          <w:tcPr>
            <w:tcW w:w="0" w:type="auto"/>
            <w:vAlign w:val="center"/>
            <w:hideMark/>
          </w:tcPr>
          <w:p w14:paraId="7B520A55" w14:textId="77777777" w:rsidR="00CF7ABE" w:rsidRPr="00B74E01" w:rsidRDefault="00CF7ABE" w:rsidP="00D65A3E">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Função</w:t>
            </w:r>
          </w:p>
        </w:tc>
        <w:tc>
          <w:tcPr>
            <w:tcW w:w="0" w:type="auto"/>
            <w:vAlign w:val="center"/>
            <w:hideMark/>
          </w:tcPr>
          <w:p w14:paraId="156357AB" w14:textId="77777777" w:rsidR="00CF7ABE" w:rsidRPr="00B74E01" w:rsidRDefault="00CF7ABE" w:rsidP="00D65A3E">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Relevância</w:t>
            </w:r>
          </w:p>
        </w:tc>
      </w:tr>
      <w:tr w:rsidR="00CF7ABE" w:rsidRPr="00B74E01" w14:paraId="66A3184F" w14:textId="77777777" w:rsidTr="00671A31">
        <w:trPr>
          <w:tblCellSpacing w:w="15" w:type="dxa"/>
        </w:trPr>
        <w:tc>
          <w:tcPr>
            <w:tcW w:w="0" w:type="auto"/>
            <w:vAlign w:val="center"/>
            <w:hideMark/>
          </w:tcPr>
          <w:p w14:paraId="327CC230"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Pesagem de entrada</w:t>
            </w:r>
          </w:p>
        </w:tc>
        <w:tc>
          <w:tcPr>
            <w:tcW w:w="0" w:type="auto"/>
            <w:vAlign w:val="center"/>
            <w:hideMark/>
          </w:tcPr>
          <w:p w14:paraId="77327AEF"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Controle do volume recebido</w:t>
            </w:r>
          </w:p>
        </w:tc>
      </w:tr>
      <w:tr w:rsidR="00CF7ABE" w:rsidRPr="00B74E01" w14:paraId="25DE95BE" w14:textId="77777777" w:rsidTr="00671A31">
        <w:trPr>
          <w:tblCellSpacing w:w="15" w:type="dxa"/>
        </w:trPr>
        <w:tc>
          <w:tcPr>
            <w:tcW w:w="0" w:type="auto"/>
            <w:vAlign w:val="center"/>
            <w:hideMark/>
          </w:tcPr>
          <w:p w14:paraId="19E887B6"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Pesagem de saída, se aplicável</w:t>
            </w:r>
          </w:p>
        </w:tc>
        <w:tc>
          <w:tcPr>
            <w:tcW w:w="0" w:type="auto"/>
            <w:vAlign w:val="center"/>
            <w:hideMark/>
          </w:tcPr>
          <w:p w14:paraId="08AB1202"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Controle de subprodutos, rejeitos ou materiais expedidos</w:t>
            </w:r>
          </w:p>
        </w:tc>
      </w:tr>
      <w:tr w:rsidR="00CF7ABE" w:rsidRPr="00B74E01" w14:paraId="4442CDD8" w14:textId="77777777" w:rsidTr="00671A31">
        <w:trPr>
          <w:tblCellSpacing w:w="15" w:type="dxa"/>
        </w:trPr>
        <w:tc>
          <w:tcPr>
            <w:tcW w:w="0" w:type="auto"/>
            <w:vAlign w:val="center"/>
            <w:hideMark/>
          </w:tcPr>
          <w:p w14:paraId="67236AA5"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Registro operacional</w:t>
            </w:r>
          </w:p>
        </w:tc>
        <w:tc>
          <w:tcPr>
            <w:tcW w:w="0" w:type="auto"/>
            <w:vAlign w:val="center"/>
            <w:hideMark/>
          </w:tcPr>
          <w:p w14:paraId="54BF26DD"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Transparência e auditabilidade</w:t>
            </w:r>
          </w:p>
        </w:tc>
      </w:tr>
      <w:tr w:rsidR="00CF7ABE" w:rsidRPr="00B74E01" w14:paraId="76585F1B" w14:textId="77777777" w:rsidTr="00671A31">
        <w:trPr>
          <w:tblCellSpacing w:w="15" w:type="dxa"/>
        </w:trPr>
        <w:tc>
          <w:tcPr>
            <w:tcW w:w="0" w:type="auto"/>
            <w:vAlign w:val="center"/>
            <w:hideMark/>
          </w:tcPr>
          <w:p w14:paraId="51DF9DFA"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Integração com fiscalização</w:t>
            </w:r>
          </w:p>
        </w:tc>
        <w:tc>
          <w:tcPr>
            <w:tcW w:w="0" w:type="auto"/>
            <w:vAlign w:val="center"/>
            <w:hideMark/>
          </w:tcPr>
          <w:p w14:paraId="0ABC56BE"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Acompanhamento pelo Município</w:t>
            </w:r>
          </w:p>
        </w:tc>
      </w:tr>
      <w:tr w:rsidR="00CF7ABE" w:rsidRPr="00B74E01" w14:paraId="0B517106" w14:textId="77777777" w:rsidTr="00671A31">
        <w:trPr>
          <w:tblCellSpacing w:w="15" w:type="dxa"/>
        </w:trPr>
        <w:tc>
          <w:tcPr>
            <w:tcW w:w="0" w:type="auto"/>
            <w:vAlign w:val="center"/>
            <w:hideMark/>
          </w:tcPr>
          <w:p w14:paraId="374595D5"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Relatórios periódicos</w:t>
            </w:r>
          </w:p>
        </w:tc>
        <w:tc>
          <w:tcPr>
            <w:tcW w:w="0" w:type="auto"/>
            <w:vAlign w:val="center"/>
            <w:hideMark/>
          </w:tcPr>
          <w:p w14:paraId="0391CC26"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Base para pagamento, indicadores e controle</w:t>
            </w:r>
          </w:p>
        </w:tc>
      </w:tr>
    </w:tbl>
    <w:p w14:paraId="4E69B4E4"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existência de controle de pesagem é elemento crítico para evitar disputa futura sobre volume, cumprimento de metas, faturamento mínimo, excedentes e desempenho operacional.</w:t>
      </w:r>
    </w:p>
    <w:p w14:paraId="5E6D0601" w14:textId="77777777" w:rsidR="00CF7ABE" w:rsidRPr="00B74E01" w:rsidRDefault="00CF7ABE" w:rsidP="00D65A3E">
      <w:pPr>
        <w:pStyle w:val="Ttulo3"/>
        <w:rPr>
          <w:rFonts w:eastAsia="Times New Roman"/>
          <w:lang w:eastAsia="pt-BR"/>
        </w:rPr>
      </w:pPr>
      <w:bookmarkStart w:id="65" w:name="_Toc230204067"/>
      <w:r w:rsidRPr="00B74E01">
        <w:rPr>
          <w:rFonts w:eastAsia="Times New Roman"/>
          <w:lang w:eastAsia="pt-BR"/>
        </w:rPr>
        <w:t>7.3.5. Segurança, prevenção e proteção operacional</w:t>
      </w:r>
      <w:bookmarkEnd w:id="65"/>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777"/>
        <w:gridCol w:w="1670"/>
      </w:tblGrid>
      <w:tr w:rsidR="00CF7ABE" w:rsidRPr="00B74E01" w14:paraId="35A446C3" w14:textId="77777777" w:rsidTr="00671A31">
        <w:trPr>
          <w:tblHeader/>
          <w:tblCellSpacing w:w="15" w:type="dxa"/>
        </w:trPr>
        <w:tc>
          <w:tcPr>
            <w:tcW w:w="0" w:type="auto"/>
            <w:vAlign w:val="center"/>
            <w:hideMark/>
          </w:tcPr>
          <w:p w14:paraId="178C4369" w14:textId="77777777" w:rsidR="00CF7ABE" w:rsidRPr="00B74E01" w:rsidRDefault="00CF7ABE" w:rsidP="00D65A3E">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Item</w:t>
            </w:r>
          </w:p>
        </w:tc>
        <w:tc>
          <w:tcPr>
            <w:tcW w:w="0" w:type="auto"/>
            <w:vAlign w:val="center"/>
            <w:hideMark/>
          </w:tcPr>
          <w:p w14:paraId="7B02CDF6" w14:textId="77777777" w:rsidR="00CF7ABE" w:rsidRPr="00B74E01" w:rsidRDefault="00CF7ABE" w:rsidP="00D65A3E">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w:t>
            </w:r>
          </w:p>
        </w:tc>
      </w:tr>
      <w:tr w:rsidR="00CF7ABE" w:rsidRPr="00B74E01" w14:paraId="4074E1D1" w14:textId="77777777" w:rsidTr="00671A31">
        <w:trPr>
          <w:tblCellSpacing w:w="15" w:type="dxa"/>
        </w:trPr>
        <w:tc>
          <w:tcPr>
            <w:tcW w:w="0" w:type="auto"/>
            <w:vAlign w:val="center"/>
            <w:hideMark/>
          </w:tcPr>
          <w:p w14:paraId="7A3B6BFF"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Sistema contra incêndios</w:t>
            </w:r>
          </w:p>
        </w:tc>
        <w:tc>
          <w:tcPr>
            <w:tcW w:w="0" w:type="auto"/>
            <w:vAlign w:val="center"/>
            <w:hideMark/>
          </w:tcPr>
          <w:p w14:paraId="54AB0893"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R$ 102.000,00</w:t>
            </w:r>
          </w:p>
        </w:tc>
      </w:tr>
      <w:tr w:rsidR="00CF7ABE" w:rsidRPr="00B74E01" w14:paraId="558E5C51" w14:textId="77777777" w:rsidTr="00671A31">
        <w:trPr>
          <w:tblCellSpacing w:w="15" w:type="dxa"/>
        </w:trPr>
        <w:tc>
          <w:tcPr>
            <w:tcW w:w="0" w:type="auto"/>
            <w:vAlign w:val="center"/>
            <w:hideMark/>
          </w:tcPr>
          <w:p w14:paraId="5F07F6C6"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Sistema de alarmes</w:t>
            </w:r>
          </w:p>
        </w:tc>
        <w:tc>
          <w:tcPr>
            <w:tcW w:w="0" w:type="auto"/>
            <w:vAlign w:val="center"/>
            <w:hideMark/>
          </w:tcPr>
          <w:p w14:paraId="4F9300B1"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R$ 93.000,00</w:t>
            </w:r>
          </w:p>
        </w:tc>
      </w:tr>
      <w:tr w:rsidR="00CF7ABE" w:rsidRPr="00B74E01" w14:paraId="028941F7" w14:textId="77777777" w:rsidTr="00671A31">
        <w:trPr>
          <w:tblCellSpacing w:w="15" w:type="dxa"/>
        </w:trPr>
        <w:tc>
          <w:tcPr>
            <w:tcW w:w="0" w:type="auto"/>
            <w:vAlign w:val="center"/>
            <w:hideMark/>
          </w:tcPr>
          <w:p w14:paraId="51787D58"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Subtotal</w:t>
            </w:r>
          </w:p>
        </w:tc>
        <w:tc>
          <w:tcPr>
            <w:tcW w:w="0" w:type="auto"/>
            <w:vAlign w:val="center"/>
            <w:hideMark/>
          </w:tcPr>
          <w:p w14:paraId="166D84B8"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R$ 195.000,00</w:t>
            </w:r>
          </w:p>
        </w:tc>
      </w:tr>
    </w:tbl>
    <w:p w14:paraId="66B46045"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lastRenderedPageBreak/>
        <w:t>A operação com resíduos, material carbonáceo, óleo/extrato e equipamentos industriais exige atenção à segurança patrimonial, segurança operacional, prevenção de incêndio e gestão de riscos.</w:t>
      </w:r>
    </w:p>
    <w:p w14:paraId="30DE121C"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Os sistemas de prevenção e alarme não devem ser tratados como itens acessórios dispensáveis. Eles integram a segurança da planta, a proteção dos trabalhadores, a proteção ambiental e a continuidade operacional.</w:t>
      </w:r>
    </w:p>
    <w:p w14:paraId="52697AE3"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O projeto executivo deverá observar normas técnicas aplicáveis e exigências do Corpo de Bombeiros, licenciamento ambiental e segurança do trabalho.</w:t>
      </w:r>
    </w:p>
    <w:p w14:paraId="0A26CFD0" w14:textId="77777777" w:rsidR="00CF7ABE" w:rsidRPr="00B74E01" w:rsidRDefault="00CF7ABE" w:rsidP="00D65A3E">
      <w:pPr>
        <w:pStyle w:val="Ttulo3"/>
        <w:rPr>
          <w:rFonts w:eastAsia="Times New Roman"/>
          <w:lang w:eastAsia="pt-BR"/>
        </w:rPr>
      </w:pPr>
      <w:bookmarkStart w:id="66" w:name="_Toc230204068"/>
      <w:r w:rsidRPr="00B74E01">
        <w:rPr>
          <w:rFonts w:eastAsia="Times New Roman"/>
          <w:lang w:eastAsia="pt-BR"/>
        </w:rPr>
        <w:t>7.3.6. Sistema de carbonização</w:t>
      </w:r>
      <w:bookmarkEnd w:id="66"/>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576"/>
        <w:gridCol w:w="2004"/>
      </w:tblGrid>
      <w:tr w:rsidR="00CF7ABE" w:rsidRPr="00B74E01" w14:paraId="0BB56DA7" w14:textId="77777777" w:rsidTr="00671A31">
        <w:trPr>
          <w:tblHeader/>
          <w:tblCellSpacing w:w="15" w:type="dxa"/>
        </w:trPr>
        <w:tc>
          <w:tcPr>
            <w:tcW w:w="0" w:type="auto"/>
            <w:vAlign w:val="center"/>
            <w:hideMark/>
          </w:tcPr>
          <w:p w14:paraId="0DFF1843" w14:textId="77777777" w:rsidR="00CF7ABE" w:rsidRPr="00B74E01" w:rsidRDefault="00CF7ABE" w:rsidP="00D65A3E">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Item</w:t>
            </w:r>
          </w:p>
        </w:tc>
        <w:tc>
          <w:tcPr>
            <w:tcW w:w="0" w:type="auto"/>
            <w:vAlign w:val="center"/>
            <w:hideMark/>
          </w:tcPr>
          <w:p w14:paraId="0E527093" w14:textId="77777777" w:rsidR="00CF7ABE" w:rsidRPr="00B74E01" w:rsidRDefault="00CF7ABE" w:rsidP="00D65A3E">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Valor</w:t>
            </w:r>
          </w:p>
        </w:tc>
      </w:tr>
      <w:tr w:rsidR="00CF7ABE" w:rsidRPr="00B74E01" w14:paraId="69B2B17F" w14:textId="77777777" w:rsidTr="00671A31">
        <w:trPr>
          <w:tblCellSpacing w:w="15" w:type="dxa"/>
        </w:trPr>
        <w:tc>
          <w:tcPr>
            <w:tcW w:w="0" w:type="auto"/>
            <w:vAlign w:val="center"/>
            <w:hideMark/>
          </w:tcPr>
          <w:p w14:paraId="4A3C66A0" w14:textId="77777777" w:rsidR="00CF7ABE" w:rsidRPr="00B74E01" w:rsidRDefault="00CF7ABE" w:rsidP="00D65A3E">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Carbonização</w:t>
            </w:r>
          </w:p>
        </w:tc>
        <w:tc>
          <w:tcPr>
            <w:tcW w:w="0" w:type="auto"/>
            <w:vAlign w:val="center"/>
            <w:hideMark/>
          </w:tcPr>
          <w:p w14:paraId="0A39E27E" w14:textId="77777777" w:rsidR="00CF7ABE" w:rsidRPr="00B74E01" w:rsidRDefault="00CF7ABE" w:rsidP="00D65A3E">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R$ 12.100.000,00</w:t>
            </w:r>
          </w:p>
        </w:tc>
      </w:tr>
    </w:tbl>
    <w:p w14:paraId="0750380C"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O sistema de carbonização é o núcleo industrial da solução de tratamento/valorização do RSU. Trata-se de item crítico da modelagem e, por isso, deverá ser objeto de comprovação técnica robusta pelos licitantes.</w:t>
      </w:r>
    </w:p>
    <w:p w14:paraId="2B82CED8"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Na licitação, recomenda-se exigir:</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093"/>
        <w:gridCol w:w="4968"/>
      </w:tblGrid>
      <w:tr w:rsidR="00CF7ABE" w:rsidRPr="00B74E01" w14:paraId="49F70A73" w14:textId="77777777" w:rsidTr="00671A31">
        <w:trPr>
          <w:tblHeader/>
          <w:tblCellSpacing w:w="15" w:type="dxa"/>
        </w:trPr>
        <w:tc>
          <w:tcPr>
            <w:tcW w:w="0" w:type="auto"/>
            <w:vAlign w:val="center"/>
            <w:hideMark/>
          </w:tcPr>
          <w:p w14:paraId="54460DEF" w14:textId="77777777" w:rsidR="00CF7ABE" w:rsidRPr="00B74E01" w:rsidRDefault="00CF7ABE" w:rsidP="00D65A3E">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Exigência</w:t>
            </w:r>
          </w:p>
        </w:tc>
        <w:tc>
          <w:tcPr>
            <w:tcW w:w="0" w:type="auto"/>
            <w:vAlign w:val="center"/>
            <w:hideMark/>
          </w:tcPr>
          <w:p w14:paraId="1E915F05" w14:textId="77777777" w:rsidR="00CF7ABE" w:rsidRPr="00B74E01" w:rsidRDefault="00CF7ABE" w:rsidP="00D65A3E">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Finalidade</w:t>
            </w:r>
          </w:p>
        </w:tc>
      </w:tr>
      <w:tr w:rsidR="00CF7ABE" w:rsidRPr="00B74E01" w14:paraId="336BE99C" w14:textId="77777777" w:rsidTr="00671A31">
        <w:trPr>
          <w:tblCellSpacing w:w="15" w:type="dxa"/>
        </w:trPr>
        <w:tc>
          <w:tcPr>
            <w:tcW w:w="0" w:type="auto"/>
            <w:vAlign w:val="center"/>
            <w:hideMark/>
          </w:tcPr>
          <w:p w14:paraId="2558AA22"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Especificação técnica do sistema</w:t>
            </w:r>
          </w:p>
        </w:tc>
        <w:tc>
          <w:tcPr>
            <w:tcW w:w="0" w:type="auto"/>
            <w:vAlign w:val="center"/>
            <w:hideMark/>
          </w:tcPr>
          <w:p w14:paraId="55839159"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Definir capacidade, operação e limites</w:t>
            </w:r>
          </w:p>
        </w:tc>
      </w:tr>
      <w:tr w:rsidR="00CF7ABE" w:rsidRPr="00B74E01" w14:paraId="1AD2EF1F" w14:textId="77777777" w:rsidTr="00671A31">
        <w:trPr>
          <w:tblCellSpacing w:w="15" w:type="dxa"/>
        </w:trPr>
        <w:tc>
          <w:tcPr>
            <w:tcW w:w="0" w:type="auto"/>
            <w:vAlign w:val="center"/>
            <w:hideMark/>
          </w:tcPr>
          <w:p w14:paraId="4DEDDD30"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Experiência do fabricante ou fornecedor</w:t>
            </w:r>
          </w:p>
        </w:tc>
        <w:tc>
          <w:tcPr>
            <w:tcW w:w="0" w:type="auto"/>
            <w:vAlign w:val="center"/>
            <w:hideMark/>
          </w:tcPr>
          <w:p w14:paraId="394B5A46"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Reduzir risco tecnológico</w:t>
            </w:r>
          </w:p>
        </w:tc>
      </w:tr>
      <w:tr w:rsidR="00CF7ABE" w:rsidRPr="00B74E01" w14:paraId="1C5FFB2F" w14:textId="77777777" w:rsidTr="00671A31">
        <w:trPr>
          <w:tblCellSpacing w:w="15" w:type="dxa"/>
        </w:trPr>
        <w:tc>
          <w:tcPr>
            <w:tcW w:w="0" w:type="auto"/>
            <w:vAlign w:val="center"/>
            <w:hideMark/>
          </w:tcPr>
          <w:p w14:paraId="292C3AE0"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Garantia de desempenho</w:t>
            </w:r>
          </w:p>
        </w:tc>
        <w:tc>
          <w:tcPr>
            <w:tcW w:w="0" w:type="auto"/>
            <w:vAlign w:val="center"/>
            <w:hideMark/>
          </w:tcPr>
          <w:p w14:paraId="20DB6936"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Proteger o Poder Concedente</w:t>
            </w:r>
          </w:p>
        </w:tc>
      </w:tr>
      <w:tr w:rsidR="00CF7ABE" w:rsidRPr="00B74E01" w14:paraId="43860A14" w14:textId="77777777" w:rsidTr="00671A31">
        <w:trPr>
          <w:tblCellSpacing w:w="15" w:type="dxa"/>
        </w:trPr>
        <w:tc>
          <w:tcPr>
            <w:tcW w:w="0" w:type="auto"/>
            <w:vAlign w:val="center"/>
            <w:hideMark/>
          </w:tcPr>
          <w:p w14:paraId="29340741"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Operação assistida mínima de 1 ano</w:t>
            </w:r>
          </w:p>
        </w:tc>
        <w:tc>
          <w:tcPr>
            <w:tcW w:w="0" w:type="auto"/>
            <w:vAlign w:val="center"/>
            <w:hideMark/>
          </w:tcPr>
          <w:p w14:paraId="4C06FF89"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Garantir transferência e estabilização operacional</w:t>
            </w:r>
          </w:p>
        </w:tc>
      </w:tr>
      <w:tr w:rsidR="00CF7ABE" w:rsidRPr="00B74E01" w14:paraId="68BC1172" w14:textId="77777777" w:rsidTr="00671A31">
        <w:trPr>
          <w:tblCellSpacing w:w="15" w:type="dxa"/>
        </w:trPr>
        <w:tc>
          <w:tcPr>
            <w:tcW w:w="0" w:type="auto"/>
            <w:vAlign w:val="center"/>
            <w:hideMark/>
          </w:tcPr>
          <w:p w14:paraId="083D7CE8"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Treinamento da equipe local</w:t>
            </w:r>
          </w:p>
        </w:tc>
        <w:tc>
          <w:tcPr>
            <w:tcW w:w="0" w:type="auto"/>
            <w:vAlign w:val="center"/>
            <w:hideMark/>
          </w:tcPr>
          <w:p w14:paraId="39ED8961"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Reduzir risco de falha de operação</w:t>
            </w:r>
          </w:p>
        </w:tc>
      </w:tr>
      <w:tr w:rsidR="00CF7ABE" w:rsidRPr="00B74E01" w14:paraId="759F06C1" w14:textId="77777777" w:rsidTr="00671A31">
        <w:trPr>
          <w:tblCellSpacing w:w="15" w:type="dxa"/>
        </w:trPr>
        <w:tc>
          <w:tcPr>
            <w:tcW w:w="0" w:type="auto"/>
            <w:vAlign w:val="center"/>
            <w:hideMark/>
          </w:tcPr>
          <w:p w14:paraId="11F63FFF"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Manual de operação e manutenção</w:t>
            </w:r>
          </w:p>
        </w:tc>
        <w:tc>
          <w:tcPr>
            <w:tcW w:w="0" w:type="auto"/>
            <w:vAlign w:val="center"/>
            <w:hideMark/>
          </w:tcPr>
          <w:p w14:paraId="2F01DD99"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Padronizar procedimentos</w:t>
            </w:r>
          </w:p>
        </w:tc>
      </w:tr>
      <w:tr w:rsidR="00CF7ABE" w:rsidRPr="00B74E01" w14:paraId="56AF637F" w14:textId="77777777" w:rsidTr="00671A31">
        <w:trPr>
          <w:tblCellSpacing w:w="15" w:type="dxa"/>
        </w:trPr>
        <w:tc>
          <w:tcPr>
            <w:tcW w:w="0" w:type="auto"/>
            <w:vAlign w:val="center"/>
            <w:hideMark/>
          </w:tcPr>
          <w:p w14:paraId="70D30196"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Testes de comissionamento</w:t>
            </w:r>
          </w:p>
        </w:tc>
        <w:tc>
          <w:tcPr>
            <w:tcW w:w="0" w:type="auto"/>
            <w:vAlign w:val="center"/>
            <w:hideMark/>
          </w:tcPr>
          <w:p w14:paraId="69F0D1D9"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Confirmar capacidade antes da operação plena</w:t>
            </w:r>
          </w:p>
        </w:tc>
      </w:tr>
      <w:tr w:rsidR="00CF7ABE" w:rsidRPr="00B74E01" w14:paraId="0247B671" w14:textId="77777777" w:rsidTr="00671A31">
        <w:trPr>
          <w:tblCellSpacing w:w="15" w:type="dxa"/>
        </w:trPr>
        <w:tc>
          <w:tcPr>
            <w:tcW w:w="0" w:type="auto"/>
            <w:vAlign w:val="center"/>
            <w:hideMark/>
          </w:tcPr>
          <w:p w14:paraId="2188EE08"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lastRenderedPageBreak/>
              <w:t>Responsabilidade por integração</w:t>
            </w:r>
          </w:p>
        </w:tc>
        <w:tc>
          <w:tcPr>
            <w:tcW w:w="0" w:type="auto"/>
            <w:vAlign w:val="center"/>
            <w:hideMark/>
          </w:tcPr>
          <w:p w14:paraId="1D207C27" w14:textId="77777777" w:rsidR="00CF7ABE" w:rsidRPr="00B74E01" w:rsidRDefault="00CF7ABE" w:rsidP="00D65A3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Evitar fragmentação entre fornecedores</w:t>
            </w:r>
          </w:p>
        </w:tc>
      </w:tr>
    </w:tbl>
    <w:p w14:paraId="142ED177"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experiência do fabricante ou fornecedor dos equipamentos pode ser considerada no edital, desde que redigida de forma objetiva, proporcional e não restritiva à competitividade. O objetivo não deve ser direcionar a licitação, mas garantir que a tecnologia tenha respaldo técnico mínimo e capacidade de entrega compatível com a complexidade da PPP.</w:t>
      </w:r>
    </w:p>
    <w:p w14:paraId="548FF429" w14:textId="77777777" w:rsidR="00CF7ABE" w:rsidRPr="00B74E01" w:rsidRDefault="00CF7ABE" w:rsidP="00FB1918">
      <w:pPr>
        <w:pStyle w:val="Ttulo3"/>
        <w:rPr>
          <w:rFonts w:eastAsia="Times New Roman"/>
          <w:lang w:eastAsia="pt-BR"/>
        </w:rPr>
      </w:pPr>
      <w:bookmarkStart w:id="67" w:name="_Toc230204069"/>
      <w:r w:rsidRPr="00B74E01">
        <w:rPr>
          <w:rFonts w:eastAsia="Times New Roman"/>
          <w:lang w:eastAsia="pt-BR"/>
        </w:rPr>
        <w:t>7.3.7. Sistema de geração de energia</w:t>
      </w:r>
      <w:bookmarkEnd w:id="67"/>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217"/>
        <w:gridCol w:w="2004"/>
      </w:tblGrid>
      <w:tr w:rsidR="00CF7ABE" w:rsidRPr="00B74E01" w14:paraId="63949517" w14:textId="77777777" w:rsidTr="00671A31">
        <w:trPr>
          <w:tblHeader/>
          <w:tblCellSpacing w:w="15" w:type="dxa"/>
        </w:trPr>
        <w:tc>
          <w:tcPr>
            <w:tcW w:w="0" w:type="auto"/>
            <w:vAlign w:val="center"/>
            <w:hideMark/>
          </w:tcPr>
          <w:p w14:paraId="3196BC5C" w14:textId="77777777" w:rsidR="00CF7ABE" w:rsidRPr="00B74E01" w:rsidRDefault="00CF7ABE" w:rsidP="00FB1918">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Item</w:t>
            </w:r>
          </w:p>
        </w:tc>
        <w:tc>
          <w:tcPr>
            <w:tcW w:w="0" w:type="auto"/>
            <w:vAlign w:val="center"/>
            <w:hideMark/>
          </w:tcPr>
          <w:p w14:paraId="7EC4EBBC" w14:textId="77777777" w:rsidR="00CF7ABE" w:rsidRPr="00B74E01" w:rsidRDefault="00CF7ABE" w:rsidP="00FB1918">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Valor</w:t>
            </w:r>
          </w:p>
        </w:tc>
      </w:tr>
      <w:tr w:rsidR="00CF7ABE" w:rsidRPr="00B74E01" w14:paraId="63FE78F1" w14:textId="77777777" w:rsidTr="00671A31">
        <w:trPr>
          <w:tblCellSpacing w:w="15" w:type="dxa"/>
        </w:trPr>
        <w:tc>
          <w:tcPr>
            <w:tcW w:w="0" w:type="auto"/>
            <w:vAlign w:val="center"/>
            <w:hideMark/>
          </w:tcPr>
          <w:p w14:paraId="56286EB1" w14:textId="77777777" w:rsidR="00CF7ABE" w:rsidRPr="00B74E01" w:rsidRDefault="00CF7ABE" w:rsidP="00FB1918">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Geração de energia</w:t>
            </w:r>
          </w:p>
        </w:tc>
        <w:tc>
          <w:tcPr>
            <w:tcW w:w="0" w:type="auto"/>
            <w:vAlign w:val="center"/>
            <w:hideMark/>
          </w:tcPr>
          <w:p w14:paraId="682B663F" w14:textId="77777777" w:rsidR="00CF7ABE" w:rsidRPr="00B74E01" w:rsidRDefault="00CF7ABE" w:rsidP="00FB1918">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R$ 10.083.350,00</w:t>
            </w:r>
          </w:p>
        </w:tc>
      </w:tr>
    </w:tbl>
    <w:p w14:paraId="3472B1A2"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O sistema de geração de energia é o segundo maior componente do CAPEX e elemento central da lógica econômica da PPP, pois sustenta a remuneração pela disponibilização de capacidade energética renovável.</w:t>
      </w:r>
    </w:p>
    <w:p w14:paraId="2F1565E6"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viabilidade desse item depende de compatibilidade técnica, regulatória e operacional.</w:t>
      </w:r>
    </w:p>
    <w:p w14:paraId="62F2FE6C"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Na licitação, recomenda-se exigir dos proponentes: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98"/>
        <w:gridCol w:w="4063"/>
      </w:tblGrid>
      <w:tr w:rsidR="00CF7ABE" w:rsidRPr="00B74E01" w14:paraId="253D94D4" w14:textId="77777777" w:rsidTr="00671A31">
        <w:trPr>
          <w:tblHeade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1F175538" w14:textId="77777777" w:rsidR="00CF7ABE" w:rsidRPr="00B74E01" w:rsidRDefault="00CF7ABE" w:rsidP="00FB1918">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Exigência</w:t>
            </w:r>
          </w:p>
        </w:tc>
        <w:tc>
          <w:tcPr>
            <w:tcW w:w="0" w:type="auto"/>
            <w:tcBorders>
              <w:top w:val="single" w:sz="4" w:space="0" w:color="auto"/>
              <w:left w:val="single" w:sz="4" w:space="0" w:color="auto"/>
              <w:bottom w:val="single" w:sz="4" w:space="0" w:color="auto"/>
              <w:right w:val="single" w:sz="4" w:space="0" w:color="auto"/>
            </w:tcBorders>
            <w:vAlign w:val="center"/>
            <w:hideMark/>
          </w:tcPr>
          <w:p w14:paraId="5D2D12F8" w14:textId="77777777" w:rsidR="00CF7ABE" w:rsidRPr="00B74E01" w:rsidRDefault="00CF7ABE" w:rsidP="00FB1918">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Finalidade</w:t>
            </w:r>
          </w:p>
        </w:tc>
      </w:tr>
      <w:tr w:rsidR="00CF7ABE" w:rsidRPr="00B74E01" w14:paraId="06AD8BED" w14:textId="77777777" w:rsidTr="00671A31">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46834F99" w14:textId="77777777" w:rsidR="00CF7ABE" w:rsidRPr="00B74E01" w:rsidRDefault="00CF7ABE" w:rsidP="00FB191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Descrição da solução energética</w:t>
            </w:r>
          </w:p>
        </w:tc>
        <w:tc>
          <w:tcPr>
            <w:tcW w:w="0" w:type="auto"/>
            <w:tcBorders>
              <w:top w:val="single" w:sz="4" w:space="0" w:color="auto"/>
              <w:left w:val="single" w:sz="4" w:space="0" w:color="auto"/>
              <w:bottom w:val="single" w:sz="4" w:space="0" w:color="auto"/>
              <w:right w:val="single" w:sz="4" w:space="0" w:color="auto"/>
            </w:tcBorders>
            <w:vAlign w:val="center"/>
            <w:hideMark/>
          </w:tcPr>
          <w:p w14:paraId="36917E78" w14:textId="77777777" w:rsidR="00CF7ABE" w:rsidRPr="00B74E01" w:rsidRDefault="00CF7ABE" w:rsidP="00FB191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Identificar tecnologia, capacidade e limites</w:t>
            </w:r>
          </w:p>
        </w:tc>
      </w:tr>
      <w:tr w:rsidR="00CF7ABE" w:rsidRPr="00B74E01" w14:paraId="3EC822CC" w14:textId="77777777" w:rsidTr="00671A31">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4ADDBDC4" w14:textId="77777777" w:rsidR="00CF7ABE" w:rsidRPr="00B74E01" w:rsidRDefault="00CF7ABE" w:rsidP="00FB191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Estimativa de geração ou disponibilidade</w:t>
            </w:r>
          </w:p>
        </w:tc>
        <w:tc>
          <w:tcPr>
            <w:tcW w:w="0" w:type="auto"/>
            <w:tcBorders>
              <w:top w:val="single" w:sz="4" w:space="0" w:color="auto"/>
              <w:left w:val="single" w:sz="4" w:space="0" w:color="auto"/>
              <w:bottom w:val="single" w:sz="4" w:space="0" w:color="auto"/>
              <w:right w:val="single" w:sz="4" w:space="0" w:color="auto"/>
            </w:tcBorders>
            <w:vAlign w:val="center"/>
            <w:hideMark/>
          </w:tcPr>
          <w:p w14:paraId="37C5EAA9" w14:textId="77777777" w:rsidR="00CF7ABE" w:rsidRPr="00B74E01" w:rsidRDefault="00CF7ABE" w:rsidP="00FB191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Validar aderência à demanda municipal</w:t>
            </w:r>
          </w:p>
        </w:tc>
      </w:tr>
      <w:tr w:rsidR="00CF7ABE" w:rsidRPr="00B74E01" w14:paraId="0FF5061E" w14:textId="77777777" w:rsidTr="00671A31">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1EEBB7F0" w14:textId="77777777" w:rsidR="00CF7ABE" w:rsidRPr="00B74E01" w:rsidRDefault="00CF7ABE" w:rsidP="00FB191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Condições de operação</w:t>
            </w:r>
          </w:p>
        </w:tc>
        <w:tc>
          <w:tcPr>
            <w:tcW w:w="0" w:type="auto"/>
            <w:tcBorders>
              <w:top w:val="single" w:sz="4" w:space="0" w:color="auto"/>
              <w:left w:val="single" w:sz="4" w:space="0" w:color="auto"/>
              <w:bottom w:val="single" w:sz="4" w:space="0" w:color="auto"/>
              <w:right w:val="single" w:sz="4" w:space="0" w:color="auto"/>
            </w:tcBorders>
            <w:vAlign w:val="center"/>
            <w:hideMark/>
          </w:tcPr>
          <w:p w14:paraId="53FC4522" w14:textId="77777777" w:rsidR="00CF7ABE" w:rsidRPr="00B74E01" w:rsidRDefault="00CF7ABE" w:rsidP="00FB191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Demonstrar estabilidade e confiabilidade</w:t>
            </w:r>
          </w:p>
        </w:tc>
      </w:tr>
      <w:tr w:rsidR="00CF7ABE" w:rsidRPr="00B74E01" w14:paraId="7E77CB76" w14:textId="77777777" w:rsidTr="00671A31">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45F85B6E" w14:textId="77777777" w:rsidR="00CF7ABE" w:rsidRPr="00B74E01" w:rsidRDefault="00CF7ABE" w:rsidP="00FB191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Sistema de medição</w:t>
            </w:r>
          </w:p>
        </w:tc>
        <w:tc>
          <w:tcPr>
            <w:tcW w:w="0" w:type="auto"/>
            <w:tcBorders>
              <w:top w:val="single" w:sz="4" w:space="0" w:color="auto"/>
              <w:left w:val="single" w:sz="4" w:space="0" w:color="auto"/>
              <w:bottom w:val="single" w:sz="4" w:space="0" w:color="auto"/>
              <w:right w:val="single" w:sz="4" w:space="0" w:color="auto"/>
            </w:tcBorders>
            <w:vAlign w:val="center"/>
            <w:hideMark/>
          </w:tcPr>
          <w:p w14:paraId="63D85D15" w14:textId="77777777" w:rsidR="00CF7ABE" w:rsidRPr="00B74E01" w:rsidRDefault="00CF7ABE" w:rsidP="00FB191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Permitir controle e fiscalização</w:t>
            </w:r>
          </w:p>
        </w:tc>
      </w:tr>
      <w:tr w:rsidR="00CF7ABE" w:rsidRPr="00B74E01" w14:paraId="41FC2DCC" w14:textId="77777777" w:rsidTr="00671A31">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54C57017" w14:textId="77777777" w:rsidR="00CF7ABE" w:rsidRPr="00B74E01" w:rsidRDefault="00CF7ABE" w:rsidP="00FB191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Plano de manutenção</w:t>
            </w:r>
          </w:p>
        </w:tc>
        <w:tc>
          <w:tcPr>
            <w:tcW w:w="0" w:type="auto"/>
            <w:tcBorders>
              <w:top w:val="single" w:sz="4" w:space="0" w:color="auto"/>
              <w:left w:val="single" w:sz="4" w:space="0" w:color="auto"/>
              <w:bottom w:val="single" w:sz="4" w:space="0" w:color="auto"/>
              <w:right w:val="single" w:sz="4" w:space="0" w:color="auto"/>
            </w:tcBorders>
            <w:vAlign w:val="center"/>
            <w:hideMark/>
          </w:tcPr>
          <w:p w14:paraId="356A16DF" w14:textId="77777777" w:rsidR="00CF7ABE" w:rsidRPr="00B74E01" w:rsidRDefault="00CF7ABE" w:rsidP="00FB191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Garantir disponibilidade</w:t>
            </w:r>
          </w:p>
        </w:tc>
      </w:tr>
      <w:tr w:rsidR="00CF7ABE" w:rsidRPr="00B74E01" w14:paraId="673ED0E2" w14:textId="77777777" w:rsidTr="00671A31">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0275BB36" w14:textId="77777777" w:rsidR="00CF7ABE" w:rsidRPr="00B74E01" w:rsidRDefault="00CF7ABE" w:rsidP="00FB191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Garantias de desempenho</w:t>
            </w:r>
          </w:p>
        </w:tc>
        <w:tc>
          <w:tcPr>
            <w:tcW w:w="0" w:type="auto"/>
            <w:tcBorders>
              <w:top w:val="single" w:sz="4" w:space="0" w:color="auto"/>
              <w:left w:val="single" w:sz="4" w:space="0" w:color="auto"/>
              <w:bottom w:val="single" w:sz="4" w:space="0" w:color="auto"/>
              <w:right w:val="single" w:sz="4" w:space="0" w:color="auto"/>
            </w:tcBorders>
            <w:vAlign w:val="center"/>
            <w:hideMark/>
          </w:tcPr>
          <w:p w14:paraId="799BC0C2" w14:textId="77777777" w:rsidR="00CF7ABE" w:rsidRPr="00B74E01" w:rsidRDefault="00CF7ABE" w:rsidP="00FB191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Reduzir risco de indisponibilidade</w:t>
            </w:r>
          </w:p>
        </w:tc>
      </w:tr>
      <w:tr w:rsidR="00CF7ABE" w:rsidRPr="00B74E01" w14:paraId="2BB2C091" w14:textId="77777777" w:rsidTr="00671A31">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6FE048FD" w14:textId="77777777" w:rsidR="00CF7ABE" w:rsidRPr="00B74E01" w:rsidRDefault="00CF7ABE" w:rsidP="00FB191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lastRenderedPageBreak/>
              <w:t>Enquadramento regulatório</w:t>
            </w:r>
          </w:p>
        </w:tc>
        <w:tc>
          <w:tcPr>
            <w:tcW w:w="0" w:type="auto"/>
            <w:tcBorders>
              <w:top w:val="single" w:sz="4" w:space="0" w:color="auto"/>
              <w:left w:val="single" w:sz="4" w:space="0" w:color="auto"/>
              <w:bottom w:val="single" w:sz="4" w:space="0" w:color="auto"/>
              <w:right w:val="single" w:sz="4" w:space="0" w:color="auto"/>
            </w:tcBorders>
            <w:vAlign w:val="center"/>
            <w:hideMark/>
          </w:tcPr>
          <w:p w14:paraId="0A5CF86A" w14:textId="77777777" w:rsidR="00CF7ABE" w:rsidRPr="00B74E01" w:rsidRDefault="00CF7ABE" w:rsidP="00FB191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Evitar fragilidade jurídica</w:t>
            </w:r>
          </w:p>
        </w:tc>
      </w:tr>
      <w:tr w:rsidR="00CF7ABE" w:rsidRPr="00B74E01" w14:paraId="313933CF" w14:textId="77777777" w:rsidTr="00671A31">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03924E26" w14:textId="77777777" w:rsidR="00CF7ABE" w:rsidRPr="00B74E01" w:rsidRDefault="00CF7ABE" w:rsidP="00FB191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Responsabilidade por conexão ou estrutura aplicável</w:t>
            </w:r>
          </w:p>
        </w:tc>
        <w:tc>
          <w:tcPr>
            <w:tcW w:w="0" w:type="auto"/>
            <w:tcBorders>
              <w:top w:val="single" w:sz="4" w:space="0" w:color="auto"/>
              <w:left w:val="single" w:sz="4" w:space="0" w:color="auto"/>
              <w:bottom w:val="single" w:sz="4" w:space="0" w:color="auto"/>
              <w:right w:val="single" w:sz="4" w:space="0" w:color="auto"/>
            </w:tcBorders>
            <w:vAlign w:val="center"/>
            <w:hideMark/>
          </w:tcPr>
          <w:p w14:paraId="1ECCC89F" w14:textId="77777777" w:rsidR="00CF7ABE" w:rsidRPr="00B74E01" w:rsidRDefault="00CF7ABE" w:rsidP="00FB191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Definir risco técnico e regulatório</w:t>
            </w:r>
          </w:p>
        </w:tc>
      </w:tr>
    </w:tbl>
    <w:p w14:paraId="7A8560F1"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rubrica econômica relacionada à energia deverá ser compatibilizada com o enquadramento jurídico-regulatório da solução, evitando caracterização inadequada como venda direta de energia elétrica.</w:t>
      </w:r>
    </w:p>
    <w:p w14:paraId="0DA8EC50" w14:textId="77777777" w:rsidR="00CF7ABE" w:rsidRPr="00B74E01" w:rsidRDefault="00CF7ABE" w:rsidP="00FB1918">
      <w:pPr>
        <w:pStyle w:val="Ttulo2"/>
        <w:rPr>
          <w:rFonts w:eastAsia="Times New Roman"/>
          <w:lang w:eastAsia="pt-BR"/>
        </w:rPr>
      </w:pPr>
      <w:bookmarkStart w:id="68" w:name="_Toc230204070"/>
      <w:r w:rsidRPr="00B74E01">
        <w:rPr>
          <w:rFonts w:eastAsia="Times New Roman"/>
          <w:lang w:eastAsia="pt-BR"/>
        </w:rPr>
        <w:t>7.4. CAPEX com contingência técnica</w:t>
      </w:r>
      <w:bookmarkEnd w:id="68"/>
    </w:p>
    <w:p w14:paraId="247E7BC0"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Considerando a natureza industrial do empreendimento, a integração de sistemas, obras civis, montagem, licenciamento, comissionamento e eventuais ajustes de implantação, adota-se contingência técnica de </w:t>
      </w:r>
      <w:r w:rsidRPr="00B74E01">
        <w:rPr>
          <w:rFonts w:eastAsia="Times New Roman" w:cs="Arial"/>
          <w:b/>
          <w:bCs/>
          <w:kern w:val="0"/>
          <w:lang w:eastAsia="pt-BR"/>
          <w14:ligatures w14:val="none"/>
        </w:rPr>
        <w:t>10%</w:t>
      </w:r>
      <w:r w:rsidRPr="00B74E01">
        <w:rPr>
          <w:rFonts w:eastAsia="Times New Roman" w:cs="Arial"/>
          <w:kern w:val="0"/>
          <w:lang w:eastAsia="pt-BR"/>
          <w14:ligatures w14:val="none"/>
        </w:rPr>
        <w:t xml:space="preserve"> sobre o CAPEX base.</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177"/>
        <w:gridCol w:w="2004"/>
      </w:tblGrid>
      <w:tr w:rsidR="00CF7ABE" w:rsidRPr="00B74E01" w14:paraId="5CB2C375" w14:textId="77777777" w:rsidTr="00671A31">
        <w:trPr>
          <w:tblHeader/>
          <w:tblCellSpacing w:w="15" w:type="dxa"/>
        </w:trPr>
        <w:tc>
          <w:tcPr>
            <w:tcW w:w="0" w:type="auto"/>
            <w:vAlign w:val="center"/>
            <w:hideMark/>
          </w:tcPr>
          <w:p w14:paraId="235E418E" w14:textId="77777777" w:rsidR="00CF7ABE" w:rsidRPr="00B74E01" w:rsidRDefault="00CF7ABE" w:rsidP="00FB1918">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Item</w:t>
            </w:r>
          </w:p>
        </w:tc>
        <w:tc>
          <w:tcPr>
            <w:tcW w:w="0" w:type="auto"/>
            <w:vAlign w:val="center"/>
            <w:hideMark/>
          </w:tcPr>
          <w:p w14:paraId="72059F07" w14:textId="77777777" w:rsidR="00CF7ABE" w:rsidRPr="00B74E01" w:rsidRDefault="00CF7ABE" w:rsidP="00FB1918">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w:t>
            </w:r>
          </w:p>
        </w:tc>
      </w:tr>
      <w:tr w:rsidR="00CF7ABE" w:rsidRPr="00B74E01" w14:paraId="57C88AF7" w14:textId="77777777" w:rsidTr="00671A31">
        <w:trPr>
          <w:tblCellSpacing w:w="15" w:type="dxa"/>
        </w:trPr>
        <w:tc>
          <w:tcPr>
            <w:tcW w:w="0" w:type="auto"/>
            <w:vAlign w:val="center"/>
            <w:hideMark/>
          </w:tcPr>
          <w:p w14:paraId="51013958" w14:textId="77777777" w:rsidR="00CF7ABE" w:rsidRPr="00B74E01" w:rsidRDefault="00CF7ABE" w:rsidP="00FB191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CAPEX base</w:t>
            </w:r>
          </w:p>
        </w:tc>
        <w:tc>
          <w:tcPr>
            <w:tcW w:w="0" w:type="auto"/>
            <w:vAlign w:val="center"/>
            <w:hideMark/>
          </w:tcPr>
          <w:p w14:paraId="3701B6A4" w14:textId="77777777" w:rsidR="00CF7ABE" w:rsidRPr="00B74E01" w:rsidRDefault="00CF7ABE" w:rsidP="00FB1918">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R$ 26.252.043,00</w:t>
            </w:r>
          </w:p>
        </w:tc>
      </w:tr>
      <w:tr w:rsidR="00CF7ABE" w:rsidRPr="00B74E01" w14:paraId="136AAB7A" w14:textId="77777777" w:rsidTr="00671A31">
        <w:trPr>
          <w:tblCellSpacing w:w="15" w:type="dxa"/>
        </w:trPr>
        <w:tc>
          <w:tcPr>
            <w:tcW w:w="0" w:type="auto"/>
            <w:vAlign w:val="center"/>
            <w:hideMark/>
          </w:tcPr>
          <w:p w14:paraId="43881A52" w14:textId="77777777" w:rsidR="00CF7ABE" w:rsidRPr="00B74E01" w:rsidRDefault="00CF7ABE" w:rsidP="00FB191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Contingência técnica — 10%</w:t>
            </w:r>
          </w:p>
        </w:tc>
        <w:tc>
          <w:tcPr>
            <w:tcW w:w="0" w:type="auto"/>
            <w:vAlign w:val="center"/>
            <w:hideMark/>
          </w:tcPr>
          <w:p w14:paraId="5766878A" w14:textId="77777777" w:rsidR="00CF7ABE" w:rsidRPr="00B74E01" w:rsidRDefault="00CF7ABE" w:rsidP="00FB1918">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R$ 2.625.204,30</w:t>
            </w:r>
          </w:p>
        </w:tc>
      </w:tr>
      <w:tr w:rsidR="00CF7ABE" w:rsidRPr="00B74E01" w14:paraId="7FCA14C4" w14:textId="77777777" w:rsidTr="00671A31">
        <w:trPr>
          <w:tblCellSpacing w:w="15" w:type="dxa"/>
        </w:trPr>
        <w:tc>
          <w:tcPr>
            <w:tcW w:w="0" w:type="auto"/>
            <w:vAlign w:val="center"/>
            <w:hideMark/>
          </w:tcPr>
          <w:p w14:paraId="7E4121D6" w14:textId="77777777" w:rsidR="00CF7ABE" w:rsidRPr="00B74E01" w:rsidRDefault="00CF7ABE" w:rsidP="00FB1918">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CAPEX com contingência</w:t>
            </w:r>
          </w:p>
        </w:tc>
        <w:tc>
          <w:tcPr>
            <w:tcW w:w="0" w:type="auto"/>
            <w:vAlign w:val="center"/>
            <w:hideMark/>
          </w:tcPr>
          <w:p w14:paraId="23BC09A0" w14:textId="77777777" w:rsidR="00CF7ABE" w:rsidRPr="00B74E01" w:rsidRDefault="00CF7ABE" w:rsidP="00FB1918">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R$ 28.877.247,30</w:t>
            </w:r>
          </w:p>
        </w:tc>
      </w:tr>
    </w:tbl>
    <w:p w14:paraId="068B94A6"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contingência técnica tem função prudencial. Ela serve para reduzir o risco de subdimensionamento do investimento e para absorver variações ordinárias de implantação.</w:t>
      </w:r>
    </w:p>
    <w:p w14:paraId="33D25815"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Não deve ser interpretada como margem de lucro da SPE, nem como autorização para aumento automático de contraprestação. Sua função é técnica, financeira e preventiva.</w:t>
      </w:r>
    </w:p>
    <w:p w14:paraId="701BC877" w14:textId="77777777" w:rsidR="00CF7ABE" w:rsidRPr="00B74E01" w:rsidRDefault="00CF7ABE" w:rsidP="00FB1918">
      <w:pPr>
        <w:pStyle w:val="Ttulo2"/>
        <w:rPr>
          <w:rFonts w:eastAsia="Times New Roman"/>
          <w:lang w:eastAsia="pt-BR"/>
        </w:rPr>
      </w:pPr>
      <w:bookmarkStart w:id="69" w:name="_Toc230204071"/>
      <w:r w:rsidRPr="00B74E01">
        <w:rPr>
          <w:rFonts w:eastAsia="Times New Roman"/>
          <w:lang w:eastAsia="pt-BR"/>
        </w:rPr>
        <w:t>7.5. Capital de giro inicial</w:t>
      </w:r>
      <w:bookmarkEnd w:id="69"/>
    </w:p>
    <w:p w14:paraId="74E67351"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O capital de giro inicial é necessário para assegurar liquidez operacional nos primeiros meses de funcionamento da SPE.</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390"/>
        <w:gridCol w:w="1870"/>
      </w:tblGrid>
      <w:tr w:rsidR="00CF7ABE" w:rsidRPr="00B74E01" w14:paraId="09EDFB45" w14:textId="77777777" w:rsidTr="00671A31">
        <w:trPr>
          <w:tblHeader/>
          <w:tblCellSpacing w:w="15" w:type="dxa"/>
        </w:trPr>
        <w:tc>
          <w:tcPr>
            <w:tcW w:w="0" w:type="auto"/>
            <w:vAlign w:val="center"/>
            <w:hideMark/>
          </w:tcPr>
          <w:p w14:paraId="47E2CE74" w14:textId="77777777" w:rsidR="00CF7ABE" w:rsidRPr="00B74E01" w:rsidRDefault="00CF7ABE" w:rsidP="00FB1918">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lastRenderedPageBreak/>
              <w:t>Item</w:t>
            </w:r>
          </w:p>
        </w:tc>
        <w:tc>
          <w:tcPr>
            <w:tcW w:w="0" w:type="auto"/>
            <w:vAlign w:val="center"/>
            <w:hideMark/>
          </w:tcPr>
          <w:p w14:paraId="631724DC" w14:textId="77777777" w:rsidR="00CF7ABE" w:rsidRPr="00B74E01" w:rsidRDefault="00CF7ABE" w:rsidP="00FB1918">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Valor</w:t>
            </w:r>
          </w:p>
        </w:tc>
      </w:tr>
      <w:tr w:rsidR="00CF7ABE" w:rsidRPr="00B74E01" w14:paraId="1999FA9B" w14:textId="77777777" w:rsidTr="00671A31">
        <w:trPr>
          <w:tblCellSpacing w:w="15" w:type="dxa"/>
        </w:trPr>
        <w:tc>
          <w:tcPr>
            <w:tcW w:w="0" w:type="auto"/>
            <w:vAlign w:val="center"/>
            <w:hideMark/>
          </w:tcPr>
          <w:p w14:paraId="09CD3666" w14:textId="77777777" w:rsidR="00CF7ABE" w:rsidRPr="00B74E01" w:rsidRDefault="00CF7ABE" w:rsidP="00FB1918">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OPEX mensal revisado</w:t>
            </w:r>
          </w:p>
        </w:tc>
        <w:tc>
          <w:tcPr>
            <w:tcW w:w="0" w:type="auto"/>
            <w:vAlign w:val="center"/>
            <w:hideMark/>
          </w:tcPr>
          <w:p w14:paraId="20ACA09A" w14:textId="77777777" w:rsidR="00CF7ABE" w:rsidRPr="00B74E01" w:rsidRDefault="00CF7ABE" w:rsidP="00FB1918">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R$ 318.496,07</w:t>
            </w:r>
          </w:p>
        </w:tc>
      </w:tr>
      <w:tr w:rsidR="00CF7ABE" w:rsidRPr="00B74E01" w14:paraId="2D4F549F" w14:textId="77777777" w:rsidTr="00671A31">
        <w:trPr>
          <w:tblCellSpacing w:w="15" w:type="dxa"/>
        </w:trPr>
        <w:tc>
          <w:tcPr>
            <w:tcW w:w="0" w:type="auto"/>
            <w:vAlign w:val="center"/>
            <w:hideMark/>
          </w:tcPr>
          <w:p w14:paraId="432FCACD" w14:textId="77777777" w:rsidR="00CF7ABE" w:rsidRPr="00B74E01" w:rsidRDefault="00CF7ABE" w:rsidP="00FB1918">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Três meses de OPEX revisado</w:t>
            </w:r>
          </w:p>
        </w:tc>
        <w:tc>
          <w:tcPr>
            <w:tcW w:w="0" w:type="auto"/>
            <w:vAlign w:val="center"/>
            <w:hideMark/>
          </w:tcPr>
          <w:p w14:paraId="1B83E0AF" w14:textId="77777777" w:rsidR="00CF7ABE" w:rsidRPr="00B74E01" w:rsidRDefault="00CF7ABE" w:rsidP="00FB1918">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R$ 955.488,21</w:t>
            </w:r>
          </w:p>
        </w:tc>
      </w:tr>
      <w:tr w:rsidR="00CF7ABE" w:rsidRPr="00B74E01" w14:paraId="17BE8956" w14:textId="77777777" w:rsidTr="00671A31">
        <w:trPr>
          <w:tblCellSpacing w:w="15" w:type="dxa"/>
        </w:trPr>
        <w:tc>
          <w:tcPr>
            <w:tcW w:w="0" w:type="auto"/>
            <w:vAlign w:val="center"/>
            <w:hideMark/>
          </w:tcPr>
          <w:p w14:paraId="576E1055" w14:textId="77777777" w:rsidR="00CF7ABE" w:rsidRPr="00B74E01" w:rsidRDefault="00CF7ABE" w:rsidP="00FB1918">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Capital de giro inicial adotado</w:t>
            </w:r>
          </w:p>
        </w:tc>
        <w:tc>
          <w:tcPr>
            <w:tcW w:w="0" w:type="auto"/>
            <w:vAlign w:val="center"/>
            <w:hideMark/>
          </w:tcPr>
          <w:p w14:paraId="34756C0A" w14:textId="77777777" w:rsidR="00CF7ABE" w:rsidRPr="00B74E01" w:rsidRDefault="00CF7ABE" w:rsidP="00FB1918">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R$ 1.021.941,08</w:t>
            </w:r>
          </w:p>
        </w:tc>
      </w:tr>
    </w:tbl>
    <w:p w14:paraId="03A76995"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Embora três meses do OPEX revisado correspondam a </w:t>
      </w:r>
      <w:r w:rsidRPr="00B74E01">
        <w:rPr>
          <w:rFonts w:eastAsia="Times New Roman" w:cs="Arial"/>
          <w:b/>
          <w:bCs/>
          <w:kern w:val="0"/>
          <w:lang w:eastAsia="pt-BR"/>
          <w14:ligatures w14:val="none"/>
        </w:rPr>
        <w:t>R$ 955.488,21</w:t>
      </w:r>
      <w:r w:rsidRPr="00B74E01">
        <w:rPr>
          <w:rFonts w:eastAsia="Times New Roman" w:cs="Arial"/>
          <w:kern w:val="0"/>
          <w:lang w:eastAsia="pt-BR"/>
          <w14:ligatures w14:val="none"/>
        </w:rPr>
        <w:t xml:space="preserve">, a modelagem mantém </w:t>
      </w:r>
      <w:r w:rsidRPr="00B74E01">
        <w:rPr>
          <w:rFonts w:eastAsia="Times New Roman" w:cs="Arial"/>
          <w:b/>
          <w:bCs/>
          <w:kern w:val="0"/>
          <w:lang w:eastAsia="pt-BR"/>
          <w14:ligatures w14:val="none"/>
        </w:rPr>
        <w:t>R$ 1.021.941,08</w:t>
      </w:r>
      <w:r w:rsidRPr="00B74E01">
        <w:rPr>
          <w:rFonts w:eastAsia="Times New Roman" w:cs="Arial"/>
          <w:kern w:val="0"/>
          <w:lang w:eastAsia="pt-BR"/>
          <w14:ligatures w14:val="none"/>
        </w:rPr>
        <w:t xml:space="preserve"> como capital de giro inicial, por prudência.</w:t>
      </w:r>
    </w:p>
    <w:p w14:paraId="488A3B97"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Esse valor cobre a necessidade inicial de caixa para folha, benefícios, insumos, manutenção, seguros, transporte, alimentação, assessorias, comunicação, deslocamentos e demais despesas recorrentes antes da plena estabilização da receita operacional.</w:t>
      </w:r>
    </w:p>
    <w:p w14:paraId="42E7BBB5" w14:textId="77777777" w:rsidR="00CF7ABE" w:rsidRPr="00B74E01" w:rsidRDefault="00CF7ABE" w:rsidP="00FB1918">
      <w:pPr>
        <w:pStyle w:val="Ttulo2"/>
        <w:rPr>
          <w:rFonts w:eastAsia="Times New Roman"/>
          <w:lang w:eastAsia="pt-BR"/>
        </w:rPr>
      </w:pPr>
      <w:bookmarkStart w:id="70" w:name="_Toc230204072"/>
      <w:r w:rsidRPr="00B74E01">
        <w:rPr>
          <w:rFonts w:eastAsia="Times New Roman"/>
          <w:lang w:eastAsia="pt-BR"/>
        </w:rPr>
        <w:t>7.6. IDC — Juros Durante Implantação</w:t>
      </w:r>
      <w:bookmarkEnd w:id="70"/>
    </w:p>
    <w:p w14:paraId="4F18DB41"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O IDC representa os juros incidentes durante a fase de implantação, antes da plena geração de caixa operacional.</w:t>
      </w:r>
    </w:p>
    <w:p w14:paraId="07A037EA"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 modelagem considera prazo de implantação de </w:t>
      </w:r>
      <w:r w:rsidRPr="00B74E01">
        <w:rPr>
          <w:rFonts w:eastAsia="Times New Roman" w:cs="Arial"/>
          <w:b/>
          <w:bCs/>
          <w:kern w:val="0"/>
          <w:lang w:eastAsia="pt-BR"/>
          <w14:ligatures w14:val="none"/>
        </w:rPr>
        <w:t>18 meses</w:t>
      </w:r>
      <w:r w:rsidRPr="00B74E01">
        <w:rPr>
          <w:rFonts w:eastAsia="Times New Roman" w:cs="Arial"/>
          <w:kern w:val="0"/>
          <w:lang w:eastAsia="pt-BR"/>
          <w14:ligatures w14:val="none"/>
        </w:rPr>
        <w:t xml:space="preserve">, taxa prudencial de </w:t>
      </w:r>
      <w:r w:rsidRPr="00B74E01">
        <w:rPr>
          <w:rFonts w:eastAsia="Times New Roman" w:cs="Arial"/>
          <w:b/>
          <w:bCs/>
          <w:kern w:val="0"/>
          <w:lang w:eastAsia="pt-BR"/>
          <w14:ligatures w14:val="none"/>
        </w:rPr>
        <w:t>10% a.a.</w:t>
      </w:r>
      <w:r w:rsidRPr="00B74E01">
        <w:rPr>
          <w:rFonts w:eastAsia="Times New Roman" w:cs="Arial"/>
          <w:kern w:val="0"/>
          <w:lang w:eastAsia="pt-BR"/>
          <w14:ligatures w14:val="none"/>
        </w:rPr>
        <w:t xml:space="preserve"> e desembolso linear.</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844"/>
        <w:gridCol w:w="2004"/>
      </w:tblGrid>
      <w:tr w:rsidR="00CF7ABE" w:rsidRPr="00B74E01" w14:paraId="3C699B1C" w14:textId="77777777" w:rsidTr="00671A31">
        <w:trPr>
          <w:tblHeader/>
          <w:tblCellSpacing w:w="15" w:type="dxa"/>
        </w:trPr>
        <w:tc>
          <w:tcPr>
            <w:tcW w:w="0" w:type="auto"/>
            <w:vAlign w:val="center"/>
            <w:hideMark/>
          </w:tcPr>
          <w:p w14:paraId="288DC3AE" w14:textId="77777777" w:rsidR="00CF7ABE" w:rsidRPr="00B74E01" w:rsidRDefault="00CF7ABE" w:rsidP="00FB1918">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Item</w:t>
            </w:r>
          </w:p>
        </w:tc>
        <w:tc>
          <w:tcPr>
            <w:tcW w:w="0" w:type="auto"/>
            <w:vAlign w:val="center"/>
            <w:hideMark/>
          </w:tcPr>
          <w:p w14:paraId="6198C27A" w14:textId="77777777" w:rsidR="00CF7ABE" w:rsidRPr="00B74E01" w:rsidRDefault="00CF7ABE" w:rsidP="00FB1918">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w:t>
            </w:r>
          </w:p>
        </w:tc>
      </w:tr>
      <w:tr w:rsidR="00CF7ABE" w:rsidRPr="00B74E01" w14:paraId="79DBED8F" w14:textId="77777777" w:rsidTr="00671A31">
        <w:trPr>
          <w:tblCellSpacing w:w="15" w:type="dxa"/>
        </w:trPr>
        <w:tc>
          <w:tcPr>
            <w:tcW w:w="0" w:type="auto"/>
            <w:vAlign w:val="center"/>
            <w:hideMark/>
          </w:tcPr>
          <w:p w14:paraId="3A706461" w14:textId="77777777" w:rsidR="00CF7ABE" w:rsidRPr="00B74E01" w:rsidRDefault="00CF7ABE" w:rsidP="00FB191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CAPEX com contingência</w:t>
            </w:r>
          </w:p>
        </w:tc>
        <w:tc>
          <w:tcPr>
            <w:tcW w:w="0" w:type="auto"/>
            <w:vAlign w:val="center"/>
            <w:hideMark/>
          </w:tcPr>
          <w:p w14:paraId="04C7A39A" w14:textId="77777777" w:rsidR="00CF7ABE" w:rsidRPr="00B74E01" w:rsidRDefault="00CF7ABE" w:rsidP="00FB1918">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R$ 28.877.247,30</w:t>
            </w:r>
          </w:p>
        </w:tc>
      </w:tr>
      <w:tr w:rsidR="00CF7ABE" w:rsidRPr="00B74E01" w14:paraId="7331F5F4" w14:textId="77777777" w:rsidTr="00671A31">
        <w:trPr>
          <w:tblCellSpacing w:w="15" w:type="dxa"/>
        </w:trPr>
        <w:tc>
          <w:tcPr>
            <w:tcW w:w="0" w:type="auto"/>
            <w:vAlign w:val="center"/>
            <w:hideMark/>
          </w:tcPr>
          <w:p w14:paraId="05358402" w14:textId="77777777" w:rsidR="00CF7ABE" w:rsidRPr="00B74E01" w:rsidRDefault="00CF7ABE" w:rsidP="00FB191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Capital de giro inicial</w:t>
            </w:r>
          </w:p>
        </w:tc>
        <w:tc>
          <w:tcPr>
            <w:tcW w:w="0" w:type="auto"/>
            <w:vAlign w:val="center"/>
            <w:hideMark/>
          </w:tcPr>
          <w:p w14:paraId="7115FA58" w14:textId="77777777" w:rsidR="00CF7ABE" w:rsidRPr="00B74E01" w:rsidRDefault="00CF7ABE" w:rsidP="00FB1918">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R$ 1.021.941,08</w:t>
            </w:r>
          </w:p>
        </w:tc>
      </w:tr>
      <w:tr w:rsidR="00CF7ABE" w:rsidRPr="00B74E01" w14:paraId="68897547" w14:textId="77777777" w:rsidTr="00671A31">
        <w:trPr>
          <w:tblCellSpacing w:w="15" w:type="dxa"/>
        </w:trPr>
        <w:tc>
          <w:tcPr>
            <w:tcW w:w="0" w:type="auto"/>
            <w:vAlign w:val="center"/>
            <w:hideMark/>
          </w:tcPr>
          <w:p w14:paraId="5EB598BC" w14:textId="77777777" w:rsidR="00CF7ABE" w:rsidRPr="00B74E01" w:rsidRDefault="00CF7ABE" w:rsidP="00FB191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Subtotal antes do IDC</w:t>
            </w:r>
          </w:p>
        </w:tc>
        <w:tc>
          <w:tcPr>
            <w:tcW w:w="0" w:type="auto"/>
            <w:vAlign w:val="center"/>
            <w:hideMark/>
          </w:tcPr>
          <w:p w14:paraId="77B15151" w14:textId="77777777" w:rsidR="00CF7ABE" w:rsidRPr="00B74E01" w:rsidRDefault="00CF7ABE" w:rsidP="00FB1918">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R$ 29.899.188,38</w:t>
            </w:r>
          </w:p>
        </w:tc>
      </w:tr>
      <w:tr w:rsidR="00CF7ABE" w:rsidRPr="00B74E01" w14:paraId="434C50AB" w14:textId="77777777" w:rsidTr="00671A31">
        <w:trPr>
          <w:tblCellSpacing w:w="15" w:type="dxa"/>
        </w:trPr>
        <w:tc>
          <w:tcPr>
            <w:tcW w:w="0" w:type="auto"/>
            <w:vAlign w:val="center"/>
            <w:hideMark/>
          </w:tcPr>
          <w:p w14:paraId="7C651183" w14:textId="77777777" w:rsidR="00CF7ABE" w:rsidRPr="00B74E01" w:rsidRDefault="00CF7ABE" w:rsidP="00FB191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Taxa prudencial</w:t>
            </w:r>
          </w:p>
        </w:tc>
        <w:tc>
          <w:tcPr>
            <w:tcW w:w="0" w:type="auto"/>
            <w:vAlign w:val="center"/>
            <w:hideMark/>
          </w:tcPr>
          <w:p w14:paraId="4C5DBDEF" w14:textId="77777777" w:rsidR="00CF7ABE" w:rsidRPr="00B74E01" w:rsidRDefault="00CF7ABE" w:rsidP="00FB1918">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10% a.a.</w:t>
            </w:r>
          </w:p>
        </w:tc>
      </w:tr>
      <w:tr w:rsidR="00CF7ABE" w:rsidRPr="00B74E01" w14:paraId="313925D0" w14:textId="77777777" w:rsidTr="00671A31">
        <w:trPr>
          <w:tblCellSpacing w:w="15" w:type="dxa"/>
        </w:trPr>
        <w:tc>
          <w:tcPr>
            <w:tcW w:w="0" w:type="auto"/>
            <w:vAlign w:val="center"/>
            <w:hideMark/>
          </w:tcPr>
          <w:p w14:paraId="61BF779A" w14:textId="77777777" w:rsidR="00CF7ABE" w:rsidRPr="00B74E01" w:rsidRDefault="00CF7ABE" w:rsidP="00FB191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Prazo de implantação</w:t>
            </w:r>
          </w:p>
        </w:tc>
        <w:tc>
          <w:tcPr>
            <w:tcW w:w="0" w:type="auto"/>
            <w:vAlign w:val="center"/>
            <w:hideMark/>
          </w:tcPr>
          <w:p w14:paraId="095C33BA" w14:textId="77777777" w:rsidR="00CF7ABE" w:rsidRPr="00B74E01" w:rsidRDefault="00CF7ABE" w:rsidP="00FB1918">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18 meses</w:t>
            </w:r>
          </w:p>
        </w:tc>
      </w:tr>
      <w:tr w:rsidR="00CF7ABE" w:rsidRPr="00B74E01" w14:paraId="76554DD1" w14:textId="77777777" w:rsidTr="00671A31">
        <w:trPr>
          <w:tblCellSpacing w:w="15" w:type="dxa"/>
        </w:trPr>
        <w:tc>
          <w:tcPr>
            <w:tcW w:w="0" w:type="auto"/>
            <w:vAlign w:val="center"/>
            <w:hideMark/>
          </w:tcPr>
          <w:p w14:paraId="786C5BB9" w14:textId="77777777" w:rsidR="00CF7ABE" w:rsidRPr="00B74E01" w:rsidRDefault="00CF7ABE" w:rsidP="00FB191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IDC estimado</w:t>
            </w:r>
          </w:p>
        </w:tc>
        <w:tc>
          <w:tcPr>
            <w:tcW w:w="0" w:type="auto"/>
            <w:vAlign w:val="center"/>
            <w:hideMark/>
          </w:tcPr>
          <w:p w14:paraId="7007CD21" w14:textId="77777777" w:rsidR="00CF7ABE" w:rsidRPr="00B74E01" w:rsidRDefault="00CF7ABE" w:rsidP="00FB1918">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R$ 2.370.685,00</w:t>
            </w:r>
          </w:p>
        </w:tc>
      </w:tr>
    </w:tbl>
    <w:p w14:paraId="41973B3E"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O IDC é relevante porque projetos industriais de infraestrutura não começam a gerar receita plena imediatamente. Durante a implantação, podem ocorrer desembolsos com equipamentos, obras, montagem, importação, instalação, </w:t>
      </w:r>
      <w:r w:rsidRPr="00B74E01">
        <w:rPr>
          <w:rFonts w:eastAsia="Times New Roman" w:cs="Arial"/>
          <w:kern w:val="0"/>
          <w:lang w:eastAsia="pt-BR"/>
          <w14:ligatures w14:val="none"/>
        </w:rPr>
        <w:lastRenderedPageBreak/>
        <w:t>comissionamento e licenciamento, enquanto a receita operacional ainda não está ativa.</w:t>
      </w:r>
    </w:p>
    <w:p w14:paraId="61C89E27"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inclusão do IDC torna a modelagem mais realista e evita subestimação do investimento financeiro total.</w:t>
      </w:r>
    </w:p>
    <w:p w14:paraId="7C1A7A25" w14:textId="77777777" w:rsidR="00CF7ABE" w:rsidRPr="00B74E01" w:rsidRDefault="00CF7ABE" w:rsidP="00FB1918">
      <w:pPr>
        <w:pStyle w:val="Ttulo2"/>
        <w:rPr>
          <w:rFonts w:eastAsia="Times New Roman"/>
          <w:lang w:eastAsia="pt-BR"/>
        </w:rPr>
      </w:pPr>
      <w:bookmarkStart w:id="71" w:name="_Toc230204073"/>
      <w:r w:rsidRPr="00B74E01">
        <w:rPr>
          <w:rFonts w:eastAsia="Times New Roman"/>
          <w:lang w:eastAsia="pt-BR"/>
        </w:rPr>
        <w:t>7.7. Investimento financeiro total estimado</w:t>
      </w:r>
      <w:bookmarkEnd w:id="71"/>
    </w:p>
    <w:p w14:paraId="1ECCE19E"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Somando CAPEX com contingência, capital de giro inicial e IDC, chega-se ao investimento financeiro total estimado.</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483"/>
        <w:gridCol w:w="2004"/>
      </w:tblGrid>
      <w:tr w:rsidR="00CF7ABE" w:rsidRPr="00B74E01" w14:paraId="17221292" w14:textId="77777777" w:rsidTr="00671A31">
        <w:trPr>
          <w:tblHeader/>
          <w:tblCellSpacing w:w="15" w:type="dxa"/>
        </w:trPr>
        <w:tc>
          <w:tcPr>
            <w:tcW w:w="0" w:type="auto"/>
            <w:vAlign w:val="center"/>
            <w:hideMark/>
          </w:tcPr>
          <w:p w14:paraId="34F82DC3" w14:textId="77777777" w:rsidR="00CF7ABE" w:rsidRPr="00B74E01" w:rsidRDefault="00CF7ABE" w:rsidP="00FB1918">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Componente</w:t>
            </w:r>
          </w:p>
        </w:tc>
        <w:tc>
          <w:tcPr>
            <w:tcW w:w="0" w:type="auto"/>
            <w:vAlign w:val="center"/>
            <w:hideMark/>
          </w:tcPr>
          <w:p w14:paraId="300050A2" w14:textId="77777777" w:rsidR="00CF7ABE" w:rsidRPr="00B74E01" w:rsidRDefault="00CF7ABE" w:rsidP="00FB1918">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w:t>
            </w:r>
          </w:p>
        </w:tc>
      </w:tr>
      <w:tr w:rsidR="00CF7ABE" w:rsidRPr="00B74E01" w14:paraId="3FEF858C" w14:textId="77777777" w:rsidTr="00671A31">
        <w:trPr>
          <w:tblCellSpacing w:w="15" w:type="dxa"/>
        </w:trPr>
        <w:tc>
          <w:tcPr>
            <w:tcW w:w="0" w:type="auto"/>
            <w:vAlign w:val="center"/>
            <w:hideMark/>
          </w:tcPr>
          <w:p w14:paraId="112F3BF7" w14:textId="77777777" w:rsidR="00CF7ABE" w:rsidRPr="00B74E01" w:rsidRDefault="00CF7ABE" w:rsidP="00FB191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CAPEX com contingência</w:t>
            </w:r>
          </w:p>
        </w:tc>
        <w:tc>
          <w:tcPr>
            <w:tcW w:w="0" w:type="auto"/>
            <w:vAlign w:val="center"/>
            <w:hideMark/>
          </w:tcPr>
          <w:p w14:paraId="5C1C2CCC" w14:textId="77777777" w:rsidR="00CF7ABE" w:rsidRPr="00B74E01" w:rsidRDefault="00CF7ABE" w:rsidP="00FB1918">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R$ 28.877.247,30</w:t>
            </w:r>
          </w:p>
        </w:tc>
      </w:tr>
      <w:tr w:rsidR="00CF7ABE" w:rsidRPr="00B74E01" w14:paraId="4718DB70" w14:textId="77777777" w:rsidTr="00671A31">
        <w:trPr>
          <w:tblCellSpacing w:w="15" w:type="dxa"/>
        </w:trPr>
        <w:tc>
          <w:tcPr>
            <w:tcW w:w="0" w:type="auto"/>
            <w:vAlign w:val="center"/>
            <w:hideMark/>
          </w:tcPr>
          <w:p w14:paraId="62E313DD" w14:textId="77777777" w:rsidR="00CF7ABE" w:rsidRPr="00B74E01" w:rsidRDefault="00CF7ABE" w:rsidP="00FB191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Capital de giro inicial</w:t>
            </w:r>
          </w:p>
        </w:tc>
        <w:tc>
          <w:tcPr>
            <w:tcW w:w="0" w:type="auto"/>
            <w:vAlign w:val="center"/>
            <w:hideMark/>
          </w:tcPr>
          <w:p w14:paraId="3C7DF47B" w14:textId="77777777" w:rsidR="00CF7ABE" w:rsidRPr="00B74E01" w:rsidRDefault="00CF7ABE" w:rsidP="00FB1918">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R$ 1.021.941,08</w:t>
            </w:r>
          </w:p>
        </w:tc>
      </w:tr>
      <w:tr w:rsidR="00CF7ABE" w:rsidRPr="00B74E01" w14:paraId="7CED1BFC" w14:textId="77777777" w:rsidTr="00671A31">
        <w:trPr>
          <w:tblCellSpacing w:w="15" w:type="dxa"/>
        </w:trPr>
        <w:tc>
          <w:tcPr>
            <w:tcW w:w="0" w:type="auto"/>
            <w:vAlign w:val="center"/>
            <w:hideMark/>
          </w:tcPr>
          <w:p w14:paraId="1FA73FD7" w14:textId="77777777" w:rsidR="00CF7ABE" w:rsidRPr="00B74E01" w:rsidRDefault="00CF7ABE" w:rsidP="00FB191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IDC</w:t>
            </w:r>
          </w:p>
        </w:tc>
        <w:tc>
          <w:tcPr>
            <w:tcW w:w="0" w:type="auto"/>
            <w:vAlign w:val="center"/>
            <w:hideMark/>
          </w:tcPr>
          <w:p w14:paraId="6E48E103" w14:textId="77777777" w:rsidR="00CF7ABE" w:rsidRPr="00B74E01" w:rsidRDefault="00CF7ABE" w:rsidP="00FB1918">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R$ 2.370.685,00</w:t>
            </w:r>
          </w:p>
        </w:tc>
      </w:tr>
      <w:tr w:rsidR="00CF7ABE" w:rsidRPr="00B74E01" w14:paraId="6894BDFC" w14:textId="77777777" w:rsidTr="00671A31">
        <w:trPr>
          <w:tblCellSpacing w:w="15" w:type="dxa"/>
        </w:trPr>
        <w:tc>
          <w:tcPr>
            <w:tcW w:w="0" w:type="auto"/>
            <w:vAlign w:val="center"/>
            <w:hideMark/>
          </w:tcPr>
          <w:p w14:paraId="2F5781F7" w14:textId="77777777" w:rsidR="00CF7ABE" w:rsidRPr="00B74E01" w:rsidRDefault="00CF7ABE" w:rsidP="00FB1918">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Investimento financeiro total estimado</w:t>
            </w:r>
          </w:p>
        </w:tc>
        <w:tc>
          <w:tcPr>
            <w:tcW w:w="0" w:type="auto"/>
            <w:vAlign w:val="center"/>
            <w:hideMark/>
          </w:tcPr>
          <w:p w14:paraId="4B21BE77" w14:textId="77777777" w:rsidR="00CF7ABE" w:rsidRPr="00B74E01" w:rsidRDefault="00CF7ABE" w:rsidP="00FB1918">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R$ 32.269.873,38</w:t>
            </w:r>
          </w:p>
        </w:tc>
      </w:tr>
    </w:tbl>
    <w:p w14:paraId="2D4955D3"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Esse valor é a base utilizada para simulação do financiamento referencial e cálculo preliminar do serviço da dívida.</w:t>
      </w:r>
    </w:p>
    <w:p w14:paraId="716E3AFE"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Na licitação, os proponentes poderão apresentar estrutura de investimento própria, desde que respeitem as exigências mínimas do edital, os parâmetros técnicos, as garantias de desempenho e a capacidade operacional contratada.</w:t>
      </w:r>
    </w:p>
    <w:p w14:paraId="469A7D61" w14:textId="77777777" w:rsidR="00CF7ABE" w:rsidRPr="00B74E01" w:rsidRDefault="00CF7ABE" w:rsidP="00FB1918">
      <w:pPr>
        <w:pStyle w:val="Ttulo2"/>
        <w:rPr>
          <w:rFonts w:eastAsia="Times New Roman"/>
          <w:lang w:eastAsia="pt-BR"/>
        </w:rPr>
      </w:pPr>
      <w:bookmarkStart w:id="72" w:name="_Toc230204074"/>
      <w:r w:rsidRPr="00B74E01">
        <w:rPr>
          <w:rFonts w:eastAsia="Times New Roman"/>
          <w:lang w:eastAsia="pt-BR"/>
        </w:rPr>
        <w:t>7.8. Responsabilidade dos licitantes sobre o CAPEX</w:t>
      </w:r>
      <w:bookmarkEnd w:id="72"/>
    </w:p>
    <w:p w14:paraId="2FC8C868"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O CAPEX apresentado no caderno tem natureza referencial para fins de modelagem. Ele não substitui a responsabilidade dos licitantes de formular sua própria proposta econômica, técnica e financeira.</w:t>
      </w:r>
    </w:p>
    <w:p w14:paraId="44BD1346"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Na fase licitatória, os proponentes deverão apresentar, conforme exigências do edital:</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231"/>
        <w:gridCol w:w="4538"/>
      </w:tblGrid>
      <w:tr w:rsidR="00CF7ABE" w:rsidRPr="00B74E01" w14:paraId="1515BDF3" w14:textId="77777777" w:rsidTr="00671A31">
        <w:trPr>
          <w:tblHeader/>
          <w:tblCellSpacing w:w="15" w:type="dxa"/>
        </w:trPr>
        <w:tc>
          <w:tcPr>
            <w:tcW w:w="0" w:type="auto"/>
            <w:vAlign w:val="center"/>
            <w:hideMark/>
          </w:tcPr>
          <w:p w14:paraId="249947F0" w14:textId="77777777" w:rsidR="00CF7ABE" w:rsidRPr="00B74E01" w:rsidRDefault="00CF7ABE" w:rsidP="00FB1918">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Documento ou comprovação</w:t>
            </w:r>
          </w:p>
        </w:tc>
        <w:tc>
          <w:tcPr>
            <w:tcW w:w="0" w:type="auto"/>
            <w:vAlign w:val="center"/>
            <w:hideMark/>
          </w:tcPr>
          <w:p w14:paraId="27697E0F" w14:textId="77777777" w:rsidR="00CF7ABE" w:rsidRPr="00B74E01" w:rsidRDefault="00CF7ABE" w:rsidP="00FB1918">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Finalidade</w:t>
            </w:r>
          </w:p>
        </w:tc>
      </w:tr>
      <w:tr w:rsidR="00CF7ABE" w:rsidRPr="00B74E01" w14:paraId="1C62FDD1" w14:textId="77777777" w:rsidTr="00671A31">
        <w:trPr>
          <w:tblCellSpacing w:w="15" w:type="dxa"/>
        </w:trPr>
        <w:tc>
          <w:tcPr>
            <w:tcW w:w="0" w:type="auto"/>
            <w:vAlign w:val="center"/>
            <w:hideMark/>
          </w:tcPr>
          <w:p w14:paraId="7E24C51A" w14:textId="77777777" w:rsidR="00CF7ABE" w:rsidRPr="00B74E01" w:rsidRDefault="00CF7ABE" w:rsidP="00FB191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Proposta técnica da solução</w:t>
            </w:r>
          </w:p>
        </w:tc>
        <w:tc>
          <w:tcPr>
            <w:tcW w:w="0" w:type="auto"/>
            <w:vAlign w:val="center"/>
            <w:hideMark/>
          </w:tcPr>
          <w:p w14:paraId="63AA6EA1" w14:textId="77777777" w:rsidR="00CF7ABE" w:rsidRPr="00B74E01" w:rsidRDefault="00CF7ABE" w:rsidP="00FB191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Demonstrar aderência ao objeto</w:t>
            </w:r>
          </w:p>
        </w:tc>
      </w:tr>
      <w:tr w:rsidR="00CF7ABE" w:rsidRPr="00B74E01" w14:paraId="06C1F1BE" w14:textId="77777777" w:rsidTr="00671A31">
        <w:trPr>
          <w:tblCellSpacing w:w="15" w:type="dxa"/>
        </w:trPr>
        <w:tc>
          <w:tcPr>
            <w:tcW w:w="0" w:type="auto"/>
            <w:vAlign w:val="center"/>
            <w:hideMark/>
          </w:tcPr>
          <w:p w14:paraId="1CB000E9" w14:textId="77777777" w:rsidR="00CF7ABE" w:rsidRPr="00B74E01" w:rsidRDefault="00CF7ABE" w:rsidP="00FB191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lastRenderedPageBreak/>
              <w:t>Composição de investimento</w:t>
            </w:r>
          </w:p>
        </w:tc>
        <w:tc>
          <w:tcPr>
            <w:tcW w:w="0" w:type="auto"/>
            <w:vAlign w:val="center"/>
            <w:hideMark/>
          </w:tcPr>
          <w:p w14:paraId="271FB726" w14:textId="77777777" w:rsidR="00CF7ABE" w:rsidRPr="00B74E01" w:rsidRDefault="00CF7ABE" w:rsidP="00FB191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Evidenciar coerência do CAPEX proposto</w:t>
            </w:r>
          </w:p>
        </w:tc>
      </w:tr>
      <w:tr w:rsidR="00CF7ABE" w:rsidRPr="00B74E01" w14:paraId="2AFBDC41" w14:textId="77777777" w:rsidTr="00671A31">
        <w:trPr>
          <w:tblCellSpacing w:w="15" w:type="dxa"/>
        </w:trPr>
        <w:tc>
          <w:tcPr>
            <w:tcW w:w="0" w:type="auto"/>
            <w:vAlign w:val="center"/>
            <w:hideMark/>
          </w:tcPr>
          <w:p w14:paraId="5963BDB2" w14:textId="77777777" w:rsidR="00CF7ABE" w:rsidRPr="00B74E01" w:rsidRDefault="00CF7ABE" w:rsidP="00FB191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Fornecedores ou fabricantes indicados</w:t>
            </w:r>
          </w:p>
        </w:tc>
        <w:tc>
          <w:tcPr>
            <w:tcW w:w="0" w:type="auto"/>
            <w:vAlign w:val="center"/>
            <w:hideMark/>
          </w:tcPr>
          <w:p w14:paraId="62712DEE" w14:textId="77777777" w:rsidR="00CF7ABE" w:rsidRPr="00B74E01" w:rsidRDefault="00CF7ABE" w:rsidP="00FB191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Demonstrar capacidade de fornecimento</w:t>
            </w:r>
          </w:p>
        </w:tc>
      </w:tr>
      <w:tr w:rsidR="00CF7ABE" w:rsidRPr="00B74E01" w14:paraId="46475344" w14:textId="77777777" w:rsidTr="00671A31">
        <w:trPr>
          <w:tblCellSpacing w:w="15" w:type="dxa"/>
        </w:trPr>
        <w:tc>
          <w:tcPr>
            <w:tcW w:w="0" w:type="auto"/>
            <w:vAlign w:val="center"/>
            <w:hideMark/>
          </w:tcPr>
          <w:p w14:paraId="1B3D6675" w14:textId="77777777" w:rsidR="00CF7ABE" w:rsidRPr="00B74E01" w:rsidRDefault="00CF7ABE" w:rsidP="00FB191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Garantias de equipamentos</w:t>
            </w:r>
          </w:p>
        </w:tc>
        <w:tc>
          <w:tcPr>
            <w:tcW w:w="0" w:type="auto"/>
            <w:vAlign w:val="center"/>
            <w:hideMark/>
          </w:tcPr>
          <w:p w14:paraId="1D905CDD" w14:textId="77777777" w:rsidR="00CF7ABE" w:rsidRPr="00B74E01" w:rsidRDefault="00CF7ABE" w:rsidP="00FB191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Reduzir risco tecnológico</w:t>
            </w:r>
          </w:p>
        </w:tc>
      </w:tr>
      <w:tr w:rsidR="00CF7ABE" w:rsidRPr="00B74E01" w14:paraId="1C18B29B" w14:textId="77777777" w:rsidTr="00671A31">
        <w:trPr>
          <w:tblCellSpacing w:w="15" w:type="dxa"/>
        </w:trPr>
        <w:tc>
          <w:tcPr>
            <w:tcW w:w="0" w:type="auto"/>
            <w:vAlign w:val="center"/>
            <w:hideMark/>
          </w:tcPr>
          <w:p w14:paraId="39522E65" w14:textId="77777777" w:rsidR="00CF7ABE" w:rsidRPr="00B74E01" w:rsidRDefault="00CF7ABE" w:rsidP="00FB191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Cronograma físico-financeiro</w:t>
            </w:r>
          </w:p>
        </w:tc>
        <w:tc>
          <w:tcPr>
            <w:tcW w:w="0" w:type="auto"/>
            <w:vAlign w:val="center"/>
            <w:hideMark/>
          </w:tcPr>
          <w:p w14:paraId="20CAB89A" w14:textId="77777777" w:rsidR="00CF7ABE" w:rsidRPr="00B74E01" w:rsidRDefault="00CF7ABE" w:rsidP="00FB191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Demonstrar viabilidade de implantação</w:t>
            </w:r>
          </w:p>
        </w:tc>
      </w:tr>
      <w:tr w:rsidR="00CF7ABE" w:rsidRPr="00B74E01" w14:paraId="6188ECB1" w14:textId="77777777" w:rsidTr="00671A31">
        <w:trPr>
          <w:tblCellSpacing w:w="15" w:type="dxa"/>
        </w:trPr>
        <w:tc>
          <w:tcPr>
            <w:tcW w:w="0" w:type="auto"/>
            <w:vAlign w:val="center"/>
            <w:hideMark/>
          </w:tcPr>
          <w:p w14:paraId="7A88A2CC" w14:textId="77777777" w:rsidR="00CF7ABE" w:rsidRPr="00B74E01" w:rsidRDefault="00CF7ABE" w:rsidP="00FB191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Plano de comissionamento</w:t>
            </w:r>
          </w:p>
        </w:tc>
        <w:tc>
          <w:tcPr>
            <w:tcW w:w="0" w:type="auto"/>
            <w:vAlign w:val="center"/>
            <w:hideMark/>
          </w:tcPr>
          <w:p w14:paraId="66DA58AE" w14:textId="77777777" w:rsidR="00CF7ABE" w:rsidRPr="00B74E01" w:rsidRDefault="00CF7ABE" w:rsidP="00FB191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Confirmar entrada em operação</w:t>
            </w:r>
          </w:p>
        </w:tc>
      </w:tr>
      <w:tr w:rsidR="00CF7ABE" w:rsidRPr="00B74E01" w14:paraId="66EAD189" w14:textId="77777777" w:rsidTr="00671A31">
        <w:trPr>
          <w:tblCellSpacing w:w="15" w:type="dxa"/>
        </w:trPr>
        <w:tc>
          <w:tcPr>
            <w:tcW w:w="0" w:type="auto"/>
            <w:vAlign w:val="center"/>
            <w:hideMark/>
          </w:tcPr>
          <w:p w14:paraId="5CED2834" w14:textId="77777777" w:rsidR="00CF7ABE" w:rsidRPr="00B74E01" w:rsidRDefault="00CF7ABE" w:rsidP="00FB191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Plano de operação assistida</w:t>
            </w:r>
          </w:p>
        </w:tc>
        <w:tc>
          <w:tcPr>
            <w:tcW w:w="0" w:type="auto"/>
            <w:vAlign w:val="center"/>
            <w:hideMark/>
          </w:tcPr>
          <w:p w14:paraId="112C2DEF" w14:textId="77777777" w:rsidR="00CF7ABE" w:rsidRPr="00B74E01" w:rsidRDefault="00CF7ABE" w:rsidP="00FB191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Garantir transferência e estabilização</w:t>
            </w:r>
          </w:p>
        </w:tc>
      </w:tr>
      <w:tr w:rsidR="00CF7ABE" w:rsidRPr="00B74E01" w14:paraId="52518645" w14:textId="77777777" w:rsidTr="00671A31">
        <w:trPr>
          <w:tblCellSpacing w:w="15" w:type="dxa"/>
        </w:trPr>
        <w:tc>
          <w:tcPr>
            <w:tcW w:w="0" w:type="auto"/>
            <w:vAlign w:val="center"/>
            <w:hideMark/>
          </w:tcPr>
          <w:p w14:paraId="597558F3" w14:textId="77777777" w:rsidR="00CF7ABE" w:rsidRPr="00B74E01" w:rsidRDefault="00CF7ABE" w:rsidP="00FB191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Plano de manutenção</w:t>
            </w:r>
          </w:p>
        </w:tc>
        <w:tc>
          <w:tcPr>
            <w:tcW w:w="0" w:type="auto"/>
            <w:vAlign w:val="center"/>
            <w:hideMark/>
          </w:tcPr>
          <w:p w14:paraId="05E23680" w14:textId="77777777" w:rsidR="00CF7ABE" w:rsidRPr="00B74E01" w:rsidRDefault="00CF7ABE" w:rsidP="00FB191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Preservar disponibilidade</w:t>
            </w:r>
          </w:p>
        </w:tc>
      </w:tr>
      <w:tr w:rsidR="00CF7ABE" w:rsidRPr="00B74E01" w14:paraId="65D85C83" w14:textId="77777777" w:rsidTr="00671A31">
        <w:trPr>
          <w:tblCellSpacing w:w="15" w:type="dxa"/>
        </w:trPr>
        <w:tc>
          <w:tcPr>
            <w:tcW w:w="0" w:type="auto"/>
            <w:vAlign w:val="center"/>
            <w:hideMark/>
          </w:tcPr>
          <w:p w14:paraId="1C98E0A2" w14:textId="77777777" w:rsidR="00CF7ABE" w:rsidRPr="00B74E01" w:rsidRDefault="00CF7ABE" w:rsidP="00FB191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Garantia de desempenho</w:t>
            </w:r>
          </w:p>
        </w:tc>
        <w:tc>
          <w:tcPr>
            <w:tcW w:w="0" w:type="auto"/>
            <w:vAlign w:val="center"/>
            <w:hideMark/>
          </w:tcPr>
          <w:p w14:paraId="2FEE58FB" w14:textId="77777777" w:rsidR="00CF7ABE" w:rsidRPr="00B74E01" w:rsidRDefault="00CF7ABE" w:rsidP="00FB191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Proteger o Município</w:t>
            </w:r>
          </w:p>
        </w:tc>
      </w:tr>
      <w:tr w:rsidR="00CF7ABE" w:rsidRPr="00B74E01" w14:paraId="0574B4A3" w14:textId="77777777" w:rsidTr="00671A31">
        <w:trPr>
          <w:tblCellSpacing w:w="15" w:type="dxa"/>
        </w:trPr>
        <w:tc>
          <w:tcPr>
            <w:tcW w:w="0" w:type="auto"/>
            <w:vAlign w:val="center"/>
            <w:hideMark/>
          </w:tcPr>
          <w:p w14:paraId="38620ACC" w14:textId="77777777" w:rsidR="00CF7ABE" w:rsidRPr="00B74E01" w:rsidRDefault="00CF7ABE" w:rsidP="00FB191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Estrutura financeira</w:t>
            </w:r>
          </w:p>
        </w:tc>
        <w:tc>
          <w:tcPr>
            <w:tcW w:w="0" w:type="auto"/>
            <w:vAlign w:val="center"/>
            <w:hideMark/>
          </w:tcPr>
          <w:p w14:paraId="2444FB98" w14:textId="77777777" w:rsidR="00CF7ABE" w:rsidRPr="00B74E01" w:rsidRDefault="00CF7ABE" w:rsidP="00FB191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 xml:space="preserve">Demonstrar capacidade de </w:t>
            </w:r>
            <w:proofErr w:type="spellStart"/>
            <w:r w:rsidRPr="00B74E01">
              <w:rPr>
                <w:rFonts w:eastAsia="Times New Roman" w:cs="Arial"/>
                <w:kern w:val="0"/>
                <w:lang w:eastAsia="pt-BR"/>
                <w14:ligatures w14:val="none"/>
              </w:rPr>
              <w:t>funding</w:t>
            </w:r>
            <w:proofErr w:type="spellEnd"/>
          </w:p>
        </w:tc>
      </w:tr>
    </w:tbl>
    <w:p w14:paraId="69429074"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Essa exigência preserva a isonomia e a competitividade, pois o caderno não impõe um fornecedor específico nem congela a engenharia do projeto. Ele estabelece uma base referencial e permite que os concorrentes demonstrem soluções técnica e economicamente superiores, desde que atendam aos requisitos mínimos.</w:t>
      </w:r>
    </w:p>
    <w:p w14:paraId="2D4359AF" w14:textId="77777777" w:rsidR="00CF7ABE" w:rsidRPr="00B74E01" w:rsidRDefault="00CF7ABE" w:rsidP="00FB1918">
      <w:pPr>
        <w:pStyle w:val="Ttulo2"/>
        <w:rPr>
          <w:rFonts w:eastAsia="Times New Roman"/>
          <w:lang w:eastAsia="pt-BR"/>
        </w:rPr>
      </w:pPr>
      <w:bookmarkStart w:id="73" w:name="_Toc230204075"/>
      <w:r w:rsidRPr="00B74E01">
        <w:rPr>
          <w:rFonts w:eastAsia="Times New Roman"/>
          <w:lang w:eastAsia="pt-BR"/>
        </w:rPr>
        <w:t>7.9. Riscos associados ao CAPEX</w:t>
      </w:r>
      <w:bookmarkEnd w:id="73"/>
    </w:p>
    <w:p w14:paraId="0BD44AE5"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Os principais riscos associados ao CAPEX devem ser alocados, em regra, à SPE, por se tratar da parte responsável pela implantação, contratação de fornecedores, montagem, integração e entrega da planta.</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323"/>
        <w:gridCol w:w="2161"/>
        <w:gridCol w:w="3577"/>
      </w:tblGrid>
      <w:tr w:rsidR="00CF7ABE" w:rsidRPr="00B74E01" w14:paraId="3D74BBDA" w14:textId="77777777" w:rsidTr="00671A31">
        <w:trPr>
          <w:tblHeader/>
          <w:tblCellSpacing w:w="15" w:type="dxa"/>
        </w:trPr>
        <w:tc>
          <w:tcPr>
            <w:tcW w:w="0" w:type="auto"/>
            <w:vAlign w:val="center"/>
            <w:hideMark/>
          </w:tcPr>
          <w:p w14:paraId="6A49EF22" w14:textId="77777777" w:rsidR="00CF7ABE" w:rsidRPr="00B74E01" w:rsidRDefault="00CF7ABE" w:rsidP="00BA36B3">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Risco de CAPEX</w:t>
            </w:r>
          </w:p>
        </w:tc>
        <w:tc>
          <w:tcPr>
            <w:tcW w:w="0" w:type="auto"/>
            <w:vAlign w:val="center"/>
            <w:hideMark/>
          </w:tcPr>
          <w:p w14:paraId="3167D12E" w14:textId="77777777" w:rsidR="00CF7ABE" w:rsidRPr="00B74E01" w:rsidRDefault="00CF7ABE" w:rsidP="00BA36B3">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Alocação recomendada</w:t>
            </w:r>
          </w:p>
        </w:tc>
        <w:tc>
          <w:tcPr>
            <w:tcW w:w="0" w:type="auto"/>
            <w:vAlign w:val="center"/>
            <w:hideMark/>
          </w:tcPr>
          <w:p w14:paraId="76D0A5C7" w14:textId="77777777" w:rsidR="00CF7ABE" w:rsidRPr="00B74E01" w:rsidRDefault="00CF7ABE" w:rsidP="00BA36B3">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Tratamento</w:t>
            </w:r>
          </w:p>
        </w:tc>
      </w:tr>
      <w:tr w:rsidR="00CF7ABE" w:rsidRPr="00B74E01" w14:paraId="3DE682F2" w14:textId="77777777" w:rsidTr="00671A31">
        <w:trPr>
          <w:tblCellSpacing w:w="15" w:type="dxa"/>
        </w:trPr>
        <w:tc>
          <w:tcPr>
            <w:tcW w:w="0" w:type="auto"/>
            <w:vAlign w:val="center"/>
            <w:hideMark/>
          </w:tcPr>
          <w:p w14:paraId="42577E13" w14:textId="77777777" w:rsidR="00CF7ABE" w:rsidRPr="00B74E01" w:rsidRDefault="00CF7ABE" w:rsidP="00BA36B3">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Aumento de custo de equipamentos</w:t>
            </w:r>
          </w:p>
        </w:tc>
        <w:tc>
          <w:tcPr>
            <w:tcW w:w="0" w:type="auto"/>
            <w:vAlign w:val="center"/>
            <w:hideMark/>
          </w:tcPr>
          <w:p w14:paraId="318C7D9D" w14:textId="77777777" w:rsidR="00CF7ABE" w:rsidRPr="00B74E01" w:rsidRDefault="00CF7ABE" w:rsidP="00BA36B3">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SPE</w:t>
            </w:r>
          </w:p>
        </w:tc>
        <w:tc>
          <w:tcPr>
            <w:tcW w:w="0" w:type="auto"/>
            <w:vAlign w:val="center"/>
            <w:hideMark/>
          </w:tcPr>
          <w:p w14:paraId="75BBBA49" w14:textId="77777777" w:rsidR="00CF7ABE" w:rsidRPr="00B74E01" w:rsidRDefault="00CF7ABE" w:rsidP="00BA36B3">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Mitigado por proposta firme e contingência</w:t>
            </w:r>
          </w:p>
        </w:tc>
      </w:tr>
      <w:tr w:rsidR="00CF7ABE" w:rsidRPr="00B74E01" w14:paraId="0E389D40" w14:textId="77777777" w:rsidTr="00671A31">
        <w:trPr>
          <w:tblCellSpacing w:w="15" w:type="dxa"/>
        </w:trPr>
        <w:tc>
          <w:tcPr>
            <w:tcW w:w="0" w:type="auto"/>
            <w:vAlign w:val="center"/>
            <w:hideMark/>
          </w:tcPr>
          <w:p w14:paraId="4F3A64A4" w14:textId="77777777" w:rsidR="00CF7ABE" w:rsidRPr="00B74E01" w:rsidRDefault="00CF7ABE" w:rsidP="00BA36B3">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Variação cambial, se houver importação</w:t>
            </w:r>
          </w:p>
        </w:tc>
        <w:tc>
          <w:tcPr>
            <w:tcW w:w="0" w:type="auto"/>
            <w:vAlign w:val="center"/>
            <w:hideMark/>
          </w:tcPr>
          <w:p w14:paraId="0E33C28B" w14:textId="77777777" w:rsidR="00CF7ABE" w:rsidRPr="00B74E01" w:rsidRDefault="00CF7ABE" w:rsidP="00BA36B3">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SPE</w:t>
            </w:r>
          </w:p>
        </w:tc>
        <w:tc>
          <w:tcPr>
            <w:tcW w:w="0" w:type="auto"/>
            <w:vAlign w:val="center"/>
            <w:hideMark/>
          </w:tcPr>
          <w:p w14:paraId="72BB159A" w14:textId="77777777" w:rsidR="00CF7ABE" w:rsidRPr="00B74E01" w:rsidRDefault="00CF7ABE" w:rsidP="00BA36B3">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Pode ser precificada na proposta</w:t>
            </w:r>
          </w:p>
        </w:tc>
      </w:tr>
      <w:tr w:rsidR="00CF7ABE" w:rsidRPr="00B74E01" w14:paraId="12D61E04" w14:textId="77777777" w:rsidTr="00671A31">
        <w:trPr>
          <w:tblCellSpacing w:w="15" w:type="dxa"/>
        </w:trPr>
        <w:tc>
          <w:tcPr>
            <w:tcW w:w="0" w:type="auto"/>
            <w:vAlign w:val="center"/>
            <w:hideMark/>
          </w:tcPr>
          <w:p w14:paraId="2CF54DBC" w14:textId="77777777" w:rsidR="00CF7ABE" w:rsidRPr="00B74E01" w:rsidRDefault="00CF7ABE" w:rsidP="00BA36B3">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Erro de orçamento do licitante</w:t>
            </w:r>
          </w:p>
        </w:tc>
        <w:tc>
          <w:tcPr>
            <w:tcW w:w="0" w:type="auto"/>
            <w:vAlign w:val="center"/>
            <w:hideMark/>
          </w:tcPr>
          <w:p w14:paraId="59B3E296" w14:textId="77777777" w:rsidR="00CF7ABE" w:rsidRPr="00B74E01" w:rsidRDefault="00CF7ABE" w:rsidP="00BA36B3">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SPE</w:t>
            </w:r>
          </w:p>
        </w:tc>
        <w:tc>
          <w:tcPr>
            <w:tcW w:w="0" w:type="auto"/>
            <w:vAlign w:val="center"/>
            <w:hideMark/>
          </w:tcPr>
          <w:p w14:paraId="650884A8" w14:textId="77777777" w:rsidR="00CF7ABE" w:rsidRPr="00B74E01" w:rsidRDefault="00CF7ABE" w:rsidP="00BA36B3">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Não deve gerar reequilíbrio automático</w:t>
            </w:r>
          </w:p>
        </w:tc>
      </w:tr>
      <w:tr w:rsidR="00CF7ABE" w:rsidRPr="00B74E01" w14:paraId="710067D0" w14:textId="77777777" w:rsidTr="00671A31">
        <w:trPr>
          <w:tblCellSpacing w:w="15" w:type="dxa"/>
        </w:trPr>
        <w:tc>
          <w:tcPr>
            <w:tcW w:w="0" w:type="auto"/>
            <w:vAlign w:val="center"/>
            <w:hideMark/>
          </w:tcPr>
          <w:p w14:paraId="3B4A3208" w14:textId="77777777" w:rsidR="00CF7ABE" w:rsidRPr="00B74E01" w:rsidRDefault="00CF7ABE" w:rsidP="00BA36B3">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Atraso de fornecedor</w:t>
            </w:r>
          </w:p>
        </w:tc>
        <w:tc>
          <w:tcPr>
            <w:tcW w:w="0" w:type="auto"/>
            <w:vAlign w:val="center"/>
            <w:hideMark/>
          </w:tcPr>
          <w:p w14:paraId="286E27B0" w14:textId="77777777" w:rsidR="00CF7ABE" w:rsidRPr="00B74E01" w:rsidRDefault="00CF7ABE" w:rsidP="00BA36B3">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SPE</w:t>
            </w:r>
          </w:p>
        </w:tc>
        <w:tc>
          <w:tcPr>
            <w:tcW w:w="0" w:type="auto"/>
            <w:vAlign w:val="center"/>
            <w:hideMark/>
          </w:tcPr>
          <w:p w14:paraId="24F5490E" w14:textId="77777777" w:rsidR="00CF7ABE" w:rsidRPr="00B74E01" w:rsidRDefault="00CF7ABE" w:rsidP="00BA36B3">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 xml:space="preserve">Mitigado por garantias e </w:t>
            </w:r>
            <w:proofErr w:type="spellStart"/>
            <w:r w:rsidRPr="00B74E01">
              <w:rPr>
                <w:rFonts w:eastAsia="Times New Roman" w:cs="Arial"/>
                <w:kern w:val="0"/>
                <w:lang w:eastAsia="pt-BR"/>
                <w14:ligatures w14:val="none"/>
              </w:rPr>
              <w:t>turnkey</w:t>
            </w:r>
            <w:proofErr w:type="spellEnd"/>
          </w:p>
        </w:tc>
      </w:tr>
      <w:tr w:rsidR="00CF7ABE" w:rsidRPr="00B74E01" w14:paraId="1B481BBF" w14:textId="77777777" w:rsidTr="00671A31">
        <w:trPr>
          <w:tblCellSpacing w:w="15" w:type="dxa"/>
        </w:trPr>
        <w:tc>
          <w:tcPr>
            <w:tcW w:w="0" w:type="auto"/>
            <w:vAlign w:val="center"/>
            <w:hideMark/>
          </w:tcPr>
          <w:p w14:paraId="379B8C93" w14:textId="77777777" w:rsidR="00CF7ABE" w:rsidRPr="00B74E01" w:rsidRDefault="00CF7ABE" w:rsidP="00BA36B3">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lastRenderedPageBreak/>
              <w:t>Falha de integração entre sistemas</w:t>
            </w:r>
          </w:p>
        </w:tc>
        <w:tc>
          <w:tcPr>
            <w:tcW w:w="0" w:type="auto"/>
            <w:vAlign w:val="center"/>
            <w:hideMark/>
          </w:tcPr>
          <w:p w14:paraId="656CC089" w14:textId="77777777" w:rsidR="00CF7ABE" w:rsidRPr="00B74E01" w:rsidRDefault="00CF7ABE" w:rsidP="00BA36B3">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SPE</w:t>
            </w:r>
          </w:p>
        </w:tc>
        <w:tc>
          <w:tcPr>
            <w:tcW w:w="0" w:type="auto"/>
            <w:vAlign w:val="center"/>
            <w:hideMark/>
          </w:tcPr>
          <w:p w14:paraId="18233F82" w14:textId="77777777" w:rsidR="00CF7ABE" w:rsidRPr="00B74E01" w:rsidRDefault="00CF7ABE" w:rsidP="00BA36B3">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 xml:space="preserve">Responsabilidade do modelo </w:t>
            </w:r>
            <w:proofErr w:type="spellStart"/>
            <w:r w:rsidRPr="00B74E01">
              <w:rPr>
                <w:rFonts w:eastAsia="Times New Roman" w:cs="Arial"/>
                <w:kern w:val="0"/>
                <w:lang w:eastAsia="pt-BR"/>
                <w14:ligatures w14:val="none"/>
              </w:rPr>
              <w:t>turnkey</w:t>
            </w:r>
            <w:proofErr w:type="spellEnd"/>
          </w:p>
        </w:tc>
      </w:tr>
      <w:tr w:rsidR="00CF7ABE" w:rsidRPr="00B74E01" w14:paraId="4DFAEA19" w14:textId="77777777" w:rsidTr="00671A31">
        <w:trPr>
          <w:tblCellSpacing w:w="15" w:type="dxa"/>
        </w:trPr>
        <w:tc>
          <w:tcPr>
            <w:tcW w:w="0" w:type="auto"/>
            <w:vAlign w:val="center"/>
            <w:hideMark/>
          </w:tcPr>
          <w:p w14:paraId="385D26BC" w14:textId="77777777" w:rsidR="00CF7ABE" w:rsidRPr="00B74E01" w:rsidRDefault="00CF7ABE" w:rsidP="00BA36B3">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Alteração exigida pelo Município</w:t>
            </w:r>
          </w:p>
        </w:tc>
        <w:tc>
          <w:tcPr>
            <w:tcW w:w="0" w:type="auto"/>
            <w:vAlign w:val="center"/>
            <w:hideMark/>
          </w:tcPr>
          <w:p w14:paraId="68A3C48C" w14:textId="77777777" w:rsidR="00CF7ABE" w:rsidRPr="00B74E01" w:rsidRDefault="00CF7ABE" w:rsidP="00BA36B3">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Poder Concedente</w:t>
            </w:r>
          </w:p>
        </w:tc>
        <w:tc>
          <w:tcPr>
            <w:tcW w:w="0" w:type="auto"/>
            <w:vAlign w:val="center"/>
            <w:hideMark/>
          </w:tcPr>
          <w:p w14:paraId="6DB82F49" w14:textId="77777777" w:rsidR="00CF7ABE" w:rsidRPr="00B74E01" w:rsidRDefault="00CF7ABE" w:rsidP="00BA36B3">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Pode ensejar reequilíbrio</w:t>
            </w:r>
          </w:p>
        </w:tc>
      </w:tr>
      <w:tr w:rsidR="00CF7ABE" w:rsidRPr="00B74E01" w14:paraId="1CCE5FD1" w14:textId="77777777" w:rsidTr="00671A31">
        <w:trPr>
          <w:tblCellSpacing w:w="15" w:type="dxa"/>
        </w:trPr>
        <w:tc>
          <w:tcPr>
            <w:tcW w:w="0" w:type="auto"/>
            <w:vAlign w:val="center"/>
            <w:hideMark/>
          </w:tcPr>
          <w:p w14:paraId="2DF38E2F" w14:textId="77777777" w:rsidR="00CF7ABE" w:rsidRPr="00B74E01" w:rsidRDefault="00CF7ABE" w:rsidP="00BA36B3">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Exigência ambiental superveniente extraordinária</w:t>
            </w:r>
          </w:p>
        </w:tc>
        <w:tc>
          <w:tcPr>
            <w:tcW w:w="0" w:type="auto"/>
            <w:vAlign w:val="center"/>
            <w:hideMark/>
          </w:tcPr>
          <w:p w14:paraId="73A27764" w14:textId="77777777" w:rsidR="00CF7ABE" w:rsidRPr="00B74E01" w:rsidRDefault="00CF7ABE" w:rsidP="00BA36B3">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Avaliar caso concreto</w:t>
            </w:r>
          </w:p>
        </w:tc>
        <w:tc>
          <w:tcPr>
            <w:tcW w:w="0" w:type="auto"/>
            <w:vAlign w:val="center"/>
            <w:hideMark/>
          </w:tcPr>
          <w:p w14:paraId="3ACB1AC2" w14:textId="77777777" w:rsidR="00CF7ABE" w:rsidRPr="00B74E01" w:rsidRDefault="00CF7ABE" w:rsidP="00BA36B3">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Conforme matriz de riscos</w:t>
            </w:r>
          </w:p>
        </w:tc>
      </w:tr>
      <w:tr w:rsidR="00CF7ABE" w:rsidRPr="00B74E01" w14:paraId="3BF2B935" w14:textId="77777777" w:rsidTr="00671A31">
        <w:trPr>
          <w:tblCellSpacing w:w="15" w:type="dxa"/>
        </w:trPr>
        <w:tc>
          <w:tcPr>
            <w:tcW w:w="0" w:type="auto"/>
            <w:vAlign w:val="center"/>
            <w:hideMark/>
          </w:tcPr>
          <w:p w14:paraId="343E9883" w14:textId="77777777" w:rsidR="00CF7ABE" w:rsidRPr="00B74E01" w:rsidRDefault="00CF7ABE" w:rsidP="00BA36B3">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Atraso na entrega da área pelo Município</w:t>
            </w:r>
          </w:p>
        </w:tc>
        <w:tc>
          <w:tcPr>
            <w:tcW w:w="0" w:type="auto"/>
            <w:vAlign w:val="center"/>
            <w:hideMark/>
          </w:tcPr>
          <w:p w14:paraId="606DAD48" w14:textId="77777777" w:rsidR="00CF7ABE" w:rsidRPr="00B74E01" w:rsidRDefault="00CF7ABE" w:rsidP="00BA36B3">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Poder Concedente</w:t>
            </w:r>
          </w:p>
        </w:tc>
        <w:tc>
          <w:tcPr>
            <w:tcW w:w="0" w:type="auto"/>
            <w:vAlign w:val="center"/>
            <w:hideMark/>
          </w:tcPr>
          <w:p w14:paraId="6A9D9F3C" w14:textId="77777777" w:rsidR="00CF7ABE" w:rsidRPr="00B74E01" w:rsidRDefault="00CF7ABE" w:rsidP="00BA36B3">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Pode gerar recomposição de prazo ou reequilíbrio</w:t>
            </w:r>
          </w:p>
        </w:tc>
      </w:tr>
    </w:tbl>
    <w:p w14:paraId="69B7FC1F"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alocação correta dos riscos de CAPEX é essencial para proteger o Município contra pleitos futuros indevidos. O privado deve assumir o risco ordinário de implantação, especialmente quando propõe tecnologia, fornecedores e estrutura de investimento.</w:t>
      </w:r>
    </w:p>
    <w:p w14:paraId="64B26B83" w14:textId="77777777" w:rsidR="00CF7ABE" w:rsidRPr="00B74E01" w:rsidRDefault="00CF7ABE" w:rsidP="00BA36B3">
      <w:pPr>
        <w:pStyle w:val="Ttulo2"/>
        <w:rPr>
          <w:rFonts w:eastAsia="Times New Roman"/>
          <w:lang w:eastAsia="pt-BR"/>
        </w:rPr>
      </w:pPr>
      <w:bookmarkStart w:id="74" w:name="_Toc230204076"/>
      <w:r w:rsidRPr="00B74E01">
        <w:rPr>
          <w:rFonts w:eastAsia="Times New Roman"/>
          <w:lang w:eastAsia="pt-BR"/>
        </w:rPr>
        <w:t>7.10. Conclusão do tópico</w:t>
      </w:r>
      <w:bookmarkEnd w:id="74"/>
    </w:p>
    <w:p w14:paraId="2BD36153"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O CAPEX da modelagem foi estruturado para refletir o investimento necessário à implantação de uma planta industrial de destinação/tratamento de RSU com integração energética, considerando obras civis, sistemas de apoio, carbonização, geração de energia, contingência, capital de giro e juros durante a implantação.</w:t>
      </w:r>
    </w:p>
    <w:p w14:paraId="674973BC"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O investimento financeiro total estimado é de </w:t>
      </w:r>
      <w:r w:rsidRPr="00B74E01">
        <w:rPr>
          <w:rFonts w:eastAsia="Times New Roman" w:cs="Arial"/>
          <w:b/>
          <w:bCs/>
          <w:kern w:val="0"/>
          <w:lang w:eastAsia="pt-BR"/>
          <w14:ligatures w14:val="none"/>
        </w:rPr>
        <w:t>R$ 32.269.873,38</w:t>
      </w:r>
      <w:r w:rsidRPr="00B74E01">
        <w:rPr>
          <w:rFonts w:eastAsia="Times New Roman" w:cs="Arial"/>
          <w:kern w:val="0"/>
          <w:lang w:eastAsia="pt-BR"/>
          <w14:ligatures w14:val="none"/>
        </w:rPr>
        <w:t xml:space="preserve">, composto por </w:t>
      </w:r>
      <w:r w:rsidRPr="00B74E01">
        <w:rPr>
          <w:rFonts w:eastAsia="Times New Roman" w:cs="Arial"/>
          <w:b/>
          <w:bCs/>
          <w:kern w:val="0"/>
          <w:lang w:eastAsia="pt-BR"/>
          <w14:ligatures w14:val="none"/>
        </w:rPr>
        <w:t>R$ 28.877.247,30</w:t>
      </w:r>
      <w:r w:rsidRPr="00B74E01">
        <w:rPr>
          <w:rFonts w:eastAsia="Times New Roman" w:cs="Arial"/>
          <w:kern w:val="0"/>
          <w:lang w:eastAsia="pt-BR"/>
          <w14:ligatures w14:val="none"/>
        </w:rPr>
        <w:t xml:space="preserve"> de CAPEX com contingência, </w:t>
      </w:r>
      <w:r w:rsidRPr="00B74E01">
        <w:rPr>
          <w:rFonts w:eastAsia="Times New Roman" w:cs="Arial"/>
          <w:b/>
          <w:bCs/>
          <w:kern w:val="0"/>
          <w:lang w:eastAsia="pt-BR"/>
          <w14:ligatures w14:val="none"/>
        </w:rPr>
        <w:t>R$ 1.021.941,08</w:t>
      </w:r>
      <w:r w:rsidRPr="00B74E01">
        <w:rPr>
          <w:rFonts w:eastAsia="Times New Roman" w:cs="Arial"/>
          <w:kern w:val="0"/>
          <w:lang w:eastAsia="pt-BR"/>
          <w14:ligatures w14:val="none"/>
        </w:rPr>
        <w:t xml:space="preserve"> de capital de giro inicial e </w:t>
      </w:r>
      <w:r w:rsidRPr="00B74E01">
        <w:rPr>
          <w:rFonts w:eastAsia="Times New Roman" w:cs="Arial"/>
          <w:b/>
          <w:bCs/>
          <w:kern w:val="0"/>
          <w:lang w:eastAsia="pt-BR"/>
          <w14:ligatures w14:val="none"/>
        </w:rPr>
        <w:t>R$ 2.370.685,00</w:t>
      </w:r>
      <w:r w:rsidRPr="00B74E01">
        <w:rPr>
          <w:rFonts w:eastAsia="Times New Roman" w:cs="Arial"/>
          <w:kern w:val="0"/>
          <w:lang w:eastAsia="pt-BR"/>
          <w14:ligatures w14:val="none"/>
        </w:rPr>
        <w:t xml:space="preserve"> de IDC.</w:t>
      </w:r>
    </w:p>
    <w:p w14:paraId="07E9D130"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modelagem deverá deixar claro que esses valores são referenciais para fins de estruturação econômico-financeira. Na licitação, os concorrentes deverão demonstrar capacidade técnica, financeira e operacional para implantar a solução proposta, assumindo responsabilidade pelo seu próprio CAPEX, fornecedores, tecnologia, montagem, comissionamento, operação assistida e garantias de desempenho.</w:t>
      </w:r>
    </w:p>
    <w:p w14:paraId="300AC268"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lastRenderedPageBreak/>
        <w:t>Esse tratamento fortalece a PPP, preserva a competitividade, reduz risco de direcionamento e melhora a defesa do projeto perante banca avaliadora, financiadores e órgãos de controle.</w:t>
      </w:r>
    </w:p>
    <w:p w14:paraId="27D0CA74" w14:textId="26DA431E" w:rsidR="00CF7ABE" w:rsidRDefault="00CF7ABE" w:rsidP="00B74E01">
      <w:pPr>
        <w:spacing w:after="0" w:line="360" w:lineRule="auto"/>
        <w:ind w:firstLine="709"/>
        <w:jc w:val="both"/>
        <w:rPr>
          <w:rFonts w:eastAsia="Times New Roman" w:cs="Arial"/>
          <w:kern w:val="0"/>
          <w:lang w:eastAsia="pt-BR"/>
          <w14:ligatures w14:val="none"/>
        </w:rPr>
      </w:pPr>
    </w:p>
    <w:p w14:paraId="136859AB" w14:textId="77777777" w:rsidR="00EB16F0" w:rsidRDefault="00EB16F0" w:rsidP="00B74E01">
      <w:pPr>
        <w:spacing w:after="0" w:line="360" w:lineRule="auto"/>
        <w:ind w:firstLine="709"/>
        <w:jc w:val="both"/>
        <w:rPr>
          <w:rFonts w:eastAsia="Times New Roman" w:cs="Arial"/>
          <w:kern w:val="0"/>
          <w:lang w:eastAsia="pt-BR"/>
          <w14:ligatures w14:val="none"/>
        </w:rPr>
      </w:pPr>
    </w:p>
    <w:p w14:paraId="428C24A6" w14:textId="77777777" w:rsidR="00EB16F0" w:rsidRDefault="00EB16F0" w:rsidP="00B74E01">
      <w:pPr>
        <w:spacing w:after="0" w:line="360" w:lineRule="auto"/>
        <w:ind w:firstLine="709"/>
        <w:jc w:val="both"/>
        <w:rPr>
          <w:rFonts w:eastAsia="Times New Roman" w:cs="Arial"/>
          <w:kern w:val="0"/>
          <w:lang w:eastAsia="pt-BR"/>
          <w14:ligatures w14:val="none"/>
        </w:rPr>
      </w:pPr>
    </w:p>
    <w:p w14:paraId="6EAEC255" w14:textId="77777777" w:rsidR="00EB16F0" w:rsidRDefault="00EB16F0" w:rsidP="00B74E01">
      <w:pPr>
        <w:spacing w:after="0" w:line="360" w:lineRule="auto"/>
        <w:ind w:firstLine="709"/>
        <w:jc w:val="both"/>
        <w:rPr>
          <w:rFonts w:eastAsia="Times New Roman" w:cs="Arial"/>
          <w:kern w:val="0"/>
          <w:lang w:eastAsia="pt-BR"/>
          <w14:ligatures w14:val="none"/>
        </w:rPr>
      </w:pPr>
    </w:p>
    <w:p w14:paraId="15C9CB57" w14:textId="77777777" w:rsidR="00EB16F0" w:rsidRDefault="00EB16F0" w:rsidP="00B74E01">
      <w:pPr>
        <w:spacing w:after="0" w:line="360" w:lineRule="auto"/>
        <w:ind w:firstLine="709"/>
        <w:jc w:val="both"/>
        <w:rPr>
          <w:rFonts w:eastAsia="Times New Roman" w:cs="Arial"/>
          <w:kern w:val="0"/>
          <w:lang w:eastAsia="pt-BR"/>
          <w14:ligatures w14:val="none"/>
        </w:rPr>
      </w:pPr>
    </w:p>
    <w:p w14:paraId="42570B55" w14:textId="77777777" w:rsidR="00EB16F0" w:rsidRDefault="00EB16F0" w:rsidP="00B74E01">
      <w:pPr>
        <w:spacing w:after="0" w:line="360" w:lineRule="auto"/>
        <w:ind w:firstLine="709"/>
        <w:jc w:val="both"/>
        <w:rPr>
          <w:rFonts w:eastAsia="Times New Roman" w:cs="Arial"/>
          <w:kern w:val="0"/>
          <w:lang w:eastAsia="pt-BR"/>
          <w14:ligatures w14:val="none"/>
        </w:rPr>
      </w:pPr>
    </w:p>
    <w:p w14:paraId="13002A6E" w14:textId="77777777" w:rsidR="00EB16F0" w:rsidRDefault="00EB16F0" w:rsidP="00B74E01">
      <w:pPr>
        <w:spacing w:after="0" w:line="360" w:lineRule="auto"/>
        <w:ind w:firstLine="709"/>
        <w:jc w:val="both"/>
        <w:rPr>
          <w:rFonts w:eastAsia="Times New Roman" w:cs="Arial"/>
          <w:kern w:val="0"/>
          <w:lang w:eastAsia="pt-BR"/>
          <w14:ligatures w14:val="none"/>
        </w:rPr>
      </w:pPr>
    </w:p>
    <w:p w14:paraId="25A24C36" w14:textId="77777777" w:rsidR="00EB16F0" w:rsidRDefault="00EB16F0" w:rsidP="00B74E01">
      <w:pPr>
        <w:spacing w:after="0" w:line="360" w:lineRule="auto"/>
        <w:ind w:firstLine="709"/>
        <w:jc w:val="both"/>
        <w:rPr>
          <w:rFonts w:eastAsia="Times New Roman" w:cs="Arial"/>
          <w:kern w:val="0"/>
          <w:lang w:eastAsia="pt-BR"/>
          <w14:ligatures w14:val="none"/>
        </w:rPr>
      </w:pPr>
    </w:p>
    <w:p w14:paraId="6A1037EA" w14:textId="77777777" w:rsidR="00EB16F0" w:rsidRDefault="00EB16F0" w:rsidP="00B74E01">
      <w:pPr>
        <w:spacing w:after="0" w:line="360" w:lineRule="auto"/>
        <w:ind w:firstLine="709"/>
        <w:jc w:val="both"/>
        <w:rPr>
          <w:rFonts w:eastAsia="Times New Roman" w:cs="Arial"/>
          <w:kern w:val="0"/>
          <w:lang w:eastAsia="pt-BR"/>
          <w14:ligatures w14:val="none"/>
        </w:rPr>
      </w:pPr>
    </w:p>
    <w:p w14:paraId="677C9421" w14:textId="77777777" w:rsidR="00EB16F0" w:rsidRDefault="00EB16F0" w:rsidP="00B74E01">
      <w:pPr>
        <w:spacing w:after="0" w:line="360" w:lineRule="auto"/>
        <w:ind w:firstLine="709"/>
        <w:jc w:val="both"/>
        <w:rPr>
          <w:rFonts w:eastAsia="Times New Roman" w:cs="Arial"/>
          <w:kern w:val="0"/>
          <w:lang w:eastAsia="pt-BR"/>
          <w14:ligatures w14:val="none"/>
        </w:rPr>
      </w:pPr>
    </w:p>
    <w:p w14:paraId="5D52EED3" w14:textId="77777777" w:rsidR="00EB16F0" w:rsidRDefault="00EB16F0" w:rsidP="00B74E01">
      <w:pPr>
        <w:spacing w:after="0" w:line="360" w:lineRule="auto"/>
        <w:ind w:firstLine="709"/>
        <w:jc w:val="both"/>
        <w:rPr>
          <w:rFonts w:eastAsia="Times New Roman" w:cs="Arial"/>
          <w:kern w:val="0"/>
          <w:lang w:eastAsia="pt-BR"/>
          <w14:ligatures w14:val="none"/>
        </w:rPr>
      </w:pPr>
    </w:p>
    <w:p w14:paraId="2DAD70FB" w14:textId="77777777" w:rsidR="00EB16F0" w:rsidRDefault="00EB16F0" w:rsidP="00B74E01">
      <w:pPr>
        <w:spacing w:after="0" w:line="360" w:lineRule="auto"/>
        <w:ind w:firstLine="709"/>
        <w:jc w:val="both"/>
        <w:rPr>
          <w:rFonts w:eastAsia="Times New Roman" w:cs="Arial"/>
          <w:kern w:val="0"/>
          <w:lang w:eastAsia="pt-BR"/>
          <w14:ligatures w14:val="none"/>
        </w:rPr>
      </w:pPr>
    </w:p>
    <w:p w14:paraId="40CF3327" w14:textId="77777777" w:rsidR="00EB16F0" w:rsidRDefault="00EB16F0" w:rsidP="00B74E01">
      <w:pPr>
        <w:spacing w:after="0" w:line="360" w:lineRule="auto"/>
        <w:ind w:firstLine="709"/>
        <w:jc w:val="both"/>
        <w:rPr>
          <w:rFonts w:eastAsia="Times New Roman" w:cs="Arial"/>
          <w:kern w:val="0"/>
          <w:lang w:eastAsia="pt-BR"/>
          <w14:ligatures w14:val="none"/>
        </w:rPr>
      </w:pPr>
    </w:p>
    <w:p w14:paraId="360CA6B9" w14:textId="77777777" w:rsidR="00EB16F0" w:rsidRDefault="00EB16F0" w:rsidP="00B74E01">
      <w:pPr>
        <w:spacing w:after="0" w:line="360" w:lineRule="auto"/>
        <w:ind w:firstLine="709"/>
        <w:jc w:val="both"/>
        <w:rPr>
          <w:rFonts w:eastAsia="Times New Roman" w:cs="Arial"/>
          <w:kern w:val="0"/>
          <w:lang w:eastAsia="pt-BR"/>
          <w14:ligatures w14:val="none"/>
        </w:rPr>
      </w:pPr>
    </w:p>
    <w:p w14:paraId="3620E817" w14:textId="77777777" w:rsidR="00EB16F0" w:rsidRDefault="00EB16F0" w:rsidP="00B74E01">
      <w:pPr>
        <w:spacing w:after="0" w:line="360" w:lineRule="auto"/>
        <w:ind w:firstLine="709"/>
        <w:jc w:val="both"/>
        <w:rPr>
          <w:rFonts w:eastAsia="Times New Roman" w:cs="Arial"/>
          <w:kern w:val="0"/>
          <w:lang w:eastAsia="pt-BR"/>
          <w14:ligatures w14:val="none"/>
        </w:rPr>
      </w:pPr>
    </w:p>
    <w:p w14:paraId="4A0F9C9C" w14:textId="77777777" w:rsidR="00EB16F0" w:rsidRDefault="00EB16F0" w:rsidP="00B74E01">
      <w:pPr>
        <w:spacing w:after="0" w:line="360" w:lineRule="auto"/>
        <w:ind w:firstLine="709"/>
        <w:jc w:val="both"/>
        <w:rPr>
          <w:rFonts w:eastAsia="Times New Roman" w:cs="Arial"/>
          <w:kern w:val="0"/>
          <w:lang w:eastAsia="pt-BR"/>
          <w14:ligatures w14:val="none"/>
        </w:rPr>
      </w:pPr>
    </w:p>
    <w:p w14:paraId="56F868BA" w14:textId="77777777" w:rsidR="00EB16F0" w:rsidRDefault="00EB16F0" w:rsidP="00B74E01">
      <w:pPr>
        <w:spacing w:after="0" w:line="360" w:lineRule="auto"/>
        <w:ind w:firstLine="709"/>
        <w:jc w:val="both"/>
        <w:rPr>
          <w:rFonts w:eastAsia="Times New Roman" w:cs="Arial"/>
          <w:kern w:val="0"/>
          <w:lang w:eastAsia="pt-BR"/>
          <w14:ligatures w14:val="none"/>
        </w:rPr>
      </w:pPr>
    </w:p>
    <w:p w14:paraId="20C77149" w14:textId="77777777" w:rsidR="00EB16F0" w:rsidRDefault="00EB16F0" w:rsidP="00B74E01">
      <w:pPr>
        <w:spacing w:after="0" w:line="360" w:lineRule="auto"/>
        <w:ind w:firstLine="709"/>
        <w:jc w:val="both"/>
        <w:rPr>
          <w:rFonts w:eastAsia="Times New Roman" w:cs="Arial"/>
          <w:kern w:val="0"/>
          <w:lang w:eastAsia="pt-BR"/>
          <w14:ligatures w14:val="none"/>
        </w:rPr>
      </w:pPr>
    </w:p>
    <w:p w14:paraId="78CD2AB6" w14:textId="77777777" w:rsidR="00EB16F0" w:rsidRDefault="00EB16F0" w:rsidP="00B74E01">
      <w:pPr>
        <w:spacing w:after="0" w:line="360" w:lineRule="auto"/>
        <w:ind w:firstLine="709"/>
        <w:jc w:val="both"/>
        <w:rPr>
          <w:rFonts w:eastAsia="Times New Roman" w:cs="Arial"/>
          <w:kern w:val="0"/>
          <w:lang w:eastAsia="pt-BR"/>
          <w14:ligatures w14:val="none"/>
        </w:rPr>
      </w:pPr>
    </w:p>
    <w:p w14:paraId="40468841" w14:textId="77777777" w:rsidR="00EB16F0" w:rsidRDefault="00EB16F0" w:rsidP="00B74E01">
      <w:pPr>
        <w:spacing w:after="0" w:line="360" w:lineRule="auto"/>
        <w:ind w:firstLine="709"/>
        <w:jc w:val="both"/>
        <w:rPr>
          <w:rFonts w:eastAsia="Times New Roman" w:cs="Arial"/>
          <w:kern w:val="0"/>
          <w:lang w:eastAsia="pt-BR"/>
          <w14:ligatures w14:val="none"/>
        </w:rPr>
      </w:pPr>
    </w:p>
    <w:p w14:paraId="27972314" w14:textId="77777777" w:rsidR="00EB16F0" w:rsidRDefault="00EB16F0" w:rsidP="00B74E01">
      <w:pPr>
        <w:spacing w:after="0" w:line="360" w:lineRule="auto"/>
        <w:ind w:firstLine="709"/>
        <w:jc w:val="both"/>
        <w:rPr>
          <w:rFonts w:eastAsia="Times New Roman" w:cs="Arial"/>
          <w:kern w:val="0"/>
          <w:lang w:eastAsia="pt-BR"/>
          <w14:ligatures w14:val="none"/>
        </w:rPr>
      </w:pPr>
    </w:p>
    <w:p w14:paraId="01615A6F" w14:textId="77777777" w:rsidR="00EB16F0" w:rsidRDefault="00EB16F0" w:rsidP="00B74E01">
      <w:pPr>
        <w:spacing w:after="0" w:line="360" w:lineRule="auto"/>
        <w:ind w:firstLine="709"/>
        <w:jc w:val="both"/>
        <w:rPr>
          <w:rFonts w:eastAsia="Times New Roman" w:cs="Arial"/>
          <w:kern w:val="0"/>
          <w:lang w:eastAsia="pt-BR"/>
          <w14:ligatures w14:val="none"/>
        </w:rPr>
      </w:pPr>
    </w:p>
    <w:p w14:paraId="5A6BB41C" w14:textId="77777777" w:rsidR="00EB16F0" w:rsidRDefault="00EB16F0" w:rsidP="00B74E01">
      <w:pPr>
        <w:spacing w:after="0" w:line="360" w:lineRule="auto"/>
        <w:ind w:firstLine="709"/>
        <w:jc w:val="both"/>
        <w:rPr>
          <w:rFonts w:eastAsia="Times New Roman" w:cs="Arial"/>
          <w:kern w:val="0"/>
          <w:lang w:eastAsia="pt-BR"/>
          <w14:ligatures w14:val="none"/>
        </w:rPr>
      </w:pPr>
    </w:p>
    <w:p w14:paraId="5EE5B83B" w14:textId="77777777" w:rsidR="00EB16F0" w:rsidRDefault="00EB16F0" w:rsidP="00B74E01">
      <w:pPr>
        <w:spacing w:after="0" w:line="360" w:lineRule="auto"/>
        <w:ind w:firstLine="709"/>
        <w:jc w:val="both"/>
        <w:rPr>
          <w:rFonts w:eastAsia="Times New Roman" w:cs="Arial"/>
          <w:kern w:val="0"/>
          <w:lang w:eastAsia="pt-BR"/>
          <w14:ligatures w14:val="none"/>
        </w:rPr>
      </w:pPr>
    </w:p>
    <w:p w14:paraId="4BEC384F" w14:textId="77777777" w:rsidR="00EB16F0" w:rsidRDefault="00EB16F0" w:rsidP="00B74E01">
      <w:pPr>
        <w:spacing w:after="0" w:line="360" w:lineRule="auto"/>
        <w:ind w:firstLine="709"/>
        <w:jc w:val="both"/>
        <w:rPr>
          <w:rFonts w:eastAsia="Times New Roman" w:cs="Arial"/>
          <w:kern w:val="0"/>
          <w:lang w:eastAsia="pt-BR"/>
          <w14:ligatures w14:val="none"/>
        </w:rPr>
      </w:pPr>
    </w:p>
    <w:p w14:paraId="7EA433A7" w14:textId="77777777" w:rsidR="00EB16F0" w:rsidRDefault="00EB16F0" w:rsidP="00B74E01">
      <w:pPr>
        <w:spacing w:after="0" w:line="360" w:lineRule="auto"/>
        <w:ind w:firstLine="709"/>
        <w:jc w:val="both"/>
        <w:rPr>
          <w:rFonts w:eastAsia="Times New Roman" w:cs="Arial"/>
          <w:kern w:val="0"/>
          <w:lang w:eastAsia="pt-BR"/>
          <w14:ligatures w14:val="none"/>
        </w:rPr>
      </w:pPr>
    </w:p>
    <w:p w14:paraId="354C2FC0" w14:textId="77777777" w:rsidR="00EB16F0" w:rsidRPr="00B74E01" w:rsidRDefault="00EB16F0" w:rsidP="00B74E01">
      <w:pPr>
        <w:spacing w:after="0" w:line="360" w:lineRule="auto"/>
        <w:ind w:firstLine="709"/>
        <w:jc w:val="both"/>
        <w:rPr>
          <w:rFonts w:eastAsia="Times New Roman" w:cs="Arial"/>
          <w:kern w:val="0"/>
          <w:lang w:eastAsia="pt-BR"/>
          <w14:ligatures w14:val="none"/>
        </w:rPr>
      </w:pPr>
    </w:p>
    <w:p w14:paraId="0FF3803D" w14:textId="77777777" w:rsidR="00CF7ABE" w:rsidRPr="00B74E01" w:rsidRDefault="00CF7ABE" w:rsidP="00BA36B3">
      <w:pPr>
        <w:pStyle w:val="Ttulo1"/>
        <w:rPr>
          <w:rFonts w:eastAsia="Times New Roman"/>
          <w:lang w:eastAsia="pt-BR"/>
        </w:rPr>
      </w:pPr>
      <w:bookmarkStart w:id="75" w:name="_Toc230204077"/>
      <w:r w:rsidRPr="00B74E01">
        <w:rPr>
          <w:rFonts w:eastAsia="Times New Roman"/>
          <w:lang w:eastAsia="pt-BR"/>
        </w:rPr>
        <w:lastRenderedPageBreak/>
        <w:t>8. OPEX — Custos Operacionais</w:t>
      </w:r>
      <w:bookmarkEnd w:id="75"/>
    </w:p>
    <w:p w14:paraId="0B8B4B34"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O OPEX representa o conjunto de custos recorrentes necessários à operação regular da SPE durante a vigência da PPP. Em uma planta industrial de destinação/tratamento de RSU com integração energética, o OPEX não pode ser tratado como simples despesa administrativa. Ele reflete a estrutura mínima de pessoal, manutenção, segurança, insumos, benefícios, seguros, assessorias, controle operacional e atendimento às obrigações técnicas, ambientais e trabalhistas.</w:t>
      </w:r>
    </w:p>
    <w:p w14:paraId="79D0AF5A"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Este tópico apresenta a composição do OPEX adotado na modelagem, sua lógica de formação, os principais grupos de despesa e os cuidados necessários para evitar subdimensionamento operacional.</w:t>
      </w:r>
    </w:p>
    <w:p w14:paraId="283A4834" w14:textId="77777777" w:rsidR="00CF7ABE" w:rsidRPr="00B74E01" w:rsidRDefault="00CF7ABE" w:rsidP="00BA36B3">
      <w:pPr>
        <w:pStyle w:val="Ttulo2"/>
        <w:rPr>
          <w:rFonts w:eastAsia="Times New Roman"/>
          <w:lang w:eastAsia="pt-BR"/>
        </w:rPr>
      </w:pPr>
      <w:bookmarkStart w:id="76" w:name="_Toc230204078"/>
      <w:r w:rsidRPr="00B74E01">
        <w:rPr>
          <w:rFonts w:eastAsia="Times New Roman"/>
          <w:lang w:eastAsia="pt-BR"/>
        </w:rPr>
        <w:t>8.1. Função do OPEX na modelagem</w:t>
      </w:r>
      <w:bookmarkEnd w:id="76"/>
    </w:p>
    <w:p w14:paraId="5EF0A863"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O OPEX é uma das variáveis mais sensíveis da modelagem econômico-financeira, pois afeta diretamente o EBITDA, a capacidade de pagamento da dívida, o DSCR, a margem operacional e a sustentabilidade da SPE.</w:t>
      </w:r>
    </w:p>
    <w:p w14:paraId="5178D254"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No presente caderno, o OPEX foi estruturado em dois grandes blocos: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74"/>
        <w:gridCol w:w="6887"/>
      </w:tblGrid>
      <w:tr w:rsidR="00CF7ABE" w:rsidRPr="00B74E01" w14:paraId="7372AA66" w14:textId="77777777" w:rsidTr="00671A31">
        <w:trPr>
          <w:tblHeade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2329BDBA" w14:textId="77777777" w:rsidR="00CF7ABE" w:rsidRPr="00B74E01" w:rsidRDefault="00CF7ABE" w:rsidP="00BA36B3">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Bloco de OPEX</w:t>
            </w:r>
          </w:p>
        </w:tc>
        <w:tc>
          <w:tcPr>
            <w:tcW w:w="0" w:type="auto"/>
            <w:tcBorders>
              <w:top w:val="single" w:sz="4" w:space="0" w:color="auto"/>
              <w:left w:val="single" w:sz="4" w:space="0" w:color="auto"/>
              <w:bottom w:val="single" w:sz="4" w:space="0" w:color="auto"/>
              <w:right w:val="single" w:sz="4" w:space="0" w:color="auto"/>
            </w:tcBorders>
            <w:vAlign w:val="center"/>
            <w:hideMark/>
          </w:tcPr>
          <w:p w14:paraId="136060EA" w14:textId="77777777" w:rsidR="00CF7ABE" w:rsidRPr="00B74E01" w:rsidRDefault="00CF7ABE" w:rsidP="00BA36B3">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Conteúdo</w:t>
            </w:r>
          </w:p>
        </w:tc>
      </w:tr>
      <w:tr w:rsidR="00CF7ABE" w:rsidRPr="00B74E01" w14:paraId="0EAEF1EA" w14:textId="77777777" w:rsidTr="00671A31">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11001081" w14:textId="77777777" w:rsidR="00CF7ABE" w:rsidRPr="00B74E01" w:rsidRDefault="00CF7ABE" w:rsidP="00BA36B3">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Mão de obra ativa</w:t>
            </w:r>
          </w:p>
        </w:tc>
        <w:tc>
          <w:tcPr>
            <w:tcW w:w="0" w:type="auto"/>
            <w:tcBorders>
              <w:top w:val="single" w:sz="4" w:space="0" w:color="auto"/>
              <w:left w:val="single" w:sz="4" w:space="0" w:color="auto"/>
              <w:bottom w:val="single" w:sz="4" w:space="0" w:color="auto"/>
              <w:right w:val="single" w:sz="4" w:space="0" w:color="auto"/>
            </w:tcBorders>
            <w:vAlign w:val="center"/>
            <w:hideMark/>
          </w:tcPr>
          <w:p w14:paraId="4A85EBAC" w14:textId="77777777" w:rsidR="00CF7ABE" w:rsidRPr="00B74E01" w:rsidRDefault="00CF7ABE" w:rsidP="00BA36B3">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Cargos efetivamente considerados na operação, salários, adicionais e encargos</w:t>
            </w:r>
          </w:p>
        </w:tc>
      </w:tr>
      <w:tr w:rsidR="00CF7ABE" w:rsidRPr="00B74E01" w14:paraId="5E1DFBED" w14:textId="77777777" w:rsidTr="00671A31">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68835BF9" w14:textId="77777777" w:rsidR="00CF7ABE" w:rsidRPr="00B74E01" w:rsidRDefault="00CF7ABE" w:rsidP="00BA36B3">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Demais custos operacionais</w:t>
            </w:r>
          </w:p>
        </w:tc>
        <w:tc>
          <w:tcPr>
            <w:tcW w:w="0" w:type="auto"/>
            <w:tcBorders>
              <w:top w:val="single" w:sz="4" w:space="0" w:color="auto"/>
              <w:left w:val="single" w:sz="4" w:space="0" w:color="auto"/>
              <w:bottom w:val="single" w:sz="4" w:space="0" w:color="auto"/>
              <w:right w:val="single" w:sz="4" w:space="0" w:color="auto"/>
            </w:tcBorders>
            <w:vAlign w:val="center"/>
            <w:hideMark/>
          </w:tcPr>
          <w:p w14:paraId="126C419E" w14:textId="77777777" w:rsidR="00CF7ABE" w:rsidRPr="00B74E01" w:rsidRDefault="00CF7ABE" w:rsidP="00BA36B3">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Benefícios, EPIs, seguros, manutenção, transporte, alimentação, assessorias, comunicação, taxas e despesas administrativas</w:t>
            </w:r>
          </w:p>
        </w:tc>
      </w:tr>
    </w:tbl>
    <w:p w14:paraId="3F568F69"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modelagem revisada considera apenas os cargos efetivamente ativados, excluindo funções referenciais que estavam com número de funcionários igual a zero. Essa distinção é importante para evitar superestimação artificial do custo operacional e preservar a coerência da planilha.</w:t>
      </w:r>
    </w:p>
    <w:p w14:paraId="76C88097" w14:textId="52B6F4CB" w:rsidR="00CF7ABE" w:rsidRPr="00B74E01" w:rsidRDefault="00CF7ABE" w:rsidP="00B74E01">
      <w:pPr>
        <w:spacing w:after="0" w:line="360" w:lineRule="auto"/>
        <w:ind w:firstLine="709"/>
        <w:jc w:val="both"/>
        <w:rPr>
          <w:rFonts w:eastAsia="Times New Roman" w:cs="Arial"/>
          <w:kern w:val="0"/>
          <w:lang w:eastAsia="pt-BR"/>
          <w14:ligatures w14:val="none"/>
        </w:rPr>
      </w:pPr>
    </w:p>
    <w:p w14:paraId="04FA0BB5" w14:textId="77777777" w:rsidR="00CF7ABE" w:rsidRPr="00B74E01" w:rsidRDefault="00CF7ABE" w:rsidP="00BA36B3">
      <w:pPr>
        <w:pStyle w:val="Ttulo2"/>
        <w:rPr>
          <w:rFonts w:eastAsia="Times New Roman"/>
          <w:lang w:eastAsia="pt-BR"/>
        </w:rPr>
      </w:pPr>
      <w:bookmarkStart w:id="77" w:name="_Toc230204079"/>
      <w:r w:rsidRPr="00B74E01">
        <w:rPr>
          <w:rFonts w:eastAsia="Times New Roman"/>
          <w:lang w:eastAsia="pt-BR"/>
        </w:rPr>
        <w:lastRenderedPageBreak/>
        <w:t>8.2. Composição sintética do OPEX</w:t>
      </w:r>
      <w:bookmarkEnd w:id="77"/>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097"/>
        <w:gridCol w:w="1655"/>
        <w:gridCol w:w="1855"/>
        <w:gridCol w:w="1523"/>
      </w:tblGrid>
      <w:tr w:rsidR="00CF7ABE" w:rsidRPr="00B74E01" w14:paraId="63CEC64B" w14:textId="77777777" w:rsidTr="00671A31">
        <w:trPr>
          <w:tblHeader/>
          <w:tblCellSpacing w:w="15" w:type="dxa"/>
        </w:trPr>
        <w:tc>
          <w:tcPr>
            <w:tcW w:w="0" w:type="auto"/>
            <w:vAlign w:val="center"/>
            <w:hideMark/>
          </w:tcPr>
          <w:p w14:paraId="079FD322" w14:textId="77777777" w:rsidR="00CF7ABE" w:rsidRPr="00B74E01" w:rsidRDefault="00CF7ABE" w:rsidP="00BA36B3">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Componente</w:t>
            </w:r>
          </w:p>
        </w:tc>
        <w:tc>
          <w:tcPr>
            <w:tcW w:w="0" w:type="auto"/>
            <w:vAlign w:val="center"/>
            <w:hideMark/>
          </w:tcPr>
          <w:p w14:paraId="1973718E" w14:textId="77777777" w:rsidR="00CF7ABE" w:rsidRPr="00B74E01" w:rsidRDefault="00CF7ABE" w:rsidP="00BA36B3">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Valor mensal</w:t>
            </w:r>
          </w:p>
        </w:tc>
        <w:tc>
          <w:tcPr>
            <w:tcW w:w="0" w:type="auto"/>
            <w:vAlign w:val="center"/>
            <w:hideMark/>
          </w:tcPr>
          <w:p w14:paraId="7CD822E2" w14:textId="77777777" w:rsidR="00CF7ABE" w:rsidRPr="00B74E01" w:rsidRDefault="00CF7ABE" w:rsidP="00BA36B3">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Valor anual</w:t>
            </w:r>
          </w:p>
        </w:tc>
        <w:tc>
          <w:tcPr>
            <w:tcW w:w="0" w:type="auto"/>
            <w:vAlign w:val="center"/>
            <w:hideMark/>
          </w:tcPr>
          <w:p w14:paraId="0ABF3130" w14:textId="77777777" w:rsidR="00CF7ABE" w:rsidRPr="00B74E01" w:rsidRDefault="00CF7ABE" w:rsidP="00BA36B3">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Participação</w:t>
            </w:r>
          </w:p>
        </w:tc>
      </w:tr>
      <w:tr w:rsidR="00CF7ABE" w:rsidRPr="00B74E01" w14:paraId="52119930" w14:textId="77777777" w:rsidTr="00671A31">
        <w:trPr>
          <w:tblCellSpacing w:w="15" w:type="dxa"/>
        </w:trPr>
        <w:tc>
          <w:tcPr>
            <w:tcW w:w="0" w:type="auto"/>
            <w:vAlign w:val="center"/>
            <w:hideMark/>
          </w:tcPr>
          <w:p w14:paraId="0E9A0C82" w14:textId="77777777" w:rsidR="00CF7ABE" w:rsidRPr="00B74E01" w:rsidRDefault="00CF7ABE" w:rsidP="00BA36B3">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Mão de obra ativa</w:t>
            </w:r>
          </w:p>
        </w:tc>
        <w:tc>
          <w:tcPr>
            <w:tcW w:w="0" w:type="auto"/>
            <w:vAlign w:val="center"/>
            <w:hideMark/>
          </w:tcPr>
          <w:p w14:paraId="46DE81DC" w14:textId="77777777" w:rsidR="00CF7ABE" w:rsidRPr="00B74E01" w:rsidRDefault="00CF7ABE" w:rsidP="00BA36B3">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R$ 219.465,24</w:t>
            </w:r>
          </w:p>
        </w:tc>
        <w:tc>
          <w:tcPr>
            <w:tcW w:w="0" w:type="auto"/>
            <w:vAlign w:val="center"/>
            <w:hideMark/>
          </w:tcPr>
          <w:p w14:paraId="6128BC52" w14:textId="77777777" w:rsidR="00CF7ABE" w:rsidRPr="00B74E01" w:rsidRDefault="00CF7ABE" w:rsidP="00BA36B3">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R$ 2.633.582,88</w:t>
            </w:r>
          </w:p>
        </w:tc>
        <w:tc>
          <w:tcPr>
            <w:tcW w:w="0" w:type="auto"/>
            <w:vAlign w:val="center"/>
            <w:hideMark/>
          </w:tcPr>
          <w:p w14:paraId="72CD891A" w14:textId="77777777" w:rsidR="00CF7ABE" w:rsidRPr="00B74E01" w:rsidRDefault="00CF7ABE" w:rsidP="00BA36B3">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68,91%</w:t>
            </w:r>
          </w:p>
        </w:tc>
      </w:tr>
      <w:tr w:rsidR="00CF7ABE" w:rsidRPr="00B74E01" w14:paraId="1C0BB938" w14:textId="77777777" w:rsidTr="00671A31">
        <w:trPr>
          <w:tblCellSpacing w:w="15" w:type="dxa"/>
        </w:trPr>
        <w:tc>
          <w:tcPr>
            <w:tcW w:w="0" w:type="auto"/>
            <w:vAlign w:val="center"/>
            <w:hideMark/>
          </w:tcPr>
          <w:p w14:paraId="082EB243" w14:textId="77777777" w:rsidR="00CF7ABE" w:rsidRPr="00B74E01" w:rsidRDefault="00CF7ABE" w:rsidP="00BA36B3">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Demais custos operacionais</w:t>
            </w:r>
          </w:p>
        </w:tc>
        <w:tc>
          <w:tcPr>
            <w:tcW w:w="0" w:type="auto"/>
            <w:vAlign w:val="center"/>
            <w:hideMark/>
          </w:tcPr>
          <w:p w14:paraId="0279766E" w14:textId="77777777" w:rsidR="00CF7ABE" w:rsidRPr="00B74E01" w:rsidRDefault="00CF7ABE" w:rsidP="00BA36B3">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R$ 99.030,83</w:t>
            </w:r>
          </w:p>
        </w:tc>
        <w:tc>
          <w:tcPr>
            <w:tcW w:w="0" w:type="auto"/>
            <w:vAlign w:val="center"/>
            <w:hideMark/>
          </w:tcPr>
          <w:p w14:paraId="08C11562" w14:textId="77777777" w:rsidR="00CF7ABE" w:rsidRPr="00B74E01" w:rsidRDefault="00CF7ABE" w:rsidP="00BA36B3">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R$ 1.188.370,00</w:t>
            </w:r>
          </w:p>
        </w:tc>
        <w:tc>
          <w:tcPr>
            <w:tcW w:w="0" w:type="auto"/>
            <w:vAlign w:val="center"/>
            <w:hideMark/>
          </w:tcPr>
          <w:p w14:paraId="725E05A6" w14:textId="77777777" w:rsidR="00CF7ABE" w:rsidRPr="00B74E01" w:rsidRDefault="00CF7ABE" w:rsidP="00BA36B3">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31,09%</w:t>
            </w:r>
          </w:p>
        </w:tc>
      </w:tr>
      <w:tr w:rsidR="00CF7ABE" w:rsidRPr="00B74E01" w14:paraId="75C44354" w14:textId="77777777" w:rsidTr="00671A31">
        <w:trPr>
          <w:tblCellSpacing w:w="15" w:type="dxa"/>
        </w:trPr>
        <w:tc>
          <w:tcPr>
            <w:tcW w:w="0" w:type="auto"/>
            <w:vAlign w:val="center"/>
            <w:hideMark/>
          </w:tcPr>
          <w:p w14:paraId="08CD50B8" w14:textId="77777777" w:rsidR="00CF7ABE" w:rsidRPr="00B74E01" w:rsidRDefault="00CF7ABE" w:rsidP="00BA36B3">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OPEX total revisado</w:t>
            </w:r>
          </w:p>
        </w:tc>
        <w:tc>
          <w:tcPr>
            <w:tcW w:w="0" w:type="auto"/>
            <w:vAlign w:val="center"/>
            <w:hideMark/>
          </w:tcPr>
          <w:p w14:paraId="479E5F3C" w14:textId="77777777" w:rsidR="00CF7ABE" w:rsidRPr="00B74E01" w:rsidRDefault="00CF7ABE" w:rsidP="00BA36B3">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R$ 318.496,07</w:t>
            </w:r>
          </w:p>
        </w:tc>
        <w:tc>
          <w:tcPr>
            <w:tcW w:w="0" w:type="auto"/>
            <w:vAlign w:val="center"/>
            <w:hideMark/>
          </w:tcPr>
          <w:p w14:paraId="21B86A13" w14:textId="77777777" w:rsidR="00CF7ABE" w:rsidRPr="00B74E01" w:rsidRDefault="00CF7ABE" w:rsidP="00BA36B3">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R$ 3.821.952,88</w:t>
            </w:r>
          </w:p>
        </w:tc>
        <w:tc>
          <w:tcPr>
            <w:tcW w:w="0" w:type="auto"/>
            <w:vAlign w:val="center"/>
            <w:hideMark/>
          </w:tcPr>
          <w:p w14:paraId="3ACA163F" w14:textId="77777777" w:rsidR="00CF7ABE" w:rsidRPr="00B74E01" w:rsidRDefault="00CF7ABE" w:rsidP="00BA36B3">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100,00%</w:t>
            </w:r>
          </w:p>
        </w:tc>
      </w:tr>
    </w:tbl>
    <w:p w14:paraId="0557E28F"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maior parcela do OPEX está concentrada na mão de obra, o que é compatível com uma operação industrial que exige equipe técnica, operação contínua, supervisão, manutenção, segurança do trabalho, apoio administrativo e serviços gerais.</w:t>
      </w:r>
    </w:p>
    <w:p w14:paraId="37B12860" w14:textId="77777777" w:rsidR="00CF7ABE" w:rsidRPr="00B74E01" w:rsidRDefault="00CF7ABE" w:rsidP="00BA36B3">
      <w:pPr>
        <w:pStyle w:val="Ttulo2"/>
        <w:rPr>
          <w:rFonts w:eastAsia="Times New Roman"/>
          <w:lang w:eastAsia="pt-BR"/>
        </w:rPr>
      </w:pPr>
      <w:bookmarkStart w:id="78" w:name="_Toc230204080"/>
      <w:r w:rsidRPr="00B74E01">
        <w:rPr>
          <w:rFonts w:eastAsia="Times New Roman"/>
          <w:lang w:eastAsia="pt-BR"/>
        </w:rPr>
        <w:t>8.3. Mão de obra ativa considerada</w:t>
      </w:r>
      <w:bookmarkEnd w:id="78"/>
    </w:p>
    <w:p w14:paraId="2266C5C4"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tabela abaixo apresenta os cargos efetivamente considerados na modelagem do OPEX.</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438"/>
        <w:gridCol w:w="591"/>
        <w:gridCol w:w="1031"/>
        <w:gridCol w:w="1150"/>
        <w:gridCol w:w="1031"/>
        <w:gridCol w:w="1601"/>
        <w:gridCol w:w="1054"/>
        <w:gridCol w:w="1165"/>
      </w:tblGrid>
      <w:tr w:rsidR="00CF7ABE" w:rsidRPr="00B74E01" w14:paraId="313B38B0" w14:textId="77777777" w:rsidTr="00671A31">
        <w:trPr>
          <w:tblHeade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5BBDB057" w14:textId="77777777" w:rsidR="00CF7ABE" w:rsidRPr="00B74E01" w:rsidRDefault="00CF7ABE" w:rsidP="00746B3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Cargo</w:t>
            </w:r>
          </w:p>
        </w:tc>
        <w:tc>
          <w:tcPr>
            <w:tcW w:w="0" w:type="auto"/>
            <w:tcBorders>
              <w:top w:val="single" w:sz="4" w:space="0" w:color="auto"/>
              <w:left w:val="single" w:sz="4" w:space="0" w:color="auto"/>
              <w:bottom w:val="single" w:sz="4" w:space="0" w:color="auto"/>
              <w:right w:val="single" w:sz="4" w:space="0" w:color="auto"/>
            </w:tcBorders>
            <w:vAlign w:val="center"/>
            <w:hideMark/>
          </w:tcPr>
          <w:p w14:paraId="1722E608" w14:textId="77777777" w:rsidR="00CF7ABE" w:rsidRPr="00B74E01" w:rsidRDefault="00CF7ABE" w:rsidP="00746B3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 xml:space="preserve">Nº </w:t>
            </w:r>
            <w:proofErr w:type="spellStart"/>
            <w:r w:rsidRPr="00B74E01">
              <w:rPr>
                <w:rFonts w:eastAsia="Times New Roman" w:cs="Arial"/>
                <w:b/>
                <w:bCs/>
                <w:kern w:val="0"/>
                <w:lang w:eastAsia="pt-BR"/>
                <w14:ligatures w14:val="none"/>
              </w:rPr>
              <w:t>func</w:t>
            </w:r>
            <w:proofErr w:type="spellEnd"/>
            <w:r w:rsidRPr="00B74E01">
              <w:rPr>
                <w:rFonts w:eastAsia="Times New Roman" w:cs="Arial"/>
                <w:b/>
                <w:bCs/>
                <w:kern w:val="0"/>
                <w:lang w:eastAsia="pt-BR"/>
                <w14:ligatures w14:val="none"/>
              </w:rPr>
              <w:t>.</w:t>
            </w:r>
          </w:p>
        </w:tc>
        <w:tc>
          <w:tcPr>
            <w:tcW w:w="0" w:type="auto"/>
            <w:tcBorders>
              <w:top w:val="single" w:sz="4" w:space="0" w:color="auto"/>
              <w:left w:val="single" w:sz="4" w:space="0" w:color="auto"/>
              <w:bottom w:val="single" w:sz="4" w:space="0" w:color="auto"/>
              <w:right w:val="single" w:sz="4" w:space="0" w:color="auto"/>
            </w:tcBorders>
            <w:vAlign w:val="center"/>
            <w:hideMark/>
          </w:tcPr>
          <w:p w14:paraId="30DF6E04" w14:textId="77777777" w:rsidR="00CF7ABE" w:rsidRPr="00B74E01" w:rsidRDefault="00CF7ABE" w:rsidP="00746B3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Salário unitário</w:t>
            </w:r>
          </w:p>
        </w:tc>
        <w:tc>
          <w:tcPr>
            <w:tcW w:w="0" w:type="auto"/>
            <w:tcBorders>
              <w:top w:val="single" w:sz="4" w:space="0" w:color="auto"/>
              <w:left w:val="single" w:sz="4" w:space="0" w:color="auto"/>
              <w:bottom w:val="single" w:sz="4" w:space="0" w:color="auto"/>
              <w:right w:val="single" w:sz="4" w:space="0" w:color="auto"/>
            </w:tcBorders>
            <w:vAlign w:val="center"/>
            <w:hideMark/>
          </w:tcPr>
          <w:p w14:paraId="068C5045" w14:textId="77777777" w:rsidR="00CF7ABE" w:rsidRPr="00B74E01" w:rsidRDefault="00CF7ABE" w:rsidP="00746B3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Salário total</w:t>
            </w:r>
          </w:p>
        </w:tc>
        <w:tc>
          <w:tcPr>
            <w:tcW w:w="0" w:type="auto"/>
            <w:tcBorders>
              <w:top w:val="single" w:sz="4" w:space="0" w:color="auto"/>
              <w:left w:val="single" w:sz="4" w:space="0" w:color="auto"/>
              <w:bottom w:val="single" w:sz="4" w:space="0" w:color="auto"/>
              <w:right w:val="single" w:sz="4" w:space="0" w:color="auto"/>
            </w:tcBorders>
            <w:vAlign w:val="center"/>
            <w:hideMark/>
          </w:tcPr>
          <w:p w14:paraId="4FF01F1D" w14:textId="77777777" w:rsidR="00CF7ABE" w:rsidRPr="00B74E01" w:rsidRDefault="00CF7ABE" w:rsidP="00746B30">
            <w:pPr>
              <w:spacing w:after="0" w:line="360" w:lineRule="auto"/>
              <w:rPr>
                <w:rFonts w:eastAsia="Times New Roman" w:cs="Arial"/>
                <w:b/>
                <w:bCs/>
                <w:kern w:val="0"/>
                <w:lang w:eastAsia="pt-BR"/>
                <w14:ligatures w14:val="none"/>
              </w:rPr>
            </w:pPr>
            <w:proofErr w:type="spellStart"/>
            <w:r w:rsidRPr="00B74E01">
              <w:rPr>
                <w:rFonts w:eastAsia="Times New Roman" w:cs="Arial"/>
                <w:b/>
                <w:bCs/>
                <w:kern w:val="0"/>
                <w:lang w:eastAsia="pt-BR"/>
                <w14:ligatures w14:val="none"/>
              </w:rPr>
              <w:t>Adic</w:t>
            </w:r>
            <w:proofErr w:type="spellEnd"/>
            <w:r w:rsidRPr="00B74E01">
              <w:rPr>
                <w:rFonts w:eastAsia="Times New Roman" w:cs="Arial"/>
                <w:b/>
                <w:bCs/>
                <w:kern w:val="0"/>
                <w:lang w:eastAsia="pt-BR"/>
                <w14:ligatures w14:val="none"/>
              </w:rPr>
              <w:t>. noturno</w:t>
            </w:r>
          </w:p>
        </w:tc>
        <w:tc>
          <w:tcPr>
            <w:tcW w:w="0" w:type="auto"/>
            <w:tcBorders>
              <w:top w:val="single" w:sz="4" w:space="0" w:color="auto"/>
              <w:left w:val="single" w:sz="4" w:space="0" w:color="auto"/>
              <w:bottom w:val="single" w:sz="4" w:space="0" w:color="auto"/>
              <w:right w:val="single" w:sz="4" w:space="0" w:color="auto"/>
            </w:tcBorders>
            <w:vAlign w:val="center"/>
            <w:hideMark/>
          </w:tcPr>
          <w:p w14:paraId="49E67047" w14:textId="77777777" w:rsidR="00CF7ABE" w:rsidRPr="00B74E01" w:rsidRDefault="00CF7ABE" w:rsidP="00746B3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Periculosidade</w:t>
            </w:r>
          </w:p>
        </w:tc>
        <w:tc>
          <w:tcPr>
            <w:tcW w:w="0" w:type="auto"/>
            <w:tcBorders>
              <w:top w:val="single" w:sz="4" w:space="0" w:color="auto"/>
              <w:left w:val="single" w:sz="4" w:space="0" w:color="auto"/>
              <w:bottom w:val="single" w:sz="4" w:space="0" w:color="auto"/>
              <w:right w:val="single" w:sz="4" w:space="0" w:color="auto"/>
            </w:tcBorders>
            <w:vAlign w:val="center"/>
            <w:hideMark/>
          </w:tcPr>
          <w:p w14:paraId="286E3E58" w14:textId="77777777" w:rsidR="00CF7ABE" w:rsidRPr="00B74E01" w:rsidRDefault="00CF7ABE" w:rsidP="00746B3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Encargos</w:t>
            </w:r>
          </w:p>
        </w:tc>
        <w:tc>
          <w:tcPr>
            <w:tcW w:w="0" w:type="auto"/>
            <w:tcBorders>
              <w:top w:val="single" w:sz="4" w:space="0" w:color="auto"/>
              <w:left w:val="single" w:sz="4" w:space="0" w:color="auto"/>
              <w:bottom w:val="single" w:sz="4" w:space="0" w:color="auto"/>
              <w:right w:val="single" w:sz="4" w:space="0" w:color="auto"/>
            </w:tcBorders>
            <w:vAlign w:val="center"/>
            <w:hideMark/>
          </w:tcPr>
          <w:p w14:paraId="285A74AF" w14:textId="77777777" w:rsidR="00CF7ABE" w:rsidRPr="00B74E01" w:rsidRDefault="00CF7ABE" w:rsidP="00746B3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Custo mensal total</w:t>
            </w:r>
          </w:p>
        </w:tc>
      </w:tr>
      <w:tr w:rsidR="00CF7ABE" w:rsidRPr="00B74E01" w14:paraId="1C9FE1AA" w14:textId="77777777" w:rsidTr="00671A31">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47FA8CFB"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Gerente Geral — Eng. Mecânico</w:t>
            </w:r>
          </w:p>
        </w:tc>
        <w:tc>
          <w:tcPr>
            <w:tcW w:w="0" w:type="auto"/>
            <w:tcBorders>
              <w:top w:val="single" w:sz="4" w:space="0" w:color="auto"/>
              <w:left w:val="single" w:sz="4" w:space="0" w:color="auto"/>
              <w:bottom w:val="single" w:sz="4" w:space="0" w:color="auto"/>
              <w:right w:val="single" w:sz="4" w:space="0" w:color="auto"/>
            </w:tcBorders>
            <w:vAlign w:val="center"/>
            <w:hideMark/>
          </w:tcPr>
          <w:p w14:paraId="71FF593D"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1</w:t>
            </w:r>
          </w:p>
        </w:tc>
        <w:tc>
          <w:tcPr>
            <w:tcW w:w="0" w:type="auto"/>
            <w:tcBorders>
              <w:top w:val="single" w:sz="4" w:space="0" w:color="auto"/>
              <w:left w:val="single" w:sz="4" w:space="0" w:color="auto"/>
              <w:bottom w:val="single" w:sz="4" w:space="0" w:color="auto"/>
              <w:right w:val="single" w:sz="4" w:space="0" w:color="auto"/>
            </w:tcBorders>
            <w:vAlign w:val="center"/>
            <w:hideMark/>
          </w:tcPr>
          <w:p w14:paraId="6C0F741D"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R$ 19.362,00</w:t>
            </w:r>
          </w:p>
        </w:tc>
        <w:tc>
          <w:tcPr>
            <w:tcW w:w="0" w:type="auto"/>
            <w:tcBorders>
              <w:top w:val="single" w:sz="4" w:space="0" w:color="auto"/>
              <w:left w:val="single" w:sz="4" w:space="0" w:color="auto"/>
              <w:bottom w:val="single" w:sz="4" w:space="0" w:color="auto"/>
              <w:right w:val="single" w:sz="4" w:space="0" w:color="auto"/>
            </w:tcBorders>
            <w:vAlign w:val="center"/>
            <w:hideMark/>
          </w:tcPr>
          <w:p w14:paraId="27E67F96"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R$ 19.362,00</w:t>
            </w:r>
          </w:p>
        </w:tc>
        <w:tc>
          <w:tcPr>
            <w:tcW w:w="0" w:type="auto"/>
            <w:tcBorders>
              <w:top w:val="single" w:sz="4" w:space="0" w:color="auto"/>
              <w:left w:val="single" w:sz="4" w:space="0" w:color="auto"/>
              <w:bottom w:val="single" w:sz="4" w:space="0" w:color="auto"/>
              <w:right w:val="single" w:sz="4" w:space="0" w:color="auto"/>
            </w:tcBorders>
            <w:vAlign w:val="center"/>
            <w:hideMark/>
          </w:tcPr>
          <w:p w14:paraId="50B96B7E"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R$ 0,00</w:t>
            </w:r>
          </w:p>
        </w:tc>
        <w:tc>
          <w:tcPr>
            <w:tcW w:w="0" w:type="auto"/>
            <w:tcBorders>
              <w:top w:val="single" w:sz="4" w:space="0" w:color="auto"/>
              <w:left w:val="single" w:sz="4" w:space="0" w:color="auto"/>
              <w:bottom w:val="single" w:sz="4" w:space="0" w:color="auto"/>
              <w:right w:val="single" w:sz="4" w:space="0" w:color="auto"/>
            </w:tcBorders>
            <w:vAlign w:val="center"/>
            <w:hideMark/>
          </w:tcPr>
          <w:p w14:paraId="745D9DFB"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R$ 0,00</w:t>
            </w:r>
          </w:p>
        </w:tc>
        <w:tc>
          <w:tcPr>
            <w:tcW w:w="0" w:type="auto"/>
            <w:tcBorders>
              <w:top w:val="single" w:sz="4" w:space="0" w:color="auto"/>
              <w:left w:val="single" w:sz="4" w:space="0" w:color="auto"/>
              <w:bottom w:val="single" w:sz="4" w:space="0" w:color="auto"/>
              <w:right w:val="single" w:sz="4" w:space="0" w:color="auto"/>
            </w:tcBorders>
            <w:vAlign w:val="center"/>
            <w:hideMark/>
          </w:tcPr>
          <w:p w14:paraId="4682A4E3"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R$ 9.100,14</w:t>
            </w:r>
          </w:p>
        </w:tc>
        <w:tc>
          <w:tcPr>
            <w:tcW w:w="0" w:type="auto"/>
            <w:tcBorders>
              <w:top w:val="single" w:sz="4" w:space="0" w:color="auto"/>
              <w:left w:val="single" w:sz="4" w:space="0" w:color="auto"/>
              <w:bottom w:val="single" w:sz="4" w:space="0" w:color="auto"/>
              <w:right w:val="single" w:sz="4" w:space="0" w:color="auto"/>
            </w:tcBorders>
            <w:vAlign w:val="center"/>
            <w:hideMark/>
          </w:tcPr>
          <w:p w14:paraId="1CFC784D"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R$ 28.462,14</w:t>
            </w:r>
          </w:p>
        </w:tc>
      </w:tr>
      <w:tr w:rsidR="00CF7ABE" w:rsidRPr="00B74E01" w14:paraId="410A0778" w14:textId="77777777" w:rsidTr="00671A31">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3CA0F95F"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Engenheiro — Eng. Eletricista</w:t>
            </w:r>
          </w:p>
        </w:tc>
        <w:tc>
          <w:tcPr>
            <w:tcW w:w="0" w:type="auto"/>
            <w:tcBorders>
              <w:top w:val="single" w:sz="4" w:space="0" w:color="auto"/>
              <w:left w:val="single" w:sz="4" w:space="0" w:color="auto"/>
              <w:bottom w:val="single" w:sz="4" w:space="0" w:color="auto"/>
              <w:right w:val="single" w:sz="4" w:space="0" w:color="auto"/>
            </w:tcBorders>
            <w:vAlign w:val="center"/>
            <w:hideMark/>
          </w:tcPr>
          <w:p w14:paraId="068B7759"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1</w:t>
            </w:r>
          </w:p>
        </w:tc>
        <w:tc>
          <w:tcPr>
            <w:tcW w:w="0" w:type="auto"/>
            <w:tcBorders>
              <w:top w:val="single" w:sz="4" w:space="0" w:color="auto"/>
              <w:left w:val="single" w:sz="4" w:space="0" w:color="auto"/>
              <w:bottom w:val="single" w:sz="4" w:space="0" w:color="auto"/>
              <w:right w:val="single" w:sz="4" w:space="0" w:color="auto"/>
            </w:tcBorders>
            <w:vAlign w:val="center"/>
            <w:hideMark/>
          </w:tcPr>
          <w:p w14:paraId="2F6E4FE6"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R$ 17.719,08</w:t>
            </w:r>
          </w:p>
        </w:tc>
        <w:tc>
          <w:tcPr>
            <w:tcW w:w="0" w:type="auto"/>
            <w:tcBorders>
              <w:top w:val="single" w:sz="4" w:space="0" w:color="auto"/>
              <w:left w:val="single" w:sz="4" w:space="0" w:color="auto"/>
              <w:bottom w:val="single" w:sz="4" w:space="0" w:color="auto"/>
              <w:right w:val="single" w:sz="4" w:space="0" w:color="auto"/>
            </w:tcBorders>
            <w:vAlign w:val="center"/>
            <w:hideMark/>
          </w:tcPr>
          <w:p w14:paraId="35FBF7BB"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R$ 17.719,08</w:t>
            </w:r>
          </w:p>
        </w:tc>
        <w:tc>
          <w:tcPr>
            <w:tcW w:w="0" w:type="auto"/>
            <w:tcBorders>
              <w:top w:val="single" w:sz="4" w:space="0" w:color="auto"/>
              <w:left w:val="single" w:sz="4" w:space="0" w:color="auto"/>
              <w:bottom w:val="single" w:sz="4" w:space="0" w:color="auto"/>
              <w:right w:val="single" w:sz="4" w:space="0" w:color="auto"/>
            </w:tcBorders>
            <w:vAlign w:val="center"/>
            <w:hideMark/>
          </w:tcPr>
          <w:p w14:paraId="1E5B9E39"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R$ 0,00</w:t>
            </w:r>
          </w:p>
        </w:tc>
        <w:tc>
          <w:tcPr>
            <w:tcW w:w="0" w:type="auto"/>
            <w:tcBorders>
              <w:top w:val="single" w:sz="4" w:space="0" w:color="auto"/>
              <w:left w:val="single" w:sz="4" w:space="0" w:color="auto"/>
              <w:bottom w:val="single" w:sz="4" w:space="0" w:color="auto"/>
              <w:right w:val="single" w:sz="4" w:space="0" w:color="auto"/>
            </w:tcBorders>
            <w:vAlign w:val="center"/>
            <w:hideMark/>
          </w:tcPr>
          <w:p w14:paraId="3BD1A9A7"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R$ 5.315,72</w:t>
            </w:r>
          </w:p>
        </w:tc>
        <w:tc>
          <w:tcPr>
            <w:tcW w:w="0" w:type="auto"/>
            <w:tcBorders>
              <w:top w:val="single" w:sz="4" w:space="0" w:color="auto"/>
              <w:left w:val="single" w:sz="4" w:space="0" w:color="auto"/>
              <w:bottom w:val="single" w:sz="4" w:space="0" w:color="auto"/>
              <w:right w:val="single" w:sz="4" w:space="0" w:color="auto"/>
            </w:tcBorders>
            <w:vAlign w:val="center"/>
            <w:hideMark/>
          </w:tcPr>
          <w:p w14:paraId="7566474D"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R$ 10.826,36</w:t>
            </w:r>
          </w:p>
        </w:tc>
        <w:tc>
          <w:tcPr>
            <w:tcW w:w="0" w:type="auto"/>
            <w:tcBorders>
              <w:top w:val="single" w:sz="4" w:space="0" w:color="auto"/>
              <w:left w:val="single" w:sz="4" w:space="0" w:color="auto"/>
              <w:bottom w:val="single" w:sz="4" w:space="0" w:color="auto"/>
              <w:right w:val="single" w:sz="4" w:space="0" w:color="auto"/>
            </w:tcBorders>
            <w:vAlign w:val="center"/>
            <w:hideMark/>
          </w:tcPr>
          <w:p w14:paraId="6FCA5ACB"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R$ 33.861,16</w:t>
            </w:r>
          </w:p>
        </w:tc>
      </w:tr>
      <w:tr w:rsidR="00CF7ABE" w:rsidRPr="00B74E01" w14:paraId="5F54635F" w14:textId="77777777" w:rsidTr="00671A31">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38CD6BD3"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Auxiliar Administrativo</w:t>
            </w:r>
          </w:p>
        </w:tc>
        <w:tc>
          <w:tcPr>
            <w:tcW w:w="0" w:type="auto"/>
            <w:tcBorders>
              <w:top w:val="single" w:sz="4" w:space="0" w:color="auto"/>
              <w:left w:val="single" w:sz="4" w:space="0" w:color="auto"/>
              <w:bottom w:val="single" w:sz="4" w:space="0" w:color="auto"/>
              <w:right w:val="single" w:sz="4" w:space="0" w:color="auto"/>
            </w:tcBorders>
            <w:vAlign w:val="center"/>
            <w:hideMark/>
          </w:tcPr>
          <w:p w14:paraId="3BAE4057"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1</w:t>
            </w:r>
          </w:p>
        </w:tc>
        <w:tc>
          <w:tcPr>
            <w:tcW w:w="0" w:type="auto"/>
            <w:tcBorders>
              <w:top w:val="single" w:sz="4" w:space="0" w:color="auto"/>
              <w:left w:val="single" w:sz="4" w:space="0" w:color="auto"/>
              <w:bottom w:val="single" w:sz="4" w:space="0" w:color="auto"/>
              <w:right w:val="single" w:sz="4" w:space="0" w:color="auto"/>
            </w:tcBorders>
            <w:vAlign w:val="center"/>
            <w:hideMark/>
          </w:tcPr>
          <w:p w14:paraId="26E71669"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R$ 2.000,00</w:t>
            </w:r>
          </w:p>
        </w:tc>
        <w:tc>
          <w:tcPr>
            <w:tcW w:w="0" w:type="auto"/>
            <w:tcBorders>
              <w:top w:val="single" w:sz="4" w:space="0" w:color="auto"/>
              <w:left w:val="single" w:sz="4" w:space="0" w:color="auto"/>
              <w:bottom w:val="single" w:sz="4" w:space="0" w:color="auto"/>
              <w:right w:val="single" w:sz="4" w:space="0" w:color="auto"/>
            </w:tcBorders>
            <w:vAlign w:val="center"/>
            <w:hideMark/>
          </w:tcPr>
          <w:p w14:paraId="0A537498"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R$ 2.000,00</w:t>
            </w:r>
          </w:p>
        </w:tc>
        <w:tc>
          <w:tcPr>
            <w:tcW w:w="0" w:type="auto"/>
            <w:tcBorders>
              <w:top w:val="single" w:sz="4" w:space="0" w:color="auto"/>
              <w:left w:val="single" w:sz="4" w:space="0" w:color="auto"/>
              <w:bottom w:val="single" w:sz="4" w:space="0" w:color="auto"/>
              <w:right w:val="single" w:sz="4" w:space="0" w:color="auto"/>
            </w:tcBorders>
            <w:vAlign w:val="center"/>
            <w:hideMark/>
          </w:tcPr>
          <w:p w14:paraId="3EAC9268"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R$ 400,00</w:t>
            </w:r>
          </w:p>
        </w:tc>
        <w:tc>
          <w:tcPr>
            <w:tcW w:w="0" w:type="auto"/>
            <w:tcBorders>
              <w:top w:val="single" w:sz="4" w:space="0" w:color="auto"/>
              <w:left w:val="single" w:sz="4" w:space="0" w:color="auto"/>
              <w:bottom w:val="single" w:sz="4" w:space="0" w:color="auto"/>
              <w:right w:val="single" w:sz="4" w:space="0" w:color="auto"/>
            </w:tcBorders>
            <w:vAlign w:val="center"/>
            <w:hideMark/>
          </w:tcPr>
          <w:p w14:paraId="7D79798B"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R$ 600,00</w:t>
            </w:r>
          </w:p>
        </w:tc>
        <w:tc>
          <w:tcPr>
            <w:tcW w:w="0" w:type="auto"/>
            <w:tcBorders>
              <w:top w:val="single" w:sz="4" w:space="0" w:color="auto"/>
              <w:left w:val="single" w:sz="4" w:space="0" w:color="auto"/>
              <w:bottom w:val="single" w:sz="4" w:space="0" w:color="auto"/>
              <w:right w:val="single" w:sz="4" w:space="0" w:color="auto"/>
            </w:tcBorders>
            <w:vAlign w:val="center"/>
            <w:hideMark/>
          </w:tcPr>
          <w:p w14:paraId="3838BA90"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R$ 1.410,00</w:t>
            </w:r>
          </w:p>
        </w:tc>
        <w:tc>
          <w:tcPr>
            <w:tcW w:w="0" w:type="auto"/>
            <w:tcBorders>
              <w:top w:val="single" w:sz="4" w:space="0" w:color="auto"/>
              <w:left w:val="single" w:sz="4" w:space="0" w:color="auto"/>
              <w:bottom w:val="single" w:sz="4" w:space="0" w:color="auto"/>
              <w:right w:val="single" w:sz="4" w:space="0" w:color="auto"/>
            </w:tcBorders>
            <w:vAlign w:val="center"/>
            <w:hideMark/>
          </w:tcPr>
          <w:p w14:paraId="735A03E5"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R$ 4.410,00</w:t>
            </w:r>
          </w:p>
        </w:tc>
      </w:tr>
      <w:tr w:rsidR="00CF7ABE" w:rsidRPr="00B74E01" w14:paraId="12AE2733" w14:textId="77777777" w:rsidTr="00671A31">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43752507"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Auxiliar Pessoal</w:t>
            </w:r>
          </w:p>
        </w:tc>
        <w:tc>
          <w:tcPr>
            <w:tcW w:w="0" w:type="auto"/>
            <w:tcBorders>
              <w:top w:val="single" w:sz="4" w:space="0" w:color="auto"/>
              <w:left w:val="single" w:sz="4" w:space="0" w:color="auto"/>
              <w:bottom w:val="single" w:sz="4" w:space="0" w:color="auto"/>
              <w:right w:val="single" w:sz="4" w:space="0" w:color="auto"/>
            </w:tcBorders>
            <w:vAlign w:val="center"/>
            <w:hideMark/>
          </w:tcPr>
          <w:p w14:paraId="001A5E81"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1</w:t>
            </w:r>
          </w:p>
        </w:tc>
        <w:tc>
          <w:tcPr>
            <w:tcW w:w="0" w:type="auto"/>
            <w:tcBorders>
              <w:top w:val="single" w:sz="4" w:space="0" w:color="auto"/>
              <w:left w:val="single" w:sz="4" w:space="0" w:color="auto"/>
              <w:bottom w:val="single" w:sz="4" w:space="0" w:color="auto"/>
              <w:right w:val="single" w:sz="4" w:space="0" w:color="auto"/>
            </w:tcBorders>
            <w:vAlign w:val="center"/>
            <w:hideMark/>
          </w:tcPr>
          <w:p w14:paraId="0EA82FFE"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R$ 2.000,00</w:t>
            </w:r>
          </w:p>
        </w:tc>
        <w:tc>
          <w:tcPr>
            <w:tcW w:w="0" w:type="auto"/>
            <w:tcBorders>
              <w:top w:val="single" w:sz="4" w:space="0" w:color="auto"/>
              <w:left w:val="single" w:sz="4" w:space="0" w:color="auto"/>
              <w:bottom w:val="single" w:sz="4" w:space="0" w:color="auto"/>
              <w:right w:val="single" w:sz="4" w:space="0" w:color="auto"/>
            </w:tcBorders>
            <w:vAlign w:val="center"/>
            <w:hideMark/>
          </w:tcPr>
          <w:p w14:paraId="6545CE6F"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R$ 2.000,00</w:t>
            </w:r>
          </w:p>
        </w:tc>
        <w:tc>
          <w:tcPr>
            <w:tcW w:w="0" w:type="auto"/>
            <w:tcBorders>
              <w:top w:val="single" w:sz="4" w:space="0" w:color="auto"/>
              <w:left w:val="single" w:sz="4" w:space="0" w:color="auto"/>
              <w:bottom w:val="single" w:sz="4" w:space="0" w:color="auto"/>
              <w:right w:val="single" w:sz="4" w:space="0" w:color="auto"/>
            </w:tcBorders>
            <w:vAlign w:val="center"/>
            <w:hideMark/>
          </w:tcPr>
          <w:p w14:paraId="420D5225"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R$ 400,00</w:t>
            </w:r>
          </w:p>
        </w:tc>
        <w:tc>
          <w:tcPr>
            <w:tcW w:w="0" w:type="auto"/>
            <w:tcBorders>
              <w:top w:val="single" w:sz="4" w:space="0" w:color="auto"/>
              <w:left w:val="single" w:sz="4" w:space="0" w:color="auto"/>
              <w:bottom w:val="single" w:sz="4" w:space="0" w:color="auto"/>
              <w:right w:val="single" w:sz="4" w:space="0" w:color="auto"/>
            </w:tcBorders>
            <w:vAlign w:val="center"/>
            <w:hideMark/>
          </w:tcPr>
          <w:p w14:paraId="14152EFC"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R$ 600,00</w:t>
            </w:r>
          </w:p>
        </w:tc>
        <w:tc>
          <w:tcPr>
            <w:tcW w:w="0" w:type="auto"/>
            <w:tcBorders>
              <w:top w:val="single" w:sz="4" w:space="0" w:color="auto"/>
              <w:left w:val="single" w:sz="4" w:space="0" w:color="auto"/>
              <w:bottom w:val="single" w:sz="4" w:space="0" w:color="auto"/>
              <w:right w:val="single" w:sz="4" w:space="0" w:color="auto"/>
            </w:tcBorders>
            <w:vAlign w:val="center"/>
            <w:hideMark/>
          </w:tcPr>
          <w:p w14:paraId="0BB82F59"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R$ 1.410,00</w:t>
            </w:r>
          </w:p>
        </w:tc>
        <w:tc>
          <w:tcPr>
            <w:tcW w:w="0" w:type="auto"/>
            <w:tcBorders>
              <w:top w:val="single" w:sz="4" w:space="0" w:color="auto"/>
              <w:left w:val="single" w:sz="4" w:space="0" w:color="auto"/>
              <w:bottom w:val="single" w:sz="4" w:space="0" w:color="auto"/>
              <w:right w:val="single" w:sz="4" w:space="0" w:color="auto"/>
            </w:tcBorders>
            <w:vAlign w:val="center"/>
            <w:hideMark/>
          </w:tcPr>
          <w:p w14:paraId="33FD2CD8"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R$ 4.410,00</w:t>
            </w:r>
          </w:p>
        </w:tc>
      </w:tr>
      <w:tr w:rsidR="00CF7ABE" w:rsidRPr="00B74E01" w14:paraId="4AA1000E" w14:textId="77777777" w:rsidTr="00671A31">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3E228301"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lastRenderedPageBreak/>
              <w:t>Técnico de Manutenção</w:t>
            </w:r>
          </w:p>
        </w:tc>
        <w:tc>
          <w:tcPr>
            <w:tcW w:w="0" w:type="auto"/>
            <w:tcBorders>
              <w:top w:val="single" w:sz="4" w:space="0" w:color="auto"/>
              <w:left w:val="single" w:sz="4" w:space="0" w:color="auto"/>
              <w:bottom w:val="single" w:sz="4" w:space="0" w:color="auto"/>
              <w:right w:val="single" w:sz="4" w:space="0" w:color="auto"/>
            </w:tcBorders>
            <w:vAlign w:val="center"/>
            <w:hideMark/>
          </w:tcPr>
          <w:p w14:paraId="4D088F09"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2</w:t>
            </w:r>
          </w:p>
        </w:tc>
        <w:tc>
          <w:tcPr>
            <w:tcW w:w="0" w:type="auto"/>
            <w:tcBorders>
              <w:top w:val="single" w:sz="4" w:space="0" w:color="auto"/>
              <w:left w:val="single" w:sz="4" w:space="0" w:color="auto"/>
              <w:bottom w:val="single" w:sz="4" w:space="0" w:color="auto"/>
              <w:right w:val="single" w:sz="4" w:space="0" w:color="auto"/>
            </w:tcBorders>
            <w:vAlign w:val="center"/>
            <w:hideMark/>
          </w:tcPr>
          <w:p w14:paraId="5C6425A8"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R$ 5.136,57</w:t>
            </w:r>
          </w:p>
        </w:tc>
        <w:tc>
          <w:tcPr>
            <w:tcW w:w="0" w:type="auto"/>
            <w:tcBorders>
              <w:top w:val="single" w:sz="4" w:space="0" w:color="auto"/>
              <w:left w:val="single" w:sz="4" w:space="0" w:color="auto"/>
              <w:bottom w:val="single" w:sz="4" w:space="0" w:color="auto"/>
              <w:right w:val="single" w:sz="4" w:space="0" w:color="auto"/>
            </w:tcBorders>
            <w:vAlign w:val="center"/>
            <w:hideMark/>
          </w:tcPr>
          <w:p w14:paraId="090592A0"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R$ 10.273,14</w:t>
            </w:r>
          </w:p>
        </w:tc>
        <w:tc>
          <w:tcPr>
            <w:tcW w:w="0" w:type="auto"/>
            <w:tcBorders>
              <w:top w:val="single" w:sz="4" w:space="0" w:color="auto"/>
              <w:left w:val="single" w:sz="4" w:space="0" w:color="auto"/>
              <w:bottom w:val="single" w:sz="4" w:space="0" w:color="auto"/>
              <w:right w:val="single" w:sz="4" w:space="0" w:color="auto"/>
            </w:tcBorders>
            <w:vAlign w:val="center"/>
            <w:hideMark/>
          </w:tcPr>
          <w:p w14:paraId="35D6A984"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R$ 2.054,63</w:t>
            </w:r>
          </w:p>
        </w:tc>
        <w:tc>
          <w:tcPr>
            <w:tcW w:w="0" w:type="auto"/>
            <w:tcBorders>
              <w:top w:val="single" w:sz="4" w:space="0" w:color="auto"/>
              <w:left w:val="single" w:sz="4" w:space="0" w:color="auto"/>
              <w:bottom w:val="single" w:sz="4" w:space="0" w:color="auto"/>
              <w:right w:val="single" w:sz="4" w:space="0" w:color="auto"/>
            </w:tcBorders>
            <w:vAlign w:val="center"/>
            <w:hideMark/>
          </w:tcPr>
          <w:p w14:paraId="0731F8EF"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R$ 3.081,94</w:t>
            </w:r>
          </w:p>
        </w:tc>
        <w:tc>
          <w:tcPr>
            <w:tcW w:w="0" w:type="auto"/>
            <w:tcBorders>
              <w:top w:val="single" w:sz="4" w:space="0" w:color="auto"/>
              <w:left w:val="single" w:sz="4" w:space="0" w:color="auto"/>
              <w:bottom w:val="single" w:sz="4" w:space="0" w:color="auto"/>
              <w:right w:val="single" w:sz="4" w:space="0" w:color="auto"/>
            </w:tcBorders>
            <w:vAlign w:val="center"/>
            <w:hideMark/>
          </w:tcPr>
          <w:p w14:paraId="2327A358"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R$ 4.828,38</w:t>
            </w:r>
          </w:p>
        </w:tc>
        <w:tc>
          <w:tcPr>
            <w:tcW w:w="0" w:type="auto"/>
            <w:tcBorders>
              <w:top w:val="single" w:sz="4" w:space="0" w:color="auto"/>
              <w:left w:val="single" w:sz="4" w:space="0" w:color="auto"/>
              <w:bottom w:val="single" w:sz="4" w:space="0" w:color="auto"/>
              <w:right w:val="single" w:sz="4" w:space="0" w:color="auto"/>
            </w:tcBorders>
            <w:vAlign w:val="center"/>
            <w:hideMark/>
          </w:tcPr>
          <w:p w14:paraId="42B23B7D"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R$ 20.238,09</w:t>
            </w:r>
          </w:p>
        </w:tc>
      </w:tr>
      <w:tr w:rsidR="00CF7ABE" w:rsidRPr="00B74E01" w14:paraId="01A7E975" w14:textId="77777777" w:rsidTr="00671A31">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1D8BE42B"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Técnico de Segurança</w:t>
            </w:r>
          </w:p>
        </w:tc>
        <w:tc>
          <w:tcPr>
            <w:tcW w:w="0" w:type="auto"/>
            <w:tcBorders>
              <w:top w:val="single" w:sz="4" w:space="0" w:color="auto"/>
              <w:left w:val="single" w:sz="4" w:space="0" w:color="auto"/>
              <w:bottom w:val="single" w:sz="4" w:space="0" w:color="auto"/>
              <w:right w:val="single" w:sz="4" w:space="0" w:color="auto"/>
            </w:tcBorders>
            <w:vAlign w:val="center"/>
            <w:hideMark/>
          </w:tcPr>
          <w:p w14:paraId="1ABCF940"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1</w:t>
            </w:r>
          </w:p>
        </w:tc>
        <w:tc>
          <w:tcPr>
            <w:tcW w:w="0" w:type="auto"/>
            <w:tcBorders>
              <w:top w:val="single" w:sz="4" w:space="0" w:color="auto"/>
              <w:left w:val="single" w:sz="4" w:space="0" w:color="auto"/>
              <w:bottom w:val="single" w:sz="4" w:space="0" w:color="auto"/>
              <w:right w:val="single" w:sz="4" w:space="0" w:color="auto"/>
            </w:tcBorders>
            <w:vAlign w:val="center"/>
            <w:hideMark/>
          </w:tcPr>
          <w:p w14:paraId="5EB2C57E"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R$ 6.740,00</w:t>
            </w:r>
          </w:p>
        </w:tc>
        <w:tc>
          <w:tcPr>
            <w:tcW w:w="0" w:type="auto"/>
            <w:tcBorders>
              <w:top w:val="single" w:sz="4" w:space="0" w:color="auto"/>
              <w:left w:val="single" w:sz="4" w:space="0" w:color="auto"/>
              <w:bottom w:val="single" w:sz="4" w:space="0" w:color="auto"/>
              <w:right w:val="single" w:sz="4" w:space="0" w:color="auto"/>
            </w:tcBorders>
            <w:vAlign w:val="center"/>
            <w:hideMark/>
          </w:tcPr>
          <w:p w14:paraId="0B4F6A4A"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R$ 6.740,00</w:t>
            </w:r>
          </w:p>
        </w:tc>
        <w:tc>
          <w:tcPr>
            <w:tcW w:w="0" w:type="auto"/>
            <w:tcBorders>
              <w:top w:val="single" w:sz="4" w:space="0" w:color="auto"/>
              <w:left w:val="single" w:sz="4" w:space="0" w:color="auto"/>
              <w:bottom w:val="single" w:sz="4" w:space="0" w:color="auto"/>
              <w:right w:val="single" w:sz="4" w:space="0" w:color="auto"/>
            </w:tcBorders>
            <w:vAlign w:val="center"/>
            <w:hideMark/>
          </w:tcPr>
          <w:p w14:paraId="00AD4180"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R$ 1.348,00</w:t>
            </w:r>
          </w:p>
        </w:tc>
        <w:tc>
          <w:tcPr>
            <w:tcW w:w="0" w:type="auto"/>
            <w:tcBorders>
              <w:top w:val="single" w:sz="4" w:space="0" w:color="auto"/>
              <w:left w:val="single" w:sz="4" w:space="0" w:color="auto"/>
              <w:bottom w:val="single" w:sz="4" w:space="0" w:color="auto"/>
              <w:right w:val="single" w:sz="4" w:space="0" w:color="auto"/>
            </w:tcBorders>
            <w:vAlign w:val="center"/>
            <w:hideMark/>
          </w:tcPr>
          <w:p w14:paraId="11B669D9"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R$ 2.022,00</w:t>
            </w:r>
          </w:p>
        </w:tc>
        <w:tc>
          <w:tcPr>
            <w:tcW w:w="0" w:type="auto"/>
            <w:tcBorders>
              <w:top w:val="single" w:sz="4" w:space="0" w:color="auto"/>
              <w:left w:val="single" w:sz="4" w:space="0" w:color="auto"/>
              <w:bottom w:val="single" w:sz="4" w:space="0" w:color="auto"/>
              <w:right w:val="single" w:sz="4" w:space="0" w:color="auto"/>
            </w:tcBorders>
            <w:vAlign w:val="center"/>
            <w:hideMark/>
          </w:tcPr>
          <w:p w14:paraId="1E0772F7"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R$ 4.751,70</w:t>
            </w:r>
          </w:p>
        </w:tc>
        <w:tc>
          <w:tcPr>
            <w:tcW w:w="0" w:type="auto"/>
            <w:tcBorders>
              <w:top w:val="single" w:sz="4" w:space="0" w:color="auto"/>
              <w:left w:val="single" w:sz="4" w:space="0" w:color="auto"/>
              <w:bottom w:val="single" w:sz="4" w:space="0" w:color="auto"/>
              <w:right w:val="single" w:sz="4" w:space="0" w:color="auto"/>
            </w:tcBorders>
            <w:vAlign w:val="center"/>
            <w:hideMark/>
          </w:tcPr>
          <w:p w14:paraId="1ED23780"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R$ 14.861,70</w:t>
            </w:r>
          </w:p>
        </w:tc>
      </w:tr>
      <w:tr w:rsidR="00CF7ABE" w:rsidRPr="00B74E01" w14:paraId="6BED5F9C" w14:textId="77777777" w:rsidTr="00671A31">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21B3CEF6"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Operador de Instalação de Produção de Energia Elétrica</w:t>
            </w:r>
          </w:p>
        </w:tc>
        <w:tc>
          <w:tcPr>
            <w:tcW w:w="0" w:type="auto"/>
            <w:tcBorders>
              <w:top w:val="single" w:sz="4" w:space="0" w:color="auto"/>
              <w:left w:val="single" w:sz="4" w:space="0" w:color="auto"/>
              <w:bottom w:val="single" w:sz="4" w:space="0" w:color="auto"/>
              <w:right w:val="single" w:sz="4" w:space="0" w:color="auto"/>
            </w:tcBorders>
            <w:vAlign w:val="center"/>
            <w:hideMark/>
          </w:tcPr>
          <w:p w14:paraId="0A177DF7"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5</w:t>
            </w:r>
          </w:p>
        </w:tc>
        <w:tc>
          <w:tcPr>
            <w:tcW w:w="0" w:type="auto"/>
            <w:tcBorders>
              <w:top w:val="single" w:sz="4" w:space="0" w:color="auto"/>
              <w:left w:val="single" w:sz="4" w:space="0" w:color="auto"/>
              <w:bottom w:val="single" w:sz="4" w:space="0" w:color="auto"/>
              <w:right w:val="single" w:sz="4" w:space="0" w:color="auto"/>
            </w:tcBorders>
            <w:vAlign w:val="center"/>
            <w:hideMark/>
          </w:tcPr>
          <w:p w14:paraId="424811BF"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R$ 4.044,50</w:t>
            </w:r>
          </w:p>
        </w:tc>
        <w:tc>
          <w:tcPr>
            <w:tcW w:w="0" w:type="auto"/>
            <w:tcBorders>
              <w:top w:val="single" w:sz="4" w:space="0" w:color="auto"/>
              <w:left w:val="single" w:sz="4" w:space="0" w:color="auto"/>
              <w:bottom w:val="single" w:sz="4" w:space="0" w:color="auto"/>
              <w:right w:val="single" w:sz="4" w:space="0" w:color="auto"/>
            </w:tcBorders>
            <w:vAlign w:val="center"/>
            <w:hideMark/>
          </w:tcPr>
          <w:p w14:paraId="61DD9BE2"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R$ 20.222,50</w:t>
            </w:r>
          </w:p>
        </w:tc>
        <w:tc>
          <w:tcPr>
            <w:tcW w:w="0" w:type="auto"/>
            <w:tcBorders>
              <w:top w:val="single" w:sz="4" w:space="0" w:color="auto"/>
              <w:left w:val="single" w:sz="4" w:space="0" w:color="auto"/>
              <w:bottom w:val="single" w:sz="4" w:space="0" w:color="auto"/>
              <w:right w:val="single" w:sz="4" w:space="0" w:color="auto"/>
            </w:tcBorders>
            <w:vAlign w:val="center"/>
            <w:hideMark/>
          </w:tcPr>
          <w:p w14:paraId="0DB22298"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R$ 4.044,50</w:t>
            </w:r>
          </w:p>
        </w:tc>
        <w:tc>
          <w:tcPr>
            <w:tcW w:w="0" w:type="auto"/>
            <w:tcBorders>
              <w:top w:val="single" w:sz="4" w:space="0" w:color="auto"/>
              <w:left w:val="single" w:sz="4" w:space="0" w:color="auto"/>
              <w:bottom w:val="single" w:sz="4" w:space="0" w:color="auto"/>
              <w:right w:val="single" w:sz="4" w:space="0" w:color="auto"/>
            </w:tcBorders>
            <w:vAlign w:val="center"/>
            <w:hideMark/>
          </w:tcPr>
          <w:p w14:paraId="05E5CD81"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R$ 6.066,75</w:t>
            </w:r>
          </w:p>
        </w:tc>
        <w:tc>
          <w:tcPr>
            <w:tcW w:w="0" w:type="auto"/>
            <w:tcBorders>
              <w:top w:val="single" w:sz="4" w:space="0" w:color="auto"/>
              <w:left w:val="single" w:sz="4" w:space="0" w:color="auto"/>
              <w:bottom w:val="single" w:sz="4" w:space="0" w:color="auto"/>
              <w:right w:val="single" w:sz="4" w:space="0" w:color="auto"/>
            </w:tcBorders>
            <w:vAlign w:val="center"/>
            <w:hideMark/>
          </w:tcPr>
          <w:p w14:paraId="5C098EC0"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R$ 6.653,20</w:t>
            </w:r>
          </w:p>
        </w:tc>
        <w:tc>
          <w:tcPr>
            <w:tcW w:w="0" w:type="auto"/>
            <w:tcBorders>
              <w:top w:val="single" w:sz="4" w:space="0" w:color="auto"/>
              <w:left w:val="single" w:sz="4" w:space="0" w:color="auto"/>
              <w:bottom w:val="single" w:sz="4" w:space="0" w:color="auto"/>
              <w:right w:val="single" w:sz="4" w:space="0" w:color="auto"/>
            </w:tcBorders>
            <w:vAlign w:val="center"/>
            <w:hideMark/>
          </w:tcPr>
          <w:p w14:paraId="75B64120"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R$ 36.986,95</w:t>
            </w:r>
          </w:p>
        </w:tc>
      </w:tr>
      <w:tr w:rsidR="00CF7ABE" w:rsidRPr="00B74E01" w14:paraId="2A1F3C88" w14:textId="77777777" w:rsidTr="00671A31">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0C79CE99"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Operador de Máquinas</w:t>
            </w:r>
          </w:p>
        </w:tc>
        <w:tc>
          <w:tcPr>
            <w:tcW w:w="0" w:type="auto"/>
            <w:tcBorders>
              <w:top w:val="single" w:sz="4" w:space="0" w:color="auto"/>
              <w:left w:val="single" w:sz="4" w:space="0" w:color="auto"/>
              <w:bottom w:val="single" w:sz="4" w:space="0" w:color="auto"/>
              <w:right w:val="single" w:sz="4" w:space="0" w:color="auto"/>
            </w:tcBorders>
            <w:vAlign w:val="center"/>
            <w:hideMark/>
          </w:tcPr>
          <w:p w14:paraId="37F77EDA"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5</w:t>
            </w:r>
          </w:p>
        </w:tc>
        <w:tc>
          <w:tcPr>
            <w:tcW w:w="0" w:type="auto"/>
            <w:tcBorders>
              <w:top w:val="single" w:sz="4" w:space="0" w:color="auto"/>
              <w:left w:val="single" w:sz="4" w:space="0" w:color="auto"/>
              <w:bottom w:val="single" w:sz="4" w:space="0" w:color="auto"/>
              <w:right w:val="single" w:sz="4" w:space="0" w:color="auto"/>
            </w:tcBorders>
            <w:vAlign w:val="center"/>
            <w:hideMark/>
          </w:tcPr>
          <w:p w14:paraId="2CCA3EAC"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R$ 3.360,00</w:t>
            </w:r>
          </w:p>
        </w:tc>
        <w:tc>
          <w:tcPr>
            <w:tcW w:w="0" w:type="auto"/>
            <w:tcBorders>
              <w:top w:val="single" w:sz="4" w:space="0" w:color="auto"/>
              <w:left w:val="single" w:sz="4" w:space="0" w:color="auto"/>
              <w:bottom w:val="single" w:sz="4" w:space="0" w:color="auto"/>
              <w:right w:val="single" w:sz="4" w:space="0" w:color="auto"/>
            </w:tcBorders>
            <w:vAlign w:val="center"/>
            <w:hideMark/>
          </w:tcPr>
          <w:p w14:paraId="65D31F47"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R$ 16.800,00</w:t>
            </w:r>
          </w:p>
        </w:tc>
        <w:tc>
          <w:tcPr>
            <w:tcW w:w="0" w:type="auto"/>
            <w:tcBorders>
              <w:top w:val="single" w:sz="4" w:space="0" w:color="auto"/>
              <w:left w:val="single" w:sz="4" w:space="0" w:color="auto"/>
              <w:bottom w:val="single" w:sz="4" w:space="0" w:color="auto"/>
              <w:right w:val="single" w:sz="4" w:space="0" w:color="auto"/>
            </w:tcBorders>
            <w:vAlign w:val="center"/>
            <w:hideMark/>
          </w:tcPr>
          <w:p w14:paraId="6F63DBFA"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R$ 3.360,00</w:t>
            </w:r>
          </w:p>
        </w:tc>
        <w:tc>
          <w:tcPr>
            <w:tcW w:w="0" w:type="auto"/>
            <w:tcBorders>
              <w:top w:val="single" w:sz="4" w:space="0" w:color="auto"/>
              <w:left w:val="single" w:sz="4" w:space="0" w:color="auto"/>
              <w:bottom w:val="single" w:sz="4" w:space="0" w:color="auto"/>
              <w:right w:val="single" w:sz="4" w:space="0" w:color="auto"/>
            </w:tcBorders>
            <w:vAlign w:val="center"/>
            <w:hideMark/>
          </w:tcPr>
          <w:p w14:paraId="64FB0951"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R$ 5.040,00</w:t>
            </w:r>
          </w:p>
        </w:tc>
        <w:tc>
          <w:tcPr>
            <w:tcW w:w="0" w:type="auto"/>
            <w:tcBorders>
              <w:top w:val="single" w:sz="4" w:space="0" w:color="auto"/>
              <w:left w:val="single" w:sz="4" w:space="0" w:color="auto"/>
              <w:bottom w:val="single" w:sz="4" w:space="0" w:color="auto"/>
              <w:right w:val="single" w:sz="4" w:space="0" w:color="auto"/>
            </w:tcBorders>
            <w:vAlign w:val="center"/>
            <w:hideMark/>
          </w:tcPr>
          <w:p w14:paraId="0DA1603D"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R$ 5.527,20</w:t>
            </w:r>
          </w:p>
        </w:tc>
        <w:tc>
          <w:tcPr>
            <w:tcW w:w="0" w:type="auto"/>
            <w:tcBorders>
              <w:top w:val="single" w:sz="4" w:space="0" w:color="auto"/>
              <w:left w:val="single" w:sz="4" w:space="0" w:color="auto"/>
              <w:bottom w:val="single" w:sz="4" w:space="0" w:color="auto"/>
              <w:right w:val="single" w:sz="4" w:space="0" w:color="auto"/>
            </w:tcBorders>
            <w:vAlign w:val="center"/>
            <w:hideMark/>
          </w:tcPr>
          <w:p w14:paraId="02F5C8A6"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R$ 30.727,20</w:t>
            </w:r>
          </w:p>
        </w:tc>
      </w:tr>
      <w:tr w:rsidR="00CF7ABE" w:rsidRPr="00B74E01" w14:paraId="01647544" w14:textId="77777777" w:rsidTr="00671A31">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0B61F80A"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Auxiliar de Linha de Produção</w:t>
            </w:r>
          </w:p>
        </w:tc>
        <w:tc>
          <w:tcPr>
            <w:tcW w:w="0" w:type="auto"/>
            <w:tcBorders>
              <w:top w:val="single" w:sz="4" w:space="0" w:color="auto"/>
              <w:left w:val="single" w:sz="4" w:space="0" w:color="auto"/>
              <w:bottom w:val="single" w:sz="4" w:space="0" w:color="auto"/>
              <w:right w:val="single" w:sz="4" w:space="0" w:color="auto"/>
            </w:tcBorders>
            <w:vAlign w:val="center"/>
            <w:hideMark/>
          </w:tcPr>
          <w:p w14:paraId="48755ED1"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9</w:t>
            </w:r>
          </w:p>
        </w:tc>
        <w:tc>
          <w:tcPr>
            <w:tcW w:w="0" w:type="auto"/>
            <w:tcBorders>
              <w:top w:val="single" w:sz="4" w:space="0" w:color="auto"/>
              <w:left w:val="single" w:sz="4" w:space="0" w:color="auto"/>
              <w:bottom w:val="single" w:sz="4" w:space="0" w:color="auto"/>
              <w:right w:val="single" w:sz="4" w:space="0" w:color="auto"/>
            </w:tcBorders>
            <w:vAlign w:val="center"/>
            <w:hideMark/>
          </w:tcPr>
          <w:p w14:paraId="59C340D4"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R$ 2.000,00</w:t>
            </w:r>
          </w:p>
        </w:tc>
        <w:tc>
          <w:tcPr>
            <w:tcW w:w="0" w:type="auto"/>
            <w:tcBorders>
              <w:top w:val="single" w:sz="4" w:space="0" w:color="auto"/>
              <w:left w:val="single" w:sz="4" w:space="0" w:color="auto"/>
              <w:bottom w:val="single" w:sz="4" w:space="0" w:color="auto"/>
              <w:right w:val="single" w:sz="4" w:space="0" w:color="auto"/>
            </w:tcBorders>
            <w:vAlign w:val="center"/>
            <w:hideMark/>
          </w:tcPr>
          <w:p w14:paraId="329AFB1B"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R$ 18.000,00</w:t>
            </w:r>
          </w:p>
        </w:tc>
        <w:tc>
          <w:tcPr>
            <w:tcW w:w="0" w:type="auto"/>
            <w:tcBorders>
              <w:top w:val="single" w:sz="4" w:space="0" w:color="auto"/>
              <w:left w:val="single" w:sz="4" w:space="0" w:color="auto"/>
              <w:bottom w:val="single" w:sz="4" w:space="0" w:color="auto"/>
              <w:right w:val="single" w:sz="4" w:space="0" w:color="auto"/>
            </w:tcBorders>
            <w:vAlign w:val="center"/>
            <w:hideMark/>
          </w:tcPr>
          <w:p w14:paraId="7E9FF879"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R$ 3.600,00</w:t>
            </w:r>
          </w:p>
        </w:tc>
        <w:tc>
          <w:tcPr>
            <w:tcW w:w="0" w:type="auto"/>
            <w:tcBorders>
              <w:top w:val="single" w:sz="4" w:space="0" w:color="auto"/>
              <w:left w:val="single" w:sz="4" w:space="0" w:color="auto"/>
              <w:bottom w:val="single" w:sz="4" w:space="0" w:color="auto"/>
              <w:right w:val="single" w:sz="4" w:space="0" w:color="auto"/>
            </w:tcBorders>
            <w:vAlign w:val="center"/>
            <w:hideMark/>
          </w:tcPr>
          <w:p w14:paraId="5A0C269A"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R$ 5.400,00</w:t>
            </w:r>
          </w:p>
        </w:tc>
        <w:tc>
          <w:tcPr>
            <w:tcW w:w="0" w:type="auto"/>
            <w:tcBorders>
              <w:top w:val="single" w:sz="4" w:space="0" w:color="auto"/>
              <w:left w:val="single" w:sz="4" w:space="0" w:color="auto"/>
              <w:bottom w:val="single" w:sz="4" w:space="0" w:color="auto"/>
              <w:right w:val="single" w:sz="4" w:space="0" w:color="auto"/>
            </w:tcBorders>
            <w:vAlign w:val="center"/>
            <w:hideMark/>
          </w:tcPr>
          <w:p w14:paraId="1F31CA79"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R$ 5.170,00</w:t>
            </w:r>
          </w:p>
        </w:tc>
        <w:tc>
          <w:tcPr>
            <w:tcW w:w="0" w:type="auto"/>
            <w:tcBorders>
              <w:top w:val="single" w:sz="4" w:space="0" w:color="auto"/>
              <w:left w:val="single" w:sz="4" w:space="0" w:color="auto"/>
              <w:bottom w:val="single" w:sz="4" w:space="0" w:color="auto"/>
              <w:right w:val="single" w:sz="4" w:space="0" w:color="auto"/>
            </w:tcBorders>
            <w:vAlign w:val="center"/>
            <w:hideMark/>
          </w:tcPr>
          <w:p w14:paraId="54314658"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R$ 32.170,00</w:t>
            </w:r>
          </w:p>
        </w:tc>
      </w:tr>
      <w:tr w:rsidR="00CF7ABE" w:rsidRPr="00B74E01" w14:paraId="24237532" w14:textId="77777777" w:rsidTr="00671A31">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05F35646"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Serviços Gerais</w:t>
            </w:r>
          </w:p>
        </w:tc>
        <w:tc>
          <w:tcPr>
            <w:tcW w:w="0" w:type="auto"/>
            <w:tcBorders>
              <w:top w:val="single" w:sz="4" w:space="0" w:color="auto"/>
              <w:left w:val="single" w:sz="4" w:space="0" w:color="auto"/>
              <w:bottom w:val="single" w:sz="4" w:space="0" w:color="auto"/>
              <w:right w:val="single" w:sz="4" w:space="0" w:color="auto"/>
            </w:tcBorders>
            <w:vAlign w:val="center"/>
            <w:hideMark/>
          </w:tcPr>
          <w:p w14:paraId="6341611E"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4</w:t>
            </w:r>
          </w:p>
        </w:tc>
        <w:tc>
          <w:tcPr>
            <w:tcW w:w="0" w:type="auto"/>
            <w:tcBorders>
              <w:top w:val="single" w:sz="4" w:space="0" w:color="auto"/>
              <w:left w:val="single" w:sz="4" w:space="0" w:color="auto"/>
              <w:bottom w:val="single" w:sz="4" w:space="0" w:color="auto"/>
              <w:right w:val="single" w:sz="4" w:space="0" w:color="auto"/>
            </w:tcBorders>
            <w:vAlign w:val="center"/>
            <w:hideMark/>
          </w:tcPr>
          <w:p w14:paraId="5E37AF3F"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R$ 1.800,00</w:t>
            </w:r>
          </w:p>
        </w:tc>
        <w:tc>
          <w:tcPr>
            <w:tcW w:w="0" w:type="auto"/>
            <w:tcBorders>
              <w:top w:val="single" w:sz="4" w:space="0" w:color="auto"/>
              <w:left w:val="single" w:sz="4" w:space="0" w:color="auto"/>
              <w:bottom w:val="single" w:sz="4" w:space="0" w:color="auto"/>
              <w:right w:val="single" w:sz="4" w:space="0" w:color="auto"/>
            </w:tcBorders>
            <w:vAlign w:val="center"/>
            <w:hideMark/>
          </w:tcPr>
          <w:p w14:paraId="194ADB55"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R$ 7.200,00</w:t>
            </w:r>
          </w:p>
        </w:tc>
        <w:tc>
          <w:tcPr>
            <w:tcW w:w="0" w:type="auto"/>
            <w:tcBorders>
              <w:top w:val="single" w:sz="4" w:space="0" w:color="auto"/>
              <w:left w:val="single" w:sz="4" w:space="0" w:color="auto"/>
              <w:bottom w:val="single" w:sz="4" w:space="0" w:color="auto"/>
              <w:right w:val="single" w:sz="4" w:space="0" w:color="auto"/>
            </w:tcBorders>
            <w:vAlign w:val="center"/>
            <w:hideMark/>
          </w:tcPr>
          <w:p w14:paraId="67CCFE61"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R$ 1.440,00</w:t>
            </w:r>
          </w:p>
        </w:tc>
        <w:tc>
          <w:tcPr>
            <w:tcW w:w="0" w:type="auto"/>
            <w:tcBorders>
              <w:top w:val="single" w:sz="4" w:space="0" w:color="auto"/>
              <w:left w:val="single" w:sz="4" w:space="0" w:color="auto"/>
              <w:bottom w:val="single" w:sz="4" w:space="0" w:color="auto"/>
              <w:right w:val="single" w:sz="4" w:space="0" w:color="auto"/>
            </w:tcBorders>
            <w:vAlign w:val="center"/>
            <w:hideMark/>
          </w:tcPr>
          <w:p w14:paraId="3E47B969"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R$ 2.160,00</w:t>
            </w:r>
          </w:p>
        </w:tc>
        <w:tc>
          <w:tcPr>
            <w:tcW w:w="0" w:type="auto"/>
            <w:tcBorders>
              <w:top w:val="single" w:sz="4" w:space="0" w:color="auto"/>
              <w:left w:val="single" w:sz="4" w:space="0" w:color="auto"/>
              <w:bottom w:val="single" w:sz="4" w:space="0" w:color="auto"/>
              <w:right w:val="single" w:sz="4" w:space="0" w:color="auto"/>
            </w:tcBorders>
            <w:vAlign w:val="center"/>
            <w:hideMark/>
          </w:tcPr>
          <w:p w14:paraId="60A0D9BE"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R$ 2.538,00</w:t>
            </w:r>
          </w:p>
        </w:tc>
        <w:tc>
          <w:tcPr>
            <w:tcW w:w="0" w:type="auto"/>
            <w:tcBorders>
              <w:top w:val="single" w:sz="4" w:space="0" w:color="auto"/>
              <w:left w:val="single" w:sz="4" w:space="0" w:color="auto"/>
              <w:bottom w:val="single" w:sz="4" w:space="0" w:color="auto"/>
              <w:right w:val="single" w:sz="4" w:space="0" w:color="auto"/>
            </w:tcBorders>
            <w:vAlign w:val="center"/>
            <w:hideMark/>
          </w:tcPr>
          <w:p w14:paraId="15CE3DBF"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R$ 13.338,00</w:t>
            </w:r>
          </w:p>
        </w:tc>
      </w:tr>
      <w:tr w:rsidR="00CF7ABE" w:rsidRPr="00B74E01" w14:paraId="5E4469A5" w14:textId="77777777" w:rsidTr="00671A31">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7F53CA77"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Total mão de obra ativa</w:t>
            </w:r>
          </w:p>
        </w:tc>
        <w:tc>
          <w:tcPr>
            <w:tcW w:w="0" w:type="auto"/>
            <w:tcBorders>
              <w:top w:val="single" w:sz="4" w:space="0" w:color="auto"/>
              <w:left w:val="single" w:sz="4" w:space="0" w:color="auto"/>
              <w:bottom w:val="single" w:sz="4" w:space="0" w:color="auto"/>
              <w:right w:val="single" w:sz="4" w:space="0" w:color="auto"/>
            </w:tcBorders>
            <w:vAlign w:val="center"/>
            <w:hideMark/>
          </w:tcPr>
          <w:p w14:paraId="4C8B2620"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30</w:t>
            </w:r>
          </w:p>
        </w:tc>
        <w:tc>
          <w:tcPr>
            <w:tcW w:w="0" w:type="auto"/>
            <w:tcBorders>
              <w:top w:val="single" w:sz="4" w:space="0" w:color="auto"/>
              <w:left w:val="single" w:sz="4" w:space="0" w:color="auto"/>
              <w:bottom w:val="single" w:sz="4" w:space="0" w:color="auto"/>
              <w:right w:val="single" w:sz="4" w:space="0" w:color="auto"/>
            </w:tcBorders>
            <w:vAlign w:val="center"/>
            <w:hideMark/>
          </w:tcPr>
          <w:p w14:paraId="11426CE0" w14:textId="77777777" w:rsidR="00CF7ABE" w:rsidRPr="00B74E01" w:rsidRDefault="00CF7ABE" w:rsidP="00746B30">
            <w:pPr>
              <w:spacing w:after="0" w:line="360" w:lineRule="auto"/>
              <w:rPr>
                <w:rFonts w:eastAsia="Times New Roman" w:cs="Arial"/>
                <w:kern w:val="0"/>
                <w:lang w:eastAsia="pt-BR"/>
                <w14:ligatures w14:val="none"/>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3C577949"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R$ 120.316,72</w:t>
            </w:r>
          </w:p>
        </w:tc>
        <w:tc>
          <w:tcPr>
            <w:tcW w:w="0" w:type="auto"/>
            <w:tcBorders>
              <w:top w:val="single" w:sz="4" w:space="0" w:color="auto"/>
              <w:left w:val="single" w:sz="4" w:space="0" w:color="auto"/>
              <w:bottom w:val="single" w:sz="4" w:space="0" w:color="auto"/>
              <w:right w:val="single" w:sz="4" w:space="0" w:color="auto"/>
            </w:tcBorders>
            <w:vAlign w:val="center"/>
            <w:hideMark/>
          </w:tcPr>
          <w:p w14:paraId="02D4A9EF"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R$ 16.647,13</w:t>
            </w:r>
          </w:p>
        </w:tc>
        <w:tc>
          <w:tcPr>
            <w:tcW w:w="0" w:type="auto"/>
            <w:tcBorders>
              <w:top w:val="single" w:sz="4" w:space="0" w:color="auto"/>
              <w:left w:val="single" w:sz="4" w:space="0" w:color="auto"/>
              <w:bottom w:val="single" w:sz="4" w:space="0" w:color="auto"/>
              <w:right w:val="single" w:sz="4" w:space="0" w:color="auto"/>
            </w:tcBorders>
            <w:vAlign w:val="center"/>
            <w:hideMark/>
          </w:tcPr>
          <w:p w14:paraId="3387E315"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R$ 30.286,41</w:t>
            </w:r>
          </w:p>
        </w:tc>
        <w:tc>
          <w:tcPr>
            <w:tcW w:w="0" w:type="auto"/>
            <w:tcBorders>
              <w:top w:val="single" w:sz="4" w:space="0" w:color="auto"/>
              <w:left w:val="single" w:sz="4" w:space="0" w:color="auto"/>
              <w:bottom w:val="single" w:sz="4" w:space="0" w:color="auto"/>
              <w:right w:val="single" w:sz="4" w:space="0" w:color="auto"/>
            </w:tcBorders>
            <w:vAlign w:val="center"/>
            <w:hideMark/>
          </w:tcPr>
          <w:p w14:paraId="7F1F6B61"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R$ 52.214,98</w:t>
            </w:r>
          </w:p>
        </w:tc>
        <w:tc>
          <w:tcPr>
            <w:tcW w:w="0" w:type="auto"/>
            <w:tcBorders>
              <w:top w:val="single" w:sz="4" w:space="0" w:color="auto"/>
              <w:left w:val="single" w:sz="4" w:space="0" w:color="auto"/>
              <w:bottom w:val="single" w:sz="4" w:space="0" w:color="auto"/>
              <w:right w:val="single" w:sz="4" w:space="0" w:color="auto"/>
            </w:tcBorders>
            <w:vAlign w:val="center"/>
            <w:hideMark/>
          </w:tcPr>
          <w:p w14:paraId="73675568"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R$ 219.465,24</w:t>
            </w:r>
          </w:p>
        </w:tc>
      </w:tr>
    </w:tbl>
    <w:p w14:paraId="0195CA51"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composição considera equipe técnica, operacional, administrativa e de apoio, refletindo a natureza industrial da planta. A operação de uma unidade desse tipo exige pessoal qualificado, inclusive para manutenção, segurança, operação de máquinas, controle de produção e suporte administrativo.</w:t>
      </w:r>
    </w:p>
    <w:p w14:paraId="6A7F4410" w14:textId="1C1AC59C" w:rsidR="00CF7ABE" w:rsidRPr="00B74E01" w:rsidRDefault="00CF7ABE" w:rsidP="00B74E01">
      <w:pPr>
        <w:spacing w:after="0" w:line="360" w:lineRule="auto"/>
        <w:ind w:firstLine="709"/>
        <w:jc w:val="both"/>
        <w:rPr>
          <w:rFonts w:eastAsia="Times New Roman" w:cs="Arial"/>
          <w:kern w:val="0"/>
          <w:lang w:eastAsia="pt-BR"/>
          <w14:ligatures w14:val="none"/>
        </w:rPr>
      </w:pPr>
    </w:p>
    <w:p w14:paraId="2F631453" w14:textId="77777777" w:rsidR="00CF7ABE" w:rsidRPr="00B74E01" w:rsidRDefault="00CF7ABE" w:rsidP="00746B30">
      <w:pPr>
        <w:pStyle w:val="Ttulo2"/>
        <w:rPr>
          <w:rFonts w:eastAsia="Times New Roman"/>
          <w:lang w:eastAsia="pt-BR"/>
        </w:rPr>
      </w:pPr>
      <w:bookmarkStart w:id="79" w:name="_Toc230204081"/>
      <w:r w:rsidRPr="00B74E01">
        <w:rPr>
          <w:rFonts w:eastAsia="Times New Roman"/>
          <w:lang w:eastAsia="pt-BR"/>
        </w:rPr>
        <w:lastRenderedPageBreak/>
        <w:t>8.4. Leitura da estrutura de pessoal</w:t>
      </w:r>
      <w:bookmarkEnd w:id="79"/>
    </w:p>
    <w:p w14:paraId="070F726C"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estrutura de pessoal foi organizada para atender às necessidades mínimas de operação, segurança, supervisão técnica e continuidade do serviço.</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054"/>
        <w:gridCol w:w="3178"/>
        <w:gridCol w:w="3829"/>
      </w:tblGrid>
      <w:tr w:rsidR="00CF7ABE" w:rsidRPr="00B74E01" w14:paraId="2DB5B526" w14:textId="77777777" w:rsidTr="00671A31">
        <w:trPr>
          <w:tblHeader/>
          <w:tblCellSpacing w:w="15" w:type="dxa"/>
        </w:trPr>
        <w:tc>
          <w:tcPr>
            <w:tcW w:w="0" w:type="auto"/>
            <w:vAlign w:val="center"/>
            <w:hideMark/>
          </w:tcPr>
          <w:p w14:paraId="76A54A89" w14:textId="77777777" w:rsidR="00CF7ABE" w:rsidRPr="00B74E01" w:rsidRDefault="00CF7ABE" w:rsidP="00746B3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Grupo funcional</w:t>
            </w:r>
          </w:p>
        </w:tc>
        <w:tc>
          <w:tcPr>
            <w:tcW w:w="0" w:type="auto"/>
            <w:vAlign w:val="center"/>
            <w:hideMark/>
          </w:tcPr>
          <w:p w14:paraId="3E29578A" w14:textId="77777777" w:rsidR="00CF7ABE" w:rsidRPr="00B74E01" w:rsidRDefault="00CF7ABE" w:rsidP="00746B3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Cargos incluídos</w:t>
            </w:r>
          </w:p>
        </w:tc>
        <w:tc>
          <w:tcPr>
            <w:tcW w:w="0" w:type="auto"/>
            <w:vAlign w:val="center"/>
            <w:hideMark/>
          </w:tcPr>
          <w:p w14:paraId="53102704" w14:textId="77777777" w:rsidR="00CF7ABE" w:rsidRPr="00B74E01" w:rsidRDefault="00CF7ABE" w:rsidP="00746B3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Função na operação</w:t>
            </w:r>
          </w:p>
        </w:tc>
      </w:tr>
      <w:tr w:rsidR="00CF7ABE" w:rsidRPr="00B74E01" w14:paraId="60CB4E78" w14:textId="77777777" w:rsidTr="00671A31">
        <w:trPr>
          <w:tblCellSpacing w:w="15" w:type="dxa"/>
        </w:trPr>
        <w:tc>
          <w:tcPr>
            <w:tcW w:w="0" w:type="auto"/>
            <w:vAlign w:val="center"/>
            <w:hideMark/>
          </w:tcPr>
          <w:p w14:paraId="2EF32D7A"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Gestão técnica</w:t>
            </w:r>
          </w:p>
        </w:tc>
        <w:tc>
          <w:tcPr>
            <w:tcW w:w="0" w:type="auto"/>
            <w:vAlign w:val="center"/>
            <w:hideMark/>
          </w:tcPr>
          <w:p w14:paraId="42245D6A"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Gerente Geral e Engenheiro Eletricista</w:t>
            </w:r>
          </w:p>
        </w:tc>
        <w:tc>
          <w:tcPr>
            <w:tcW w:w="0" w:type="auto"/>
            <w:vAlign w:val="center"/>
            <w:hideMark/>
          </w:tcPr>
          <w:p w14:paraId="082078EA"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Coordenação técnica, supervisão, planejamento e controle</w:t>
            </w:r>
          </w:p>
        </w:tc>
      </w:tr>
      <w:tr w:rsidR="00CF7ABE" w:rsidRPr="00B74E01" w14:paraId="0E9921AD" w14:textId="77777777" w:rsidTr="00671A31">
        <w:trPr>
          <w:tblCellSpacing w:w="15" w:type="dxa"/>
        </w:trPr>
        <w:tc>
          <w:tcPr>
            <w:tcW w:w="0" w:type="auto"/>
            <w:vAlign w:val="center"/>
            <w:hideMark/>
          </w:tcPr>
          <w:p w14:paraId="728E4AE6"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Administração</w:t>
            </w:r>
          </w:p>
        </w:tc>
        <w:tc>
          <w:tcPr>
            <w:tcW w:w="0" w:type="auto"/>
            <w:vAlign w:val="center"/>
            <w:hideMark/>
          </w:tcPr>
          <w:p w14:paraId="57DC5CAE"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Auxiliar Administrativo e Auxiliar Pessoal</w:t>
            </w:r>
          </w:p>
        </w:tc>
        <w:tc>
          <w:tcPr>
            <w:tcW w:w="0" w:type="auto"/>
            <w:vAlign w:val="center"/>
            <w:hideMark/>
          </w:tcPr>
          <w:p w14:paraId="3BDC5441"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Rotinas administrativas, apoio documental e gestão de pessoal</w:t>
            </w:r>
          </w:p>
        </w:tc>
      </w:tr>
      <w:tr w:rsidR="00CF7ABE" w:rsidRPr="00B74E01" w14:paraId="54053807" w14:textId="77777777" w:rsidTr="00671A31">
        <w:trPr>
          <w:tblCellSpacing w:w="15" w:type="dxa"/>
        </w:trPr>
        <w:tc>
          <w:tcPr>
            <w:tcW w:w="0" w:type="auto"/>
            <w:vAlign w:val="center"/>
            <w:hideMark/>
          </w:tcPr>
          <w:p w14:paraId="23AD9815"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Manutenção e segurança</w:t>
            </w:r>
          </w:p>
        </w:tc>
        <w:tc>
          <w:tcPr>
            <w:tcW w:w="0" w:type="auto"/>
            <w:vAlign w:val="center"/>
            <w:hideMark/>
          </w:tcPr>
          <w:p w14:paraId="55B013E0"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Técnicos de Manutenção e Segurança</w:t>
            </w:r>
          </w:p>
        </w:tc>
        <w:tc>
          <w:tcPr>
            <w:tcW w:w="0" w:type="auto"/>
            <w:vAlign w:val="center"/>
            <w:hideMark/>
          </w:tcPr>
          <w:p w14:paraId="5EF765B2"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Preservação dos equipamentos, segurança do trabalho e prevenção</w:t>
            </w:r>
          </w:p>
        </w:tc>
      </w:tr>
      <w:tr w:rsidR="00CF7ABE" w:rsidRPr="00B74E01" w14:paraId="48F16999" w14:textId="77777777" w:rsidTr="00671A31">
        <w:trPr>
          <w:tblCellSpacing w:w="15" w:type="dxa"/>
        </w:trPr>
        <w:tc>
          <w:tcPr>
            <w:tcW w:w="0" w:type="auto"/>
            <w:vAlign w:val="center"/>
            <w:hideMark/>
          </w:tcPr>
          <w:p w14:paraId="674340A1"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Operação industrial</w:t>
            </w:r>
          </w:p>
        </w:tc>
        <w:tc>
          <w:tcPr>
            <w:tcW w:w="0" w:type="auto"/>
            <w:vAlign w:val="center"/>
            <w:hideMark/>
          </w:tcPr>
          <w:p w14:paraId="1A134365"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Operadores de energia, máquinas e auxiliares de linha</w:t>
            </w:r>
          </w:p>
        </w:tc>
        <w:tc>
          <w:tcPr>
            <w:tcW w:w="0" w:type="auto"/>
            <w:vAlign w:val="center"/>
            <w:hideMark/>
          </w:tcPr>
          <w:p w14:paraId="700D4A89"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Execução da operação industrial e energética</w:t>
            </w:r>
          </w:p>
        </w:tc>
      </w:tr>
      <w:tr w:rsidR="00CF7ABE" w:rsidRPr="00B74E01" w14:paraId="48292D49" w14:textId="77777777" w:rsidTr="00671A31">
        <w:trPr>
          <w:tblCellSpacing w:w="15" w:type="dxa"/>
        </w:trPr>
        <w:tc>
          <w:tcPr>
            <w:tcW w:w="0" w:type="auto"/>
            <w:vAlign w:val="center"/>
            <w:hideMark/>
          </w:tcPr>
          <w:p w14:paraId="706CE7EC"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Apoio geral</w:t>
            </w:r>
          </w:p>
        </w:tc>
        <w:tc>
          <w:tcPr>
            <w:tcW w:w="0" w:type="auto"/>
            <w:vAlign w:val="center"/>
            <w:hideMark/>
          </w:tcPr>
          <w:p w14:paraId="1D0A44AB"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Serviços Gerais</w:t>
            </w:r>
          </w:p>
        </w:tc>
        <w:tc>
          <w:tcPr>
            <w:tcW w:w="0" w:type="auto"/>
            <w:vAlign w:val="center"/>
            <w:hideMark/>
          </w:tcPr>
          <w:p w14:paraId="2DF91862"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Limpeza, apoio operacional e suporte à unidade</w:t>
            </w:r>
          </w:p>
        </w:tc>
      </w:tr>
    </w:tbl>
    <w:p w14:paraId="6EBB2082"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O dimensionamento de pessoal deverá ser validado pelos licitantes conforme o plano operacional proposto, turnos, automação, capacidade da planta, exigências de segurança, manutenção e condicionantes ambientais.</w:t>
      </w:r>
    </w:p>
    <w:p w14:paraId="1BDB1703"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modelagem não impede que o licitante proponha estrutura mais eficiente, desde que demonstre capacidade de atendimento aos indicadores de desempenho, segurança, disponibilidade operacional e obrigações contratuais.</w:t>
      </w:r>
    </w:p>
    <w:p w14:paraId="2AF4E4B2" w14:textId="77777777" w:rsidR="00CF7ABE" w:rsidRPr="00B74E01" w:rsidRDefault="00CF7ABE" w:rsidP="00746B30">
      <w:pPr>
        <w:pStyle w:val="Ttulo2"/>
        <w:rPr>
          <w:rFonts w:eastAsia="Times New Roman"/>
          <w:lang w:eastAsia="pt-BR"/>
        </w:rPr>
      </w:pPr>
      <w:bookmarkStart w:id="80" w:name="_Toc230204082"/>
      <w:r w:rsidRPr="00B74E01">
        <w:rPr>
          <w:rFonts w:eastAsia="Times New Roman"/>
          <w:lang w:eastAsia="pt-BR"/>
        </w:rPr>
        <w:t>8.5. Subtotal anual da mão de obra</w:t>
      </w:r>
      <w:bookmarkEnd w:id="80"/>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549"/>
        <w:gridCol w:w="1655"/>
        <w:gridCol w:w="1870"/>
      </w:tblGrid>
      <w:tr w:rsidR="00CF7ABE" w:rsidRPr="00B74E01" w14:paraId="74DFCCF2" w14:textId="77777777" w:rsidTr="00671A31">
        <w:trPr>
          <w:tblHeade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0FF638CA" w14:textId="77777777" w:rsidR="00CF7ABE" w:rsidRPr="00B74E01" w:rsidRDefault="00CF7ABE" w:rsidP="00746B3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Componente</w:t>
            </w:r>
          </w:p>
        </w:tc>
        <w:tc>
          <w:tcPr>
            <w:tcW w:w="0" w:type="auto"/>
            <w:tcBorders>
              <w:top w:val="single" w:sz="4" w:space="0" w:color="auto"/>
              <w:left w:val="single" w:sz="4" w:space="0" w:color="auto"/>
              <w:bottom w:val="single" w:sz="4" w:space="0" w:color="auto"/>
              <w:right w:val="single" w:sz="4" w:space="0" w:color="auto"/>
            </w:tcBorders>
            <w:vAlign w:val="center"/>
            <w:hideMark/>
          </w:tcPr>
          <w:p w14:paraId="73ED52BB" w14:textId="77777777" w:rsidR="00CF7ABE" w:rsidRPr="00B74E01" w:rsidRDefault="00CF7ABE" w:rsidP="00746B3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 mensal</w:t>
            </w:r>
          </w:p>
        </w:tc>
        <w:tc>
          <w:tcPr>
            <w:tcW w:w="0" w:type="auto"/>
            <w:tcBorders>
              <w:top w:val="single" w:sz="4" w:space="0" w:color="auto"/>
              <w:left w:val="single" w:sz="4" w:space="0" w:color="auto"/>
              <w:bottom w:val="single" w:sz="4" w:space="0" w:color="auto"/>
              <w:right w:val="single" w:sz="4" w:space="0" w:color="auto"/>
            </w:tcBorders>
            <w:vAlign w:val="center"/>
            <w:hideMark/>
          </w:tcPr>
          <w:p w14:paraId="728BB65C" w14:textId="77777777" w:rsidR="00CF7ABE" w:rsidRPr="00B74E01" w:rsidRDefault="00CF7ABE" w:rsidP="00746B3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 anual</w:t>
            </w:r>
          </w:p>
        </w:tc>
      </w:tr>
      <w:tr w:rsidR="00CF7ABE" w:rsidRPr="00B74E01" w14:paraId="1F390335" w14:textId="77777777" w:rsidTr="00671A31">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48C664E9"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Salários-base</w:t>
            </w:r>
          </w:p>
        </w:tc>
        <w:tc>
          <w:tcPr>
            <w:tcW w:w="0" w:type="auto"/>
            <w:tcBorders>
              <w:top w:val="single" w:sz="4" w:space="0" w:color="auto"/>
              <w:left w:val="single" w:sz="4" w:space="0" w:color="auto"/>
              <w:bottom w:val="single" w:sz="4" w:space="0" w:color="auto"/>
              <w:right w:val="single" w:sz="4" w:space="0" w:color="auto"/>
            </w:tcBorders>
            <w:vAlign w:val="center"/>
            <w:hideMark/>
          </w:tcPr>
          <w:p w14:paraId="7E1A285D"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R$ 120.316,72</w:t>
            </w:r>
          </w:p>
        </w:tc>
        <w:tc>
          <w:tcPr>
            <w:tcW w:w="0" w:type="auto"/>
            <w:tcBorders>
              <w:top w:val="single" w:sz="4" w:space="0" w:color="auto"/>
              <w:left w:val="single" w:sz="4" w:space="0" w:color="auto"/>
              <w:bottom w:val="single" w:sz="4" w:space="0" w:color="auto"/>
              <w:right w:val="single" w:sz="4" w:space="0" w:color="auto"/>
            </w:tcBorders>
            <w:vAlign w:val="center"/>
            <w:hideMark/>
          </w:tcPr>
          <w:p w14:paraId="4C8B834D"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R$ 1.443.800,64</w:t>
            </w:r>
          </w:p>
        </w:tc>
      </w:tr>
      <w:tr w:rsidR="00CF7ABE" w:rsidRPr="00B74E01" w14:paraId="3320FBD7" w14:textId="77777777" w:rsidTr="00671A31">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693CC0BF"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Adicional noturno</w:t>
            </w:r>
          </w:p>
        </w:tc>
        <w:tc>
          <w:tcPr>
            <w:tcW w:w="0" w:type="auto"/>
            <w:tcBorders>
              <w:top w:val="single" w:sz="4" w:space="0" w:color="auto"/>
              <w:left w:val="single" w:sz="4" w:space="0" w:color="auto"/>
              <w:bottom w:val="single" w:sz="4" w:space="0" w:color="auto"/>
              <w:right w:val="single" w:sz="4" w:space="0" w:color="auto"/>
            </w:tcBorders>
            <w:vAlign w:val="center"/>
            <w:hideMark/>
          </w:tcPr>
          <w:p w14:paraId="5ABB5DF0"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R$ 16.647,13</w:t>
            </w:r>
          </w:p>
        </w:tc>
        <w:tc>
          <w:tcPr>
            <w:tcW w:w="0" w:type="auto"/>
            <w:tcBorders>
              <w:top w:val="single" w:sz="4" w:space="0" w:color="auto"/>
              <w:left w:val="single" w:sz="4" w:space="0" w:color="auto"/>
              <w:bottom w:val="single" w:sz="4" w:space="0" w:color="auto"/>
              <w:right w:val="single" w:sz="4" w:space="0" w:color="auto"/>
            </w:tcBorders>
            <w:vAlign w:val="center"/>
            <w:hideMark/>
          </w:tcPr>
          <w:p w14:paraId="610FB85F"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R$ 199.765,56</w:t>
            </w:r>
          </w:p>
        </w:tc>
      </w:tr>
      <w:tr w:rsidR="00CF7ABE" w:rsidRPr="00B74E01" w14:paraId="2F748A98" w14:textId="77777777" w:rsidTr="00671A31">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136A2D17"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Periculosidade</w:t>
            </w:r>
          </w:p>
        </w:tc>
        <w:tc>
          <w:tcPr>
            <w:tcW w:w="0" w:type="auto"/>
            <w:tcBorders>
              <w:top w:val="single" w:sz="4" w:space="0" w:color="auto"/>
              <w:left w:val="single" w:sz="4" w:space="0" w:color="auto"/>
              <w:bottom w:val="single" w:sz="4" w:space="0" w:color="auto"/>
              <w:right w:val="single" w:sz="4" w:space="0" w:color="auto"/>
            </w:tcBorders>
            <w:vAlign w:val="center"/>
            <w:hideMark/>
          </w:tcPr>
          <w:p w14:paraId="6B5097DB"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R$ 30.286,41</w:t>
            </w:r>
          </w:p>
        </w:tc>
        <w:tc>
          <w:tcPr>
            <w:tcW w:w="0" w:type="auto"/>
            <w:tcBorders>
              <w:top w:val="single" w:sz="4" w:space="0" w:color="auto"/>
              <w:left w:val="single" w:sz="4" w:space="0" w:color="auto"/>
              <w:bottom w:val="single" w:sz="4" w:space="0" w:color="auto"/>
              <w:right w:val="single" w:sz="4" w:space="0" w:color="auto"/>
            </w:tcBorders>
            <w:vAlign w:val="center"/>
            <w:hideMark/>
          </w:tcPr>
          <w:p w14:paraId="0DDE97DC"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R$ 363.436,92</w:t>
            </w:r>
          </w:p>
        </w:tc>
      </w:tr>
      <w:tr w:rsidR="00CF7ABE" w:rsidRPr="00B74E01" w14:paraId="43782EA3" w14:textId="77777777" w:rsidTr="00671A31">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24F5C17C"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lastRenderedPageBreak/>
              <w:t>Encargos trabalhistas</w:t>
            </w:r>
          </w:p>
        </w:tc>
        <w:tc>
          <w:tcPr>
            <w:tcW w:w="0" w:type="auto"/>
            <w:tcBorders>
              <w:top w:val="single" w:sz="4" w:space="0" w:color="auto"/>
              <w:left w:val="single" w:sz="4" w:space="0" w:color="auto"/>
              <w:bottom w:val="single" w:sz="4" w:space="0" w:color="auto"/>
              <w:right w:val="single" w:sz="4" w:space="0" w:color="auto"/>
            </w:tcBorders>
            <w:vAlign w:val="center"/>
            <w:hideMark/>
          </w:tcPr>
          <w:p w14:paraId="030C8AD7"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R$ 52.214,98</w:t>
            </w:r>
          </w:p>
        </w:tc>
        <w:tc>
          <w:tcPr>
            <w:tcW w:w="0" w:type="auto"/>
            <w:tcBorders>
              <w:top w:val="single" w:sz="4" w:space="0" w:color="auto"/>
              <w:left w:val="single" w:sz="4" w:space="0" w:color="auto"/>
              <w:bottom w:val="single" w:sz="4" w:space="0" w:color="auto"/>
              <w:right w:val="single" w:sz="4" w:space="0" w:color="auto"/>
            </w:tcBorders>
            <w:vAlign w:val="center"/>
            <w:hideMark/>
          </w:tcPr>
          <w:p w14:paraId="133716F3"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R$ 626.579,76</w:t>
            </w:r>
          </w:p>
        </w:tc>
      </w:tr>
      <w:tr w:rsidR="00CF7ABE" w:rsidRPr="00B74E01" w14:paraId="7405CD7F" w14:textId="77777777" w:rsidTr="00671A31">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74A20332"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Subtotal mão de obra</w:t>
            </w:r>
          </w:p>
        </w:tc>
        <w:tc>
          <w:tcPr>
            <w:tcW w:w="0" w:type="auto"/>
            <w:tcBorders>
              <w:top w:val="single" w:sz="4" w:space="0" w:color="auto"/>
              <w:left w:val="single" w:sz="4" w:space="0" w:color="auto"/>
              <w:bottom w:val="single" w:sz="4" w:space="0" w:color="auto"/>
              <w:right w:val="single" w:sz="4" w:space="0" w:color="auto"/>
            </w:tcBorders>
            <w:vAlign w:val="center"/>
            <w:hideMark/>
          </w:tcPr>
          <w:p w14:paraId="06618928"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R$ 219.465,24</w:t>
            </w:r>
          </w:p>
        </w:tc>
        <w:tc>
          <w:tcPr>
            <w:tcW w:w="0" w:type="auto"/>
            <w:tcBorders>
              <w:top w:val="single" w:sz="4" w:space="0" w:color="auto"/>
              <w:left w:val="single" w:sz="4" w:space="0" w:color="auto"/>
              <w:bottom w:val="single" w:sz="4" w:space="0" w:color="auto"/>
              <w:right w:val="single" w:sz="4" w:space="0" w:color="auto"/>
            </w:tcBorders>
            <w:vAlign w:val="center"/>
            <w:hideMark/>
          </w:tcPr>
          <w:p w14:paraId="66D77DE6"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R$ 2.633.582,88</w:t>
            </w:r>
          </w:p>
        </w:tc>
      </w:tr>
    </w:tbl>
    <w:p w14:paraId="1DA98563"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incidência de adicional noturno e periculosidade foi mantida por prudência, considerando a natureza industrial da operação, a possibilidade de funcionamento em turnos, a manipulação de resíduos, equipamentos, sistemas energéticos e ambiente operacional com riscos específicos.</w:t>
      </w:r>
    </w:p>
    <w:p w14:paraId="0B6EF15F"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Na fase licitatória, cada proponente deverá apresentar sua própria composição de pessoal, escalas, turnos, encargos, adicionais e benefícios, compatíveis com a legislação trabalhista, normas de segurança e plano operacional ofertado.</w:t>
      </w:r>
    </w:p>
    <w:p w14:paraId="269D0F24" w14:textId="77777777" w:rsidR="00CF7ABE" w:rsidRPr="00B74E01" w:rsidRDefault="00CF7ABE" w:rsidP="00746B30">
      <w:pPr>
        <w:pStyle w:val="Ttulo2"/>
        <w:rPr>
          <w:rFonts w:eastAsia="Times New Roman"/>
          <w:lang w:eastAsia="pt-BR"/>
        </w:rPr>
      </w:pPr>
      <w:bookmarkStart w:id="81" w:name="_Toc230204083"/>
      <w:r w:rsidRPr="00B74E01">
        <w:rPr>
          <w:rFonts w:eastAsia="Times New Roman"/>
          <w:lang w:eastAsia="pt-BR"/>
        </w:rPr>
        <w:t>8.6. Cargos referenciais não ativados</w:t>
      </w:r>
      <w:bookmarkEnd w:id="81"/>
    </w:p>
    <w:p w14:paraId="725AA5DA"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planilha de referência inclui cargos com número de funcionários igual a zero. Esses cargos não compõem o OPEX efetivo da modelagem e, portanto, não foram incluídos no custo operacional final.</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902"/>
        <w:gridCol w:w="953"/>
        <w:gridCol w:w="2339"/>
        <w:gridCol w:w="1867"/>
      </w:tblGrid>
      <w:tr w:rsidR="00CF7ABE" w:rsidRPr="00B74E01" w14:paraId="69B17BD4" w14:textId="77777777" w:rsidTr="00671A31">
        <w:trPr>
          <w:tblHeader/>
          <w:tblCellSpacing w:w="15" w:type="dxa"/>
        </w:trPr>
        <w:tc>
          <w:tcPr>
            <w:tcW w:w="0" w:type="auto"/>
            <w:vAlign w:val="center"/>
            <w:hideMark/>
          </w:tcPr>
          <w:p w14:paraId="1A998ADE" w14:textId="77777777" w:rsidR="00CF7ABE" w:rsidRPr="00B74E01" w:rsidRDefault="00CF7ABE" w:rsidP="00746B3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Cargo</w:t>
            </w:r>
          </w:p>
        </w:tc>
        <w:tc>
          <w:tcPr>
            <w:tcW w:w="0" w:type="auto"/>
            <w:vAlign w:val="center"/>
            <w:hideMark/>
          </w:tcPr>
          <w:p w14:paraId="0F712511" w14:textId="77777777" w:rsidR="00CF7ABE" w:rsidRPr="00B74E01" w:rsidRDefault="00CF7ABE" w:rsidP="00746B3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 xml:space="preserve">Nº </w:t>
            </w:r>
            <w:proofErr w:type="spellStart"/>
            <w:r w:rsidRPr="00B74E01">
              <w:rPr>
                <w:rFonts w:eastAsia="Times New Roman" w:cs="Arial"/>
                <w:b/>
                <w:bCs/>
                <w:kern w:val="0"/>
                <w:lang w:eastAsia="pt-BR"/>
                <w14:ligatures w14:val="none"/>
              </w:rPr>
              <w:t>func</w:t>
            </w:r>
            <w:proofErr w:type="spellEnd"/>
            <w:r w:rsidRPr="00B74E01">
              <w:rPr>
                <w:rFonts w:eastAsia="Times New Roman" w:cs="Arial"/>
                <w:b/>
                <w:bCs/>
                <w:kern w:val="0"/>
                <w:lang w:eastAsia="pt-BR"/>
                <w14:ligatures w14:val="none"/>
              </w:rPr>
              <w:t>.</w:t>
            </w:r>
          </w:p>
        </w:tc>
        <w:tc>
          <w:tcPr>
            <w:tcW w:w="0" w:type="auto"/>
            <w:vAlign w:val="center"/>
            <w:hideMark/>
          </w:tcPr>
          <w:p w14:paraId="02A7BC6B" w14:textId="77777777" w:rsidR="00CF7ABE" w:rsidRPr="00B74E01" w:rsidRDefault="00CF7ABE" w:rsidP="00746B3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Salário de referência</w:t>
            </w:r>
          </w:p>
        </w:tc>
        <w:tc>
          <w:tcPr>
            <w:tcW w:w="0" w:type="auto"/>
            <w:vAlign w:val="center"/>
            <w:hideMark/>
          </w:tcPr>
          <w:p w14:paraId="77F41408" w14:textId="77777777" w:rsidR="00CF7ABE" w:rsidRPr="00B74E01" w:rsidRDefault="00CF7ABE" w:rsidP="00746B3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Tratamento</w:t>
            </w:r>
          </w:p>
        </w:tc>
      </w:tr>
      <w:tr w:rsidR="00CF7ABE" w:rsidRPr="00B74E01" w14:paraId="65D55EAE" w14:textId="77777777" w:rsidTr="00671A31">
        <w:trPr>
          <w:tblCellSpacing w:w="15" w:type="dxa"/>
        </w:trPr>
        <w:tc>
          <w:tcPr>
            <w:tcW w:w="0" w:type="auto"/>
            <w:vAlign w:val="center"/>
            <w:hideMark/>
          </w:tcPr>
          <w:p w14:paraId="58E86DC6"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Secretária</w:t>
            </w:r>
          </w:p>
        </w:tc>
        <w:tc>
          <w:tcPr>
            <w:tcW w:w="0" w:type="auto"/>
            <w:vAlign w:val="center"/>
            <w:hideMark/>
          </w:tcPr>
          <w:p w14:paraId="67C82523"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0</w:t>
            </w:r>
          </w:p>
        </w:tc>
        <w:tc>
          <w:tcPr>
            <w:tcW w:w="0" w:type="auto"/>
            <w:vAlign w:val="center"/>
            <w:hideMark/>
          </w:tcPr>
          <w:p w14:paraId="04459240"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R$ 3.072,00</w:t>
            </w:r>
          </w:p>
        </w:tc>
        <w:tc>
          <w:tcPr>
            <w:tcW w:w="0" w:type="auto"/>
            <w:vAlign w:val="center"/>
            <w:hideMark/>
          </w:tcPr>
          <w:p w14:paraId="7C084F41"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Não considerado</w:t>
            </w:r>
          </w:p>
        </w:tc>
      </w:tr>
      <w:tr w:rsidR="00CF7ABE" w:rsidRPr="00B74E01" w14:paraId="37D27A81" w14:textId="77777777" w:rsidTr="00671A31">
        <w:trPr>
          <w:tblCellSpacing w:w="15" w:type="dxa"/>
        </w:trPr>
        <w:tc>
          <w:tcPr>
            <w:tcW w:w="0" w:type="auto"/>
            <w:vAlign w:val="center"/>
            <w:hideMark/>
          </w:tcPr>
          <w:p w14:paraId="459E32F8"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Engenheiro Ambiental</w:t>
            </w:r>
          </w:p>
        </w:tc>
        <w:tc>
          <w:tcPr>
            <w:tcW w:w="0" w:type="auto"/>
            <w:vAlign w:val="center"/>
            <w:hideMark/>
          </w:tcPr>
          <w:p w14:paraId="6116344D"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0</w:t>
            </w:r>
          </w:p>
        </w:tc>
        <w:tc>
          <w:tcPr>
            <w:tcW w:w="0" w:type="auto"/>
            <w:vAlign w:val="center"/>
            <w:hideMark/>
          </w:tcPr>
          <w:p w14:paraId="2BE15081"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R$ 17.719,08</w:t>
            </w:r>
          </w:p>
        </w:tc>
        <w:tc>
          <w:tcPr>
            <w:tcW w:w="0" w:type="auto"/>
            <w:vAlign w:val="center"/>
            <w:hideMark/>
          </w:tcPr>
          <w:p w14:paraId="7DDA393B"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Não considerado</w:t>
            </w:r>
          </w:p>
        </w:tc>
      </w:tr>
      <w:tr w:rsidR="00CF7ABE" w:rsidRPr="00B74E01" w14:paraId="3A5253CA" w14:textId="77777777" w:rsidTr="00671A31">
        <w:trPr>
          <w:tblCellSpacing w:w="15" w:type="dxa"/>
        </w:trPr>
        <w:tc>
          <w:tcPr>
            <w:tcW w:w="0" w:type="auto"/>
            <w:vAlign w:val="center"/>
            <w:hideMark/>
          </w:tcPr>
          <w:p w14:paraId="20B27A43"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Supervisor Administrativo/Financeiro</w:t>
            </w:r>
          </w:p>
        </w:tc>
        <w:tc>
          <w:tcPr>
            <w:tcW w:w="0" w:type="auto"/>
            <w:vAlign w:val="center"/>
            <w:hideMark/>
          </w:tcPr>
          <w:p w14:paraId="7A09162E"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0</w:t>
            </w:r>
          </w:p>
        </w:tc>
        <w:tc>
          <w:tcPr>
            <w:tcW w:w="0" w:type="auto"/>
            <w:vAlign w:val="center"/>
            <w:hideMark/>
          </w:tcPr>
          <w:p w14:paraId="49A4EB9B"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R$ 6.000,00</w:t>
            </w:r>
          </w:p>
        </w:tc>
        <w:tc>
          <w:tcPr>
            <w:tcW w:w="0" w:type="auto"/>
            <w:vAlign w:val="center"/>
            <w:hideMark/>
          </w:tcPr>
          <w:p w14:paraId="56EF6DC0"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Não considerado</w:t>
            </w:r>
          </w:p>
        </w:tc>
      </w:tr>
      <w:tr w:rsidR="00CF7ABE" w:rsidRPr="00B74E01" w14:paraId="33AC1BD6" w14:textId="77777777" w:rsidTr="00671A31">
        <w:trPr>
          <w:tblCellSpacing w:w="15" w:type="dxa"/>
        </w:trPr>
        <w:tc>
          <w:tcPr>
            <w:tcW w:w="0" w:type="auto"/>
            <w:vAlign w:val="center"/>
            <w:hideMark/>
          </w:tcPr>
          <w:p w14:paraId="03653B96"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Analista Pessoal</w:t>
            </w:r>
          </w:p>
        </w:tc>
        <w:tc>
          <w:tcPr>
            <w:tcW w:w="0" w:type="auto"/>
            <w:vAlign w:val="center"/>
            <w:hideMark/>
          </w:tcPr>
          <w:p w14:paraId="5DAB9CBE"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0</w:t>
            </w:r>
          </w:p>
        </w:tc>
        <w:tc>
          <w:tcPr>
            <w:tcW w:w="0" w:type="auto"/>
            <w:vAlign w:val="center"/>
            <w:hideMark/>
          </w:tcPr>
          <w:p w14:paraId="1BA90828"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R$ 4.000,00</w:t>
            </w:r>
          </w:p>
        </w:tc>
        <w:tc>
          <w:tcPr>
            <w:tcW w:w="0" w:type="auto"/>
            <w:vAlign w:val="center"/>
            <w:hideMark/>
          </w:tcPr>
          <w:p w14:paraId="3EAAA5EC"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Não considerado</w:t>
            </w:r>
          </w:p>
        </w:tc>
      </w:tr>
      <w:tr w:rsidR="00CF7ABE" w:rsidRPr="00B74E01" w14:paraId="62D454D6" w14:textId="77777777" w:rsidTr="00671A31">
        <w:trPr>
          <w:tblCellSpacing w:w="15" w:type="dxa"/>
        </w:trPr>
        <w:tc>
          <w:tcPr>
            <w:tcW w:w="0" w:type="auto"/>
            <w:vAlign w:val="center"/>
            <w:hideMark/>
          </w:tcPr>
          <w:p w14:paraId="6CB4B70F"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Supervisor de Produção</w:t>
            </w:r>
          </w:p>
        </w:tc>
        <w:tc>
          <w:tcPr>
            <w:tcW w:w="0" w:type="auto"/>
            <w:vAlign w:val="center"/>
            <w:hideMark/>
          </w:tcPr>
          <w:p w14:paraId="6BDF9DE0"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0</w:t>
            </w:r>
          </w:p>
        </w:tc>
        <w:tc>
          <w:tcPr>
            <w:tcW w:w="0" w:type="auto"/>
            <w:vAlign w:val="center"/>
            <w:hideMark/>
          </w:tcPr>
          <w:p w14:paraId="7CB89C13"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R$ 5.124,00</w:t>
            </w:r>
          </w:p>
        </w:tc>
        <w:tc>
          <w:tcPr>
            <w:tcW w:w="0" w:type="auto"/>
            <w:vAlign w:val="center"/>
            <w:hideMark/>
          </w:tcPr>
          <w:p w14:paraId="51486EED"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Não considerado</w:t>
            </w:r>
          </w:p>
        </w:tc>
      </w:tr>
      <w:tr w:rsidR="00CF7ABE" w:rsidRPr="00B74E01" w14:paraId="2B7D0D12" w14:textId="77777777" w:rsidTr="00671A31">
        <w:trPr>
          <w:tblCellSpacing w:w="15" w:type="dxa"/>
        </w:trPr>
        <w:tc>
          <w:tcPr>
            <w:tcW w:w="0" w:type="auto"/>
            <w:vAlign w:val="center"/>
            <w:hideMark/>
          </w:tcPr>
          <w:p w14:paraId="06C76E50"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lastRenderedPageBreak/>
              <w:t>Operador de Balança Rodoviária</w:t>
            </w:r>
          </w:p>
        </w:tc>
        <w:tc>
          <w:tcPr>
            <w:tcW w:w="0" w:type="auto"/>
            <w:vAlign w:val="center"/>
            <w:hideMark/>
          </w:tcPr>
          <w:p w14:paraId="2BDF9B00"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0</w:t>
            </w:r>
          </w:p>
        </w:tc>
        <w:tc>
          <w:tcPr>
            <w:tcW w:w="0" w:type="auto"/>
            <w:vAlign w:val="center"/>
            <w:hideMark/>
          </w:tcPr>
          <w:p w14:paraId="3C4A21B9"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R$ 2.500,00</w:t>
            </w:r>
          </w:p>
        </w:tc>
        <w:tc>
          <w:tcPr>
            <w:tcW w:w="0" w:type="auto"/>
            <w:vAlign w:val="center"/>
            <w:hideMark/>
          </w:tcPr>
          <w:p w14:paraId="02FC7E11"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Não considerado</w:t>
            </w:r>
          </w:p>
        </w:tc>
      </w:tr>
      <w:tr w:rsidR="00CF7ABE" w:rsidRPr="00B74E01" w14:paraId="11194C7E" w14:textId="77777777" w:rsidTr="00671A31">
        <w:trPr>
          <w:tblCellSpacing w:w="15" w:type="dxa"/>
        </w:trPr>
        <w:tc>
          <w:tcPr>
            <w:tcW w:w="0" w:type="auto"/>
            <w:vAlign w:val="center"/>
            <w:hideMark/>
          </w:tcPr>
          <w:p w14:paraId="776B3C89"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Operador de Painel de Controle</w:t>
            </w:r>
          </w:p>
        </w:tc>
        <w:tc>
          <w:tcPr>
            <w:tcW w:w="0" w:type="auto"/>
            <w:vAlign w:val="center"/>
            <w:hideMark/>
          </w:tcPr>
          <w:p w14:paraId="67FE522C"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0</w:t>
            </w:r>
          </w:p>
        </w:tc>
        <w:tc>
          <w:tcPr>
            <w:tcW w:w="0" w:type="auto"/>
            <w:vAlign w:val="center"/>
            <w:hideMark/>
          </w:tcPr>
          <w:p w14:paraId="22A34C4F"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R$ 5.000,00</w:t>
            </w:r>
          </w:p>
        </w:tc>
        <w:tc>
          <w:tcPr>
            <w:tcW w:w="0" w:type="auto"/>
            <w:vAlign w:val="center"/>
            <w:hideMark/>
          </w:tcPr>
          <w:p w14:paraId="6DB342DF"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Não considerado</w:t>
            </w:r>
          </w:p>
        </w:tc>
      </w:tr>
      <w:tr w:rsidR="00CF7ABE" w:rsidRPr="00B74E01" w14:paraId="4D668509" w14:textId="77777777" w:rsidTr="00671A31">
        <w:trPr>
          <w:tblCellSpacing w:w="15" w:type="dxa"/>
        </w:trPr>
        <w:tc>
          <w:tcPr>
            <w:tcW w:w="0" w:type="auto"/>
            <w:vAlign w:val="center"/>
            <w:hideMark/>
          </w:tcPr>
          <w:p w14:paraId="12982B68"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Motorista</w:t>
            </w:r>
          </w:p>
        </w:tc>
        <w:tc>
          <w:tcPr>
            <w:tcW w:w="0" w:type="auto"/>
            <w:vAlign w:val="center"/>
            <w:hideMark/>
          </w:tcPr>
          <w:p w14:paraId="72C60002"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0</w:t>
            </w:r>
          </w:p>
        </w:tc>
        <w:tc>
          <w:tcPr>
            <w:tcW w:w="0" w:type="auto"/>
            <w:vAlign w:val="center"/>
            <w:hideMark/>
          </w:tcPr>
          <w:p w14:paraId="30FB34A7"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R$ 3.360,00</w:t>
            </w:r>
          </w:p>
        </w:tc>
        <w:tc>
          <w:tcPr>
            <w:tcW w:w="0" w:type="auto"/>
            <w:vAlign w:val="center"/>
            <w:hideMark/>
          </w:tcPr>
          <w:p w14:paraId="301FC21C"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Não considerado</w:t>
            </w:r>
          </w:p>
        </w:tc>
      </w:tr>
    </w:tbl>
    <w:p w14:paraId="710A9471"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separação entre cargos ativados e não ativados é importante para a transparência da modelagem. Ela evita que custos referenciais sem alocação real sejam indevidamente incorporados ao OPEX.</w:t>
      </w:r>
    </w:p>
    <w:p w14:paraId="3DED9BA7"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Caso, na fase de licitação ou implantação, o plano operacional da SPE exija alguns desses cargos, o respectivo custo deverá ser absorvido na proposta econômico-financeira do licitante, sem alteração automática da modelagem de referência.</w:t>
      </w:r>
    </w:p>
    <w:p w14:paraId="44A7FC5A" w14:textId="77777777" w:rsidR="00CF7ABE" w:rsidRPr="00B74E01" w:rsidRDefault="00CF7ABE" w:rsidP="00746B30">
      <w:pPr>
        <w:pStyle w:val="Ttulo2"/>
        <w:rPr>
          <w:rFonts w:eastAsia="Times New Roman"/>
          <w:lang w:eastAsia="pt-BR"/>
        </w:rPr>
      </w:pPr>
      <w:bookmarkStart w:id="82" w:name="_Toc230204084"/>
      <w:r w:rsidRPr="00B74E01">
        <w:rPr>
          <w:rFonts w:eastAsia="Times New Roman"/>
          <w:lang w:eastAsia="pt-BR"/>
        </w:rPr>
        <w:t>8.7. Demais custos operacionais</w:t>
      </w:r>
      <w:bookmarkEnd w:id="82"/>
    </w:p>
    <w:p w14:paraId="7B88D3FF"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Além da mão de obra, a operação exige custos recorrentes relacionados a benefícios, EPIs, transporte, alimentação, manutenção, comunicação, assessorias, seguros, taxas e despesas administrativas.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604"/>
        <w:gridCol w:w="1870"/>
      </w:tblGrid>
      <w:tr w:rsidR="00CF7ABE" w:rsidRPr="00B74E01" w14:paraId="53EAE8F0" w14:textId="77777777" w:rsidTr="00671A31">
        <w:trPr>
          <w:tblHeade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4B39CC88" w14:textId="77777777" w:rsidR="00CF7ABE" w:rsidRPr="00B74E01" w:rsidRDefault="00CF7ABE" w:rsidP="00746B3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Item</w:t>
            </w:r>
          </w:p>
        </w:tc>
        <w:tc>
          <w:tcPr>
            <w:tcW w:w="0" w:type="auto"/>
            <w:tcBorders>
              <w:top w:val="single" w:sz="4" w:space="0" w:color="auto"/>
              <w:left w:val="single" w:sz="4" w:space="0" w:color="auto"/>
              <w:bottom w:val="single" w:sz="4" w:space="0" w:color="auto"/>
              <w:right w:val="single" w:sz="4" w:space="0" w:color="auto"/>
            </w:tcBorders>
            <w:vAlign w:val="center"/>
            <w:hideMark/>
          </w:tcPr>
          <w:p w14:paraId="036850A8" w14:textId="77777777" w:rsidR="00CF7ABE" w:rsidRPr="00B74E01" w:rsidRDefault="00CF7ABE" w:rsidP="00746B3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 anual</w:t>
            </w:r>
          </w:p>
        </w:tc>
      </w:tr>
      <w:tr w:rsidR="00CF7ABE" w:rsidRPr="00B74E01" w14:paraId="0BB3D9AA" w14:textId="77777777" w:rsidTr="00671A31">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75F729F5"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Uniformes funcionários / botas</w:t>
            </w:r>
          </w:p>
        </w:tc>
        <w:tc>
          <w:tcPr>
            <w:tcW w:w="0" w:type="auto"/>
            <w:tcBorders>
              <w:top w:val="single" w:sz="4" w:space="0" w:color="auto"/>
              <w:left w:val="single" w:sz="4" w:space="0" w:color="auto"/>
              <w:bottom w:val="single" w:sz="4" w:space="0" w:color="auto"/>
              <w:right w:val="single" w:sz="4" w:space="0" w:color="auto"/>
            </w:tcBorders>
            <w:vAlign w:val="center"/>
            <w:hideMark/>
          </w:tcPr>
          <w:p w14:paraId="261195FD"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R$ 4.680,00</w:t>
            </w:r>
          </w:p>
        </w:tc>
      </w:tr>
      <w:tr w:rsidR="00CF7ABE" w:rsidRPr="00B74E01" w14:paraId="3D885557" w14:textId="77777777" w:rsidTr="00671A31">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0DB1FE91"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Uniformes funcionários / EPIs</w:t>
            </w:r>
          </w:p>
        </w:tc>
        <w:tc>
          <w:tcPr>
            <w:tcW w:w="0" w:type="auto"/>
            <w:tcBorders>
              <w:top w:val="single" w:sz="4" w:space="0" w:color="auto"/>
              <w:left w:val="single" w:sz="4" w:space="0" w:color="auto"/>
              <w:bottom w:val="single" w:sz="4" w:space="0" w:color="auto"/>
              <w:right w:val="single" w:sz="4" w:space="0" w:color="auto"/>
            </w:tcBorders>
            <w:vAlign w:val="center"/>
            <w:hideMark/>
          </w:tcPr>
          <w:p w14:paraId="007FAFCF"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R$ 29.700,00</w:t>
            </w:r>
          </w:p>
        </w:tc>
      </w:tr>
      <w:tr w:rsidR="00CF7ABE" w:rsidRPr="00B74E01" w14:paraId="2BB9145A" w14:textId="77777777" w:rsidTr="00671A31">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323ECCD7"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Seguro funcionários</w:t>
            </w:r>
          </w:p>
        </w:tc>
        <w:tc>
          <w:tcPr>
            <w:tcW w:w="0" w:type="auto"/>
            <w:tcBorders>
              <w:top w:val="single" w:sz="4" w:space="0" w:color="auto"/>
              <w:left w:val="single" w:sz="4" w:space="0" w:color="auto"/>
              <w:bottom w:val="single" w:sz="4" w:space="0" w:color="auto"/>
              <w:right w:val="single" w:sz="4" w:space="0" w:color="auto"/>
            </w:tcBorders>
            <w:vAlign w:val="center"/>
            <w:hideMark/>
          </w:tcPr>
          <w:p w14:paraId="2E451811"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R$ 3.360,00</w:t>
            </w:r>
          </w:p>
        </w:tc>
      </w:tr>
      <w:tr w:rsidR="00CF7ABE" w:rsidRPr="00B74E01" w14:paraId="14158786" w14:textId="77777777" w:rsidTr="00671A31">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764E81CE"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Assistência médica</w:t>
            </w:r>
          </w:p>
        </w:tc>
        <w:tc>
          <w:tcPr>
            <w:tcW w:w="0" w:type="auto"/>
            <w:tcBorders>
              <w:top w:val="single" w:sz="4" w:space="0" w:color="auto"/>
              <w:left w:val="single" w:sz="4" w:space="0" w:color="auto"/>
              <w:bottom w:val="single" w:sz="4" w:space="0" w:color="auto"/>
              <w:right w:val="single" w:sz="4" w:space="0" w:color="auto"/>
            </w:tcBorders>
            <w:vAlign w:val="center"/>
            <w:hideMark/>
          </w:tcPr>
          <w:p w14:paraId="3CD6B61F"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R$ 172.200,00</w:t>
            </w:r>
          </w:p>
        </w:tc>
      </w:tr>
      <w:tr w:rsidR="00CF7ABE" w:rsidRPr="00B74E01" w14:paraId="1BE962B7" w14:textId="77777777" w:rsidTr="00671A31">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18FCE55E"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Transporte de funcionários</w:t>
            </w:r>
          </w:p>
        </w:tc>
        <w:tc>
          <w:tcPr>
            <w:tcW w:w="0" w:type="auto"/>
            <w:tcBorders>
              <w:top w:val="single" w:sz="4" w:space="0" w:color="auto"/>
              <w:left w:val="single" w:sz="4" w:space="0" w:color="auto"/>
              <w:bottom w:val="single" w:sz="4" w:space="0" w:color="auto"/>
              <w:right w:val="single" w:sz="4" w:space="0" w:color="auto"/>
            </w:tcBorders>
            <w:vAlign w:val="center"/>
            <w:hideMark/>
          </w:tcPr>
          <w:p w14:paraId="38F7F7C7"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R$ 260.080,00</w:t>
            </w:r>
          </w:p>
        </w:tc>
      </w:tr>
      <w:tr w:rsidR="00CF7ABE" w:rsidRPr="00B74E01" w14:paraId="10BE534E" w14:textId="77777777" w:rsidTr="00671A31">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637CBCA7"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Alimentação de funcionários</w:t>
            </w:r>
          </w:p>
        </w:tc>
        <w:tc>
          <w:tcPr>
            <w:tcW w:w="0" w:type="auto"/>
            <w:tcBorders>
              <w:top w:val="single" w:sz="4" w:space="0" w:color="auto"/>
              <w:left w:val="single" w:sz="4" w:space="0" w:color="auto"/>
              <w:bottom w:val="single" w:sz="4" w:space="0" w:color="auto"/>
              <w:right w:val="single" w:sz="4" w:space="0" w:color="auto"/>
            </w:tcBorders>
            <w:vAlign w:val="center"/>
            <w:hideMark/>
          </w:tcPr>
          <w:p w14:paraId="435E3905"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R$ 252.000,00</w:t>
            </w:r>
          </w:p>
        </w:tc>
      </w:tr>
      <w:tr w:rsidR="00CF7ABE" w:rsidRPr="00B74E01" w14:paraId="584B7187" w14:textId="77777777" w:rsidTr="00671A31">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708E8CAF"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Material publicitário</w:t>
            </w:r>
          </w:p>
        </w:tc>
        <w:tc>
          <w:tcPr>
            <w:tcW w:w="0" w:type="auto"/>
            <w:tcBorders>
              <w:top w:val="single" w:sz="4" w:space="0" w:color="auto"/>
              <w:left w:val="single" w:sz="4" w:space="0" w:color="auto"/>
              <w:bottom w:val="single" w:sz="4" w:space="0" w:color="auto"/>
              <w:right w:val="single" w:sz="4" w:space="0" w:color="auto"/>
            </w:tcBorders>
            <w:vAlign w:val="center"/>
            <w:hideMark/>
          </w:tcPr>
          <w:p w14:paraId="27B7FC01"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R$ 12.000,00</w:t>
            </w:r>
          </w:p>
        </w:tc>
      </w:tr>
      <w:tr w:rsidR="00CF7ABE" w:rsidRPr="00B74E01" w14:paraId="7DEC106D" w14:textId="77777777" w:rsidTr="00671A31">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614F269A"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lastRenderedPageBreak/>
              <w:t>Manutenções</w:t>
            </w:r>
          </w:p>
        </w:tc>
        <w:tc>
          <w:tcPr>
            <w:tcW w:w="0" w:type="auto"/>
            <w:tcBorders>
              <w:top w:val="single" w:sz="4" w:space="0" w:color="auto"/>
              <w:left w:val="single" w:sz="4" w:space="0" w:color="auto"/>
              <w:bottom w:val="single" w:sz="4" w:space="0" w:color="auto"/>
              <w:right w:val="single" w:sz="4" w:space="0" w:color="auto"/>
            </w:tcBorders>
            <w:vAlign w:val="center"/>
            <w:hideMark/>
          </w:tcPr>
          <w:p w14:paraId="3488C4A0"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R$ 120.000,00</w:t>
            </w:r>
          </w:p>
        </w:tc>
      </w:tr>
      <w:tr w:rsidR="00CF7ABE" w:rsidRPr="00B74E01" w14:paraId="4B49A235" w14:textId="77777777" w:rsidTr="00671A31">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643F31C9"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Internet</w:t>
            </w:r>
          </w:p>
        </w:tc>
        <w:tc>
          <w:tcPr>
            <w:tcW w:w="0" w:type="auto"/>
            <w:tcBorders>
              <w:top w:val="single" w:sz="4" w:space="0" w:color="auto"/>
              <w:left w:val="single" w:sz="4" w:space="0" w:color="auto"/>
              <w:bottom w:val="single" w:sz="4" w:space="0" w:color="auto"/>
              <w:right w:val="single" w:sz="4" w:space="0" w:color="auto"/>
            </w:tcBorders>
            <w:vAlign w:val="center"/>
            <w:hideMark/>
          </w:tcPr>
          <w:p w14:paraId="6765E686"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R$ 9.600,00</w:t>
            </w:r>
          </w:p>
        </w:tc>
      </w:tr>
      <w:tr w:rsidR="00CF7ABE" w:rsidRPr="00B74E01" w14:paraId="10752831" w14:textId="77777777" w:rsidTr="00671A31">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62E0AAEF"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Combustível / lubrificante</w:t>
            </w:r>
          </w:p>
        </w:tc>
        <w:tc>
          <w:tcPr>
            <w:tcW w:w="0" w:type="auto"/>
            <w:tcBorders>
              <w:top w:val="single" w:sz="4" w:space="0" w:color="auto"/>
              <w:left w:val="single" w:sz="4" w:space="0" w:color="auto"/>
              <w:bottom w:val="single" w:sz="4" w:space="0" w:color="auto"/>
              <w:right w:val="single" w:sz="4" w:space="0" w:color="auto"/>
            </w:tcBorders>
            <w:vAlign w:val="center"/>
            <w:hideMark/>
          </w:tcPr>
          <w:p w14:paraId="600A914D"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R$ 48.000,00</w:t>
            </w:r>
          </w:p>
        </w:tc>
      </w:tr>
      <w:tr w:rsidR="00CF7ABE" w:rsidRPr="00B74E01" w14:paraId="3E0ACF00" w14:textId="77777777" w:rsidTr="00671A31">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7993A4E2"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Material de expediente / outros</w:t>
            </w:r>
          </w:p>
        </w:tc>
        <w:tc>
          <w:tcPr>
            <w:tcW w:w="0" w:type="auto"/>
            <w:tcBorders>
              <w:top w:val="single" w:sz="4" w:space="0" w:color="auto"/>
              <w:left w:val="single" w:sz="4" w:space="0" w:color="auto"/>
              <w:bottom w:val="single" w:sz="4" w:space="0" w:color="auto"/>
              <w:right w:val="single" w:sz="4" w:space="0" w:color="auto"/>
            </w:tcBorders>
            <w:vAlign w:val="center"/>
            <w:hideMark/>
          </w:tcPr>
          <w:p w14:paraId="30295E13"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R$ 30.000,00</w:t>
            </w:r>
          </w:p>
        </w:tc>
      </w:tr>
      <w:tr w:rsidR="00CF7ABE" w:rsidRPr="00B74E01" w14:paraId="65912CF3" w14:textId="77777777" w:rsidTr="00671A31">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3FB41382"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Energia DC / operação</w:t>
            </w:r>
          </w:p>
        </w:tc>
        <w:tc>
          <w:tcPr>
            <w:tcW w:w="0" w:type="auto"/>
            <w:tcBorders>
              <w:top w:val="single" w:sz="4" w:space="0" w:color="auto"/>
              <w:left w:val="single" w:sz="4" w:space="0" w:color="auto"/>
              <w:bottom w:val="single" w:sz="4" w:space="0" w:color="auto"/>
              <w:right w:val="single" w:sz="4" w:space="0" w:color="auto"/>
            </w:tcBorders>
            <w:vAlign w:val="center"/>
            <w:hideMark/>
          </w:tcPr>
          <w:p w14:paraId="7A5D3A44"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R$ 24.000,00</w:t>
            </w:r>
          </w:p>
        </w:tc>
      </w:tr>
      <w:tr w:rsidR="00CF7ABE" w:rsidRPr="00B74E01" w14:paraId="69B5D280" w14:textId="77777777" w:rsidTr="00671A31">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0D765600"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Taxas regulamentares</w:t>
            </w:r>
          </w:p>
        </w:tc>
        <w:tc>
          <w:tcPr>
            <w:tcW w:w="0" w:type="auto"/>
            <w:tcBorders>
              <w:top w:val="single" w:sz="4" w:space="0" w:color="auto"/>
              <w:left w:val="single" w:sz="4" w:space="0" w:color="auto"/>
              <w:bottom w:val="single" w:sz="4" w:space="0" w:color="auto"/>
              <w:right w:val="single" w:sz="4" w:space="0" w:color="auto"/>
            </w:tcBorders>
            <w:vAlign w:val="center"/>
            <w:hideMark/>
          </w:tcPr>
          <w:p w14:paraId="0FCDEACF"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R$ 18.000,00</w:t>
            </w:r>
          </w:p>
        </w:tc>
      </w:tr>
      <w:tr w:rsidR="00CF7ABE" w:rsidRPr="00B74E01" w14:paraId="71F3A988" w14:textId="77777777" w:rsidTr="00671A31">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7F596764"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Assessoria jurídica / zeladoria / segurança</w:t>
            </w:r>
          </w:p>
        </w:tc>
        <w:tc>
          <w:tcPr>
            <w:tcW w:w="0" w:type="auto"/>
            <w:tcBorders>
              <w:top w:val="single" w:sz="4" w:space="0" w:color="auto"/>
              <w:left w:val="single" w:sz="4" w:space="0" w:color="auto"/>
              <w:bottom w:val="single" w:sz="4" w:space="0" w:color="auto"/>
              <w:right w:val="single" w:sz="4" w:space="0" w:color="auto"/>
            </w:tcBorders>
            <w:vAlign w:val="center"/>
            <w:hideMark/>
          </w:tcPr>
          <w:p w14:paraId="23E060F0"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R$ 60.000,00</w:t>
            </w:r>
          </w:p>
        </w:tc>
      </w:tr>
      <w:tr w:rsidR="00CF7ABE" w:rsidRPr="00B74E01" w14:paraId="65389433" w14:textId="77777777" w:rsidTr="00671A31">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2BBBB826"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Assessoria contábil</w:t>
            </w:r>
          </w:p>
        </w:tc>
        <w:tc>
          <w:tcPr>
            <w:tcW w:w="0" w:type="auto"/>
            <w:tcBorders>
              <w:top w:val="single" w:sz="4" w:space="0" w:color="auto"/>
              <w:left w:val="single" w:sz="4" w:space="0" w:color="auto"/>
              <w:bottom w:val="single" w:sz="4" w:space="0" w:color="auto"/>
              <w:right w:val="single" w:sz="4" w:space="0" w:color="auto"/>
            </w:tcBorders>
            <w:vAlign w:val="center"/>
            <w:hideMark/>
          </w:tcPr>
          <w:p w14:paraId="5B945974"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R$ 36.000,00</w:t>
            </w:r>
          </w:p>
        </w:tc>
      </w:tr>
      <w:tr w:rsidR="00CF7ABE" w:rsidRPr="00B74E01" w14:paraId="523EA138" w14:textId="77777777" w:rsidTr="00671A31">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469A594B"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Telefone</w:t>
            </w:r>
          </w:p>
        </w:tc>
        <w:tc>
          <w:tcPr>
            <w:tcW w:w="0" w:type="auto"/>
            <w:tcBorders>
              <w:top w:val="single" w:sz="4" w:space="0" w:color="auto"/>
              <w:left w:val="single" w:sz="4" w:space="0" w:color="auto"/>
              <w:bottom w:val="single" w:sz="4" w:space="0" w:color="auto"/>
              <w:right w:val="single" w:sz="4" w:space="0" w:color="auto"/>
            </w:tcBorders>
            <w:vAlign w:val="center"/>
            <w:hideMark/>
          </w:tcPr>
          <w:p w14:paraId="2A607A40"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R$ 18.000,00</w:t>
            </w:r>
          </w:p>
        </w:tc>
      </w:tr>
      <w:tr w:rsidR="00CF7ABE" w:rsidRPr="00B74E01" w14:paraId="07086767" w14:textId="77777777" w:rsidTr="00671A31">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47BBD57C"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IPTU</w:t>
            </w:r>
          </w:p>
        </w:tc>
        <w:tc>
          <w:tcPr>
            <w:tcW w:w="0" w:type="auto"/>
            <w:tcBorders>
              <w:top w:val="single" w:sz="4" w:space="0" w:color="auto"/>
              <w:left w:val="single" w:sz="4" w:space="0" w:color="auto"/>
              <w:bottom w:val="single" w:sz="4" w:space="0" w:color="auto"/>
              <w:right w:val="single" w:sz="4" w:space="0" w:color="auto"/>
            </w:tcBorders>
            <w:vAlign w:val="center"/>
            <w:hideMark/>
          </w:tcPr>
          <w:p w14:paraId="0BF9BE5B"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R$ 6.750,00</w:t>
            </w:r>
          </w:p>
        </w:tc>
      </w:tr>
      <w:tr w:rsidR="00CF7ABE" w:rsidRPr="00B74E01" w14:paraId="10C67FAE" w14:textId="77777777" w:rsidTr="00671A31">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687392B0"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Viagens e locomoção</w:t>
            </w:r>
          </w:p>
        </w:tc>
        <w:tc>
          <w:tcPr>
            <w:tcW w:w="0" w:type="auto"/>
            <w:tcBorders>
              <w:top w:val="single" w:sz="4" w:space="0" w:color="auto"/>
              <w:left w:val="single" w:sz="4" w:space="0" w:color="auto"/>
              <w:bottom w:val="single" w:sz="4" w:space="0" w:color="auto"/>
              <w:right w:val="single" w:sz="4" w:space="0" w:color="auto"/>
            </w:tcBorders>
            <w:vAlign w:val="center"/>
            <w:hideMark/>
          </w:tcPr>
          <w:p w14:paraId="34CF5396"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R$ 24.000,00</w:t>
            </w:r>
          </w:p>
        </w:tc>
      </w:tr>
      <w:tr w:rsidR="00CF7ABE" w:rsidRPr="00B74E01" w14:paraId="1CC13806" w14:textId="77777777" w:rsidTr="00671A31">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2A1CF60D"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Seguro responsabilidade civil e sinistros</w:t>
            </w:r>
          </w:p>
        </w:tc>
        <w:tc>
          <w:tcPr>
            <w:tcW w:w="0" w:type="auto"/>
            <w:tcBorders>
              <w:top w:val="single" w:sz="4" w:space="0" w:color="auto"/>
              <w:left w:val="single" w:sz="4" w:space="0" w:color="auto"/>
              <w:bottom w:val="single" w:sz="4" w:space="0" w:color="auto"/>
              <w:right w:val="single" w:sz="4" w:space="0" w:color="auto"/>
            </w:tcBorders>
            <w:vAlign w:val="center"/>
            <w:hideMark/>
          </w:tcPr>
          <w:p w14:paraId="34182146"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R$ 60.000,00</w:t>
            </w:r>
          </w:p>
        </w:tc>
      </w:tr>
      <w:tr w:rsidR="00CF7ABE" w:rsidRPr="00B74E01" w14:paraId="4546AC81" w14:textId="77777777" w:rsidTr="00671A31">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3B8EFD7F"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Subtotal demais custos operacionais</w:t>
            </w:r>
          </w:p>
        </w:tc>
        <w:tc>
          <w:tcPr>
            <w:tcW w:w="0" w:type="auto"/>
            <w:tcBorders>
              <w:top w:val="single" w:sz="4" w:space="0" w:color="auto"/>
              <w:left w:val="single" w:sz="4" w:space="0" w:color="auto"/>
              <w:bottom w:val="single" w:sz="4" w:space="0" w:color="auto"/>
              <w:right w:val="single" w:sz="4" w:space="0" w:color="auto"/>
            </w:tcBorders>
            <w:vAlign w:val="center"/>
            <w:hideMark/>
          </w:tcPr>
          <w:p w14:paraId="779FB744"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R$ 1.188.370,00</w:t>
            </w:r>
          </w:p>
        </w:tc>
      </w:tr>
    </w:tbl>
    <w:p w14:paraId="4354B3FE"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Esses custos complementam a estrutura operacional da SPE e não devem ser tratados como despesas secundárias. Em uma planta industrial, itens como manutenção, seguros, EPIs, transporte, alimentação e assessorias são indispensáveis para continuidade operacional, conformidade legal e proteção da atividade.</w:t>
      </w:r>
    </w:p>
    <w:p w14:paraId="7FBCC2A4" w14:textId="77777777" w:rsidR="00CF7ABE" w:rsidRPr="00B74E01" w:rsidRDefault="00CF7ABE" w:rsidP="00746B30">
      <w:pPr>
        <w:pStyle w:val="Ttulo2"/>
        <w:rPr>
          <w:rFonts w:eastAsia="Times New Roman"/>
          <w:lang w:eastAsia="pt-BR"/>
        </w:rPr>
      </w:pPr>
      <w:bookmarkStart w:id="83" w:name="_Toc230204085"/>
      <w:r w:rsidRPr="00B74E01">
        <w:rPr>
          <w:rFonts w:eastAsia="Times New Roman"/>
          <w:lang w:eastAsia="pt-BR"/>
        </w:rPr>
        <w:t>8.8. Leitura dos principais grupos de custos não salariais</w:t>
      </w:r>
      <w:bookmarkEnd w:id="83"/>
    </w:p>
    <w:p w14:paraId="07840A43"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Para fins de compreensão da composição do OPEX, os demais custos operacionais podem ser agrupados por natureza.</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346"/>
        <w:gridCol w:w="3468"/>
        <w:gridCol w:w="3247"/>
      </w:tblGrid>
      <w:tr w:rsidR="00CF7ABE" w:rsidRPr="00B74E01" w14:paraId="0A2D3C62" w14:textId="77777777" w:rsidTr="00671A31">
        <w:trPr>
          <w:tblHeader/>
          <w:tblCellSpacing w:w="15" w:type="dxa"/>
        </w:trPr>
        <w:tc>
          <w:tcPr>
            <w:tcW w:w="0" w:type="auto"/>
            <w:vAlign w:val="center"/>
            <w:hideMark/>
          </w:tcPr>
          <w:p w14:paraId="6F8A6967" w14:textId="77777777" w:rsidR="00CF7ABE" w:rsidRPr="00B74E01" w:rsidRDefault="00CF7ABE" w:rsidP="00746B3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Grupo de custo</w:t>
            </w:r>
          </w:p>
        </w:tc>
        <w:tc>
          <w:tcPr>
            <w:tcW w:w="0" w:type="auto"/>
            <w:vAlign w:val="center"/>
            <w:hideMark/>
          </w:tcPr>
          <w:p w14:paraId="2BFA960C" w14:textId="77777777" w:rsidR="00CF7ABE" w:rsidRPr="00B74E01" w:rsidRDefault="00CF7ABE" w:rsidP="00746B3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Itens principais</w:t>
            </w:r>
          </w:p>
        </w:tc>
        <w:tc>
          <w:tcPr>
            <w:tcW w:w="0" w:type="auto"/>
            <w:vAlign w:val="center"/>
            <w:hideMark/>
          </w:tcPr>
          <w:p w14:paraId="475B0720" w14:textId="77777777" w:rsidR="00CF7ABE" w:rsidRPr="00B74E01" w:rsidRDefault="00CF7ABE" w:rsidP="00746B3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Função operacional</w:t>
            </w:r>
          </w:p>
        </w:tc>
      </w:tr>
      <w:tr w:rsidR="00CF7ABE" w:rsidRPr="00B74E01" w14:paraId="2DFE8486" w14:textId="77777777" w:rsidTr="00671A31">
        <w:trPr>
          <w:tblCellSpacing w:w="15" w:type="dxa"/>
        </w:trPr>
        <w:tc>
          <w:tcPr>
            <w:tcW w:w="0" w:type="auto"/>
            <w:vAlign w:val="center"/>
            <w:hideMark/>
          </w:tcPr>
          <w:p w14:paraId="04722258"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Saúde, segurança e benefícios</w:t>
            </w:r>
          </w:p>
        </w:tc>
        <w:tc>
          <w:tcPr>
            <w:tcW w:w="0" w:type="auto"/>
            <w:vAlign w:val="center"/>
            <w:hideMark/>
          </w:tcPr>
          <w:p w14:paraId="299C39ED"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Assistência médica, EPIs, botas, seguros de funcionários</w:t>
            </w:r>
          </w:p>
        </w:tc>
        <w:tc>
          <w:tcPr>
            <w:tcW w:w="0" w:type="auto"/>
            <w:vAlign w:val="center"/>
            <w:hideMark/>
          </w:tcPr>
          <w:p w14:paraId="6966F629"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Proteção dos trabalhadores e conformidade trabalhista</w:t>
            </w:r>
          </w:p>
        </w:tc>
      </w:tr>
      <w:tr w:rsidR="00CF7ABE" w:rsidRPr="00B74E01" w14:paraId="596C611E" w14:textId="77777777" w:rsidTr="00671A31">
        <w:trPr>
          <w:tblCellSpacing w:w="15" w:type="dxa"/>
        </w:trPr>
        <w:tc>
          <w:tcPr>
            <w:tcW w:w="0" w:type="auto"/>
            <w:vAlign w:val="center"/>
            <w:hideMark/>
          </w:tcPr>
          <w:p w14:paraId="182EC54D"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lastRenderedPageBreak/>
              <w:t>Logística de pessoal</w:t>
            </w:r>
          </w:p>
        </w:tc>
        <w:tc>
          <w:tcPr>
            <w:tcW w:w="0" w:type="auto"/>
            <w:vAlign w:val="center"/>
            <w:hideMark/>
          </w:tcPr>
          <w:p w14:paraId="5553CC6D"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Transporte e alimentação</w:t>
            </w:r>
          </w:p>
        </w:tc>
        <w:tc>
          <w:tcPr>
            <w:tcW w:w="0" w:type="auto"/>
            <w:vAlign w:val="center"/>
            <w:hideMark/>
          </w:tcPr>
          <w:p w14:paraId="0AD646F2"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Viabilizar operação e deslocamento da equipe</w:t>
            </w:r>
          </w:p>
        </w:tc>
      </w:tr>
      <w:tr w:rsidR="00CF7ABE" w:rsidRPr="00B74E01" w14:paraId="034E5D4F" w14:textId="77777777" w:rsidTr="00671A31">
        <w:trPr>
          <w:tblCellSpacing w:w="15" w:type="dxa"/>
        </w:trPr>
        <w:tc>
          <w:tcPr>
            <w:tcW w:w="0" w:type="auto"/>
            <w:vAlign w:val="center"/>
            <w:hideMark/>
          </w:tcPr>
          <w:p w14:paraId="2DD6A65F"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Manutenção e operação</w:t>
            </w:r>
          </w:p>
        </w:tc>
        <w:tc>
          <w:tcPr>
            <w:tcW w:w="0" w:type="auto"/>
            <w:vAlign w:val="center"/>
            <w:hideMark/>
          </w:tcPr>
          <w:p w14:paraId="1EB968A0"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Manutenções, combustível, lubrificantes, energia DC</w:t>
            </w:r>
          </w:p>
        </w:tc>
        <w:tc>
          <w:tcPr>
            <w:tcW w:w="0" w:type="auto"/>
            <w:vAlign w:val="center"/>
            <w:hideMark/>
          </w:tcPr>
          <w:p w14:paraId="49EF7AFF"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Preservar disponibilidade da planta</w:t>
            </w:r>
          </w:p>
        </w:tc>
      </w:tr>
      <w:tr w:rsidR="00CF7ABE" w:rsidRPr="00B74E01" w14:paraId="134D1616" w14:textId="77777777" w:rsidTr="00671A31">
        <w:trPr>
          <w:tblCellSpacing w:w="15" w:type="dxa"/>
        </w:trPr>
        <w:tc>
          <w:tcPr>
            <w:tcW w:w="0" w:type="auto"/>
            <w:vAlign w:val="center"/>
            <w:hideMark/>
          </w:tcPr>
          <w:p w14:paraId="705E5CEA"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Administração e comunicação</w:t>
            </w:r>
          </w:p>
        </w:tc>
        <w:tc>
          <w:tcPr>
            <w:tcW w:w="0" w:type="auto"/>
            <w:vAlign w:val="center"/>
            <w:hideMark/>
          </w:tcPr>
          <w:p w14:paraId="6F1F6635"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Internet, telefone, expediente, material publicitário</w:t>
            </w:r>
          </w:p>
        </w:tc>
        <w:tc>
          <w:tcPr>
            <w:tcW w:w="0" w:type="auto"/>
            <w:vAlign w:val="center"/>
            <w:hideMark/>
          </w:tcPr>
          <w:p w14:paraId="22A0F112"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Apoio administrativo e comunicação institucional</w:t>
            </w:r>
          </w:p>
        </w:tc>
      </w:tr>
      <w:tr w:rsidR="00CF7ABE" w:rsidRPr="00B74E01" w14:paraId="387709A7" w14:textId="77777777" w:rsidTr="00671A31">
        <w:trPr>
          <w:tblCellSpacing w:w="15" w:type="dxa"/>
        </w:trPr>
        <w:tc>
          <w:tcPr>
            <w:tcW w:w="0" w:type="auto"/>
            <w:vAlign w:val="center"/>
            <w:hideMark/>
          </w:tcPr>
          <w:p w14:paraId="0F54F59B"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Assessoria e suporte técnico</w:t>
            </w:r>
          </w:p>
        </w:tc>
        <w:tc>
          <w:tcPr>
            <w:tcW w:w="0" w:type="auto"/>
            <w:vAlign w:val="center"/>
            <w:hideMark/>
          </w:tcPr>
          <w:p w14:paraId="495EE3D8"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Jurídica, contábil, zeladoria e segurança</w:t>
            </w:r>
          </w:p>
        </w:tc>
        <w:tc>
          <w:tcPr>
            <w:tcW w:w="0" w:type="auto"/>
            <w:vAlign w:val="center"/>
            <w:hideMark/>
          </w:tcPr>
          <w:p w14:paraId="5857B992"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Governança, conformidade e suporte operacional</w:t>
            </w:r>
          </w:p>
        </w:tc>
      </w:tr>
      <w:tr w:rsidR="00CF7ABE" w:rsidRPr="00B74E01" w14:paraId="00B31354" w14:textId="77777777" w:rsidTr="00671A31">
        <w:trPr>
          <w:tblCellSpacing w:w="15" w:type="dxa"/>
        </w:trPr>
        <w:tc>
          <w:tcPr>
            <w:tcW w:w="0" w:type="auto"/>
            <w:vAlign w:val="center"/>
            <w:hideMark/>
          </w:tcPr>
          <w:p w14:paraId="49BA2FEC"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Seguros e encargos patrimoniais</w:t>
            </w:r>
          </w:p>
        </w:tc>
        <w:tc>
          <w:tcPr>
            <w:tcW w:w="0" w:type="auto"/>
            <w:vAlign w:val="center"/>
            <w:hideMark/>
          </w:tcPr>
          <w:p w14:paraId="06CD4BED"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Seguro de responsabilidade civil, sinistros, IPTU e taxas</w:t>
            </w:r>
          </w:p>
        </w:tc>
        <w:tc>
          <w:tcPr>
            <w:tcW w:w="0" w:type="auto"/>
            <w:vAlign w:val="center"/>
            <w:hideMark/>
          </w:tcPr>
          <w:p w14:paraId="0CE678C0"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Proteção patrimonial, fiscal e regulatória</w:t>
            </w:r>
          </w:p>
        </w:tc>
      </w:tr>
    </w:tbl>
    <w:p w14:paraId="70F92C1E"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Esse agrupamento ajuda a demonstrar que o OPEX foi estruturado para cobrir operação regular, e não apenas despesas de folha.</w:t>
      </w:r>
    </w:p>
    <w:p w14:paraId="0648B307" w14:textId="77777777" w:rsidR="00CF7ABE" w:rsidRPr="00B74E01" w:rsidRDefault="00CF7ABE" w:rsidP="00746B30">
      <w:pPr>
        <w:pStyle w:val="Ttulo2"/>
        <w:rPr>
          <w:rFonts w:eastAsia="Times New Roman"/>
          <w:lang w:eastAsia="pt-BR"/>
        </w:rPr>
      </w:pPr>
      <w:bookmarkStart w:id="84" w:name="_Toc230204086"/>
      <w:r w:rsidRPr="00B74E01">
        <w:rPr>
          <w:rFonts w:eastAsia="Times New Roman"/>
          <w:lang w:eastAsia="pt-BR"/>
        </w:rPr>
        <w:t>8.9. OPEX total revisado</w:t>
      </w:r>
      <w:bookmarkEnd w:id="84"/>
    </w:p>
    <w:p w14:paraId="2E08CF56"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partir da soma da mão de obra ativa e dos demais custos operacionais, chega-se ao OPEX total revisado.</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097"/>
        <w:gridCol w:w="1655"/>
        <w:gridCol w:w="1855"/>
        <w:gridCol w:w="1523"/>
      </w:tblGrid>
      <w:tr w:rsidR="00CF7ABE" w:rsidRPr="00B74E01" w14:paraId="5C60E33F" w14:textId="77777777" w:rsidTr="00671A31">
        <w:trPr>
          <w:tblHeader/>
          <w:tblCellSpacing w:w="15" w:type="dxa"/>
        </w:trPr>
        <w:tc>
          <w:tcPr>
            <w:tcW w:w="0" w:type="auto"/>
            <w:vAlign w:val="center"/>
            <w:hideMark/>
          </w:tcPr>
          <w:p w14:paraId="2306EE23" w14:textId="77777777" w:rsidR="00CF7ABE" w:rsidRPr="00B74E01" w:rsidRDefault="00CF7ABE" w:rsidP="00746B3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Componente</w:t>
            </w:r>
          </w:p>
        </w:tc>
        <w:tc>
          <w:tcPr>
            <w:tcW w:w="0" w:type="auto"/>
            <w:vAlign w:val="center"/>
            <w:hideMark/>
          </w:tcPr>
          <w:p w14:paraId="5BEA6AA9" w14:textId="77777777" w:rsidR="00CF7ABE" w:rsidRPr="00B74E01" w:rsidRDefault="00CF7ABE" w:rsidP="00746B3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 mensal</w:t>
            </w:r>
          </w:p>
        </w:tc>
        <w:tc>
          <w:tcPr>
            <w:tcW w:w="0" w:type="auto"/>
            <w:vAlign w:val="center"/>
            <w:hideMark/>
          </w:tcPr>
          <w:p w14:paraId="4B0ACD34" w14:textId="77777777" w:rsidR="00CF7ABE" w:rsidRPr="00B74E01" w:rsidRDefault="00CF7ABE" w:rsidP="00746B3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 anual</w:t>
            </w:r>
          </w:p>
        </w:tc>
        <w:tc>
          <w:tcPr>
            <w:tcW w:w="0" w:type="auto"/>
            <w:vAlign w:val="center"/>
            <w:hideMark/>
          </w:tcPr>
          <w:p w14:paraId="786F2EBC" w14:textId="77777777" w:rsidR="00CF7ABE" w:rsidRPr="00B74E01" w:rsidRDefault="00CF7ABE" w:rsidP="00746B3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Participação</w:t>
            </w:r>
          </w:p>
        </w:tc>
      </w:tr>
      <w:tr w:rsidR="00CF7ABE" w:rsidRPr="00B74E01" w14:paraId="570319F0" w14:textId="77777777" w:rsidTr="00671A31">
        <w:trPr>
          <w:tblCellSpacing w:w="15" w:type="dxa"/>
        </w:trPr>
        <w:tc>
          <w:tcPr>
            <w:tcW w:w="0" w:type="auto"/>
            <w:vAlign w:val="center"/>
            <w:hideMark/>
          </w:tcPr>
          <w:p w14:paraId="0BFAD8F5"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Mão de obra ativa</w:t>
            </w:r>
          </w:p>
        </w:tc>
        <w:tc>
          <w:tcPr>
            <w:tcW w:w="0" w:type="auto"/>
            <w:vAlign w:val="center"/>
            <w:hideMark/>
          </w:tcPr>
          <w:p w14:paraId="3161E627"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R$ 219.465,24</w:t>
            </w:r>
          </w:p>
        </w:tc>
        <w:tc>
          <w:tcPr>
            <w:tcW w:w="0" w:type="auto"/>
            <w:vAlign w:val="center"/>
            <w:hideMark/>
          </w:tcPr>
          <w:p w14:paraId="13C73406"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R$ 2.633.582,88</w:t>
            </w:r>
          </w:p>
        </w:tc>
        <w:tc>
          <w:tcPr>
            <w:tcW w:w="0" w:type="auto"/>
            <w:vAlign w:val="center"/>
            <w:hideMark/>
          </w:tcPr>
          <w:p w14:paraId="5C237317"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68,91%</w:t>
            </w:r>
          </w:p>
        </w:tc>
      </w:tr>
      <w:tr w:rsidR="00CF7ABE" w:rsidRPr="00B74E01" w14:paraId="5F42B79D" w14:textId="77777777" w:rsidTr="00671A31">
        <w:trPr>
          <w:tblCellSpacing w:w="15" w:type="dxa"/>
        </w:trPr>
        <w:tc>
          <w:tcPr>
            <w:tcW w:w="0" w:type="auto"/>
            <w:vAlign w:val="center"/>
            <w:hideMark/>
          </w:tcPr>
          <w:p w14:paraId="2D06EB33"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Demais custos operacionais</w:t>
            </w:r>
          </w:p>
        </w:tc>
        <w:tc>
          <w:tcPr>
            <w:tcW w:w="0" w:type="auto"/>
            <w:vAlign w:val="center"/>
            <w:hideMark/>
          </w:tcPr>
          <w:p w14:paraId="7D79C34A"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R$ 99.030,83</w:t>
            </w:r>
          </w:p>
        </w:tc>
        <w:tc>
          <w:tcPr>
            <w:tcW w:w="0" w:type="auto"/>
            <w:vAlign w:val="center"/>
            <w:hideMark/>
          </w:tcPr>
          <w:p w14:paraId="4345DDD3"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R$ 1.188.370,00</w:t>
            </w:r>
          </w:p>
        </w:tc>
        <w:tc>
          <w:tcPr>
            <w:tcW w:w="0" w:type="auto"/>
            <w:vAlign w:val="center"/>
            <w:hideMark/>
          </w:tcPr>
          <w:p w14:paraId="6A5BCFE0"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31,09%</w:t>
            </w:r>
          </w:p>
        </w:tc>
      </w:tr>
      <w:tr w:rsidR="00CF7ABE" w:rsidRPr="00B74E01" w14:paraId="5A084B13" w14:textId="77777777" w:rsidTr="00671A31">
        <w:trPr>
          <w:tblCellSpacing w:w="15" w:type="dxa"/>
        </w:trPr>
        <w:tc>
          <w:tcPr>
            <w:tcW w:w="0" w:type="auto"/>
            <w:vAlign w:val="center"/>
            <w:hideMark/>
          </w:tcPr>
          <w:p w14:paraId="1D8AE9D0"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OPEX total revisado</w:t>
            </w:r>
          </w:p>
        </w:tc>
        <w:tc>
          <w:tcPr>
            <w:tcW w:w="0" w:type="auto"/>
            <w:vAlign w:val="center"/>
            <w:hideMark/>
          </w:tcPr>
          <w:p w14:paraId="753899FD"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R$ 318.496,07</w:t>
            </w:r>
          </w:p>
        </w:tc>
        <w:tc>
          <w:tcPr>
            <w:tcW w:w="0" w:type="auto"/>
            <w:vAlign w:val="center"/>
            <w:hideMark/>
          </w:tcPr>
          <w:p w14:paraId="17787F6A"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R$ 3.821.952,88</w:t>
            </w:r>
          </w:p>
        </w:tc>
        <w:tc>
          <w:tcPr>
            <w:tcW w:w="0" w:type="auto"/>
            <w:vAlign w:val="center"/>
            <w:hideMark/>
          </w:tcPr>
          <w:p w14:paraId="04BCCCC5"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100,00%</w:t>
            </w:r>
          </w:p>
        </w:tc>
      </w:tr>
    </w:tbl>
    <w:p w14:paraId="0B3509DF"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O OPEX mensal revisado de </w:t>
      </w:r>
      <w:r w:rsidRPr="00B74E01">
        <w:rPr>
          <w:rFonts w:eastAsia="Times New Roman" w:cs="Arial"/>
          <w:b/>
          <w:bCs/>
          <w:kern w:val="0"/>
          <w:lang w:eastAsia="pt-BR"/>
          <w14:ligatures w14:val="none"/>
        </w:rPr>
        <w:t>R$ 318.496,07</w:t>
      </w:r>
      <w:r w:rsidRPr="00B74E01">
        <w:rPr>
          <w:rFonts w:eastAsia="Times New Roman" w:cs="Arial"/>
          <w:kern w:val="0"/>
          <w:lang w:eastAsia="pt-BR"/>
          <w14:ligatures w14:val="none"/>
        </w:rPr>
        <w:t xml:space="preserve"> é o valor utilizado na modelagem para cálculo do EBITDA, capital de giro, fluxo de caixa e capacidade de cobertura da dívida.</w:t>
      </w:r>
    </w:p>
    <w:p w14:paraId="0032D1DA" w14:textId="77777777" w:rsidR="00CF7ABE" w:rsidRPr="00B74E01" w:rsidRDefault="00CF7ABE" w:rsidP="00746B30">
      <w:pPr>
        <w:pStyle w:val="Ttulo2"/>
        <w:rPr>
          <w:rFonts w:eastAsia="Times New Roman"/>
          <w:lang w:eastAsia="pt-BR"/>
        </w:rPr>
      </w:pPr>
      <w:bookmarkStart w:id="85" w:name="_Toc230204087"/>
      <w:r w:rsidRPr="00B74E01">
        <w:rPr>
          <w:rFonts w:eastAsia="Times New Roman"/>
          <w:lang w:eastAsia="pt-BR"/>
        </w:rPr>
        <w:t>8.10. Relação entre OPEX e EBITDA</w:t>
      </w:r>
      <w:bookmarkEnd w:id="85"/>
    </w:p>
    <w:p w14:paraId="38A9459A"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O OPEX é deduzido da receita operacional líquida para cálculo do EBITDA.</w:t>
      </w:r>
    </w:p>
    <w:p w14:paraId="50E001A2"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No cenário-base sem receitas acessórias, a relação é a seguinte:</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951"/>
        <w:gridCol w:w="1735"/>
        <w:gridCol w:w="1950"/>
      </w:tblGrid>
      <w:tr w:rsidR="00CF7ABE" w:rsidRPr="00B74E01" w14:paraId="51724EBF" w14:textId="77777777" w:rsidTr="00671A31">
        <w:trPr>
          <w:tblHeader/>
          <w:tblCellSpacing w:w="15" w:type="dxa"/>
        </w:trPr>
        <w:tc>
          <w:tcPr>
            <w:tcW w:w="0" w:type="auto"/>
            <w:vAlign w:val="center"/>
            <w:hideMark/>
          </w:tcPr>
          <w:p w14:paraId="3CAB802A" w14:textId="77777777" w:rsidR="00CF7ABE" w:rsidRPr="00B74E01" w:rsidRDefault="00CF7ABE" w:rsidP="00746B3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lastRenderedPageBreak/>
              <w:t>Item</w:t>
            </w:r>
          </w:p>
        </w:tc>
        <w:tc>
          <w:tcPr>
            <w:tcW w:w="0" w:type="auto"/>
            <w:vAlign w:val="center"/>
            <w:hideMark/>
          </w:tcPr>
          <w:p w14:paraId="1A609CB5" w14:textId="77777777" w:rsidR="00CF7ABE" w:rsidRPr="00B74E01" w:rsidRDefault="00CF7ABE" w:rsidP="00746B3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 mensal</w:t>
            </w:r>
          </w:p>
        </w:tc>
        <w:tc>
          <w:tcPr>
            <w:tcW w:w="0" w:type="auto"/>
            <w:vAlign w:val="center"/>
            <w:hideMark/>
          </w:tcPr>
          <w:p w14:paraId="0768903E" w14:textId="77777777" w:rsidR="00CF7ABE" w:rsidRPr="00B74E01" w:rsidRDefault="00CF7ABE" w:rsidP="00746B3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 anual</w:t>
            </w:r>
          </w:p>
        </w:tc>
      </w:tr>
      <w:tr w:rsidR="00CF7ABE" w:rsidRPr="00B74E01" w14:paraId="1E506664" w14:textId="77777777" w:rsidTr="00671A31">
        <w:trPr>
          <w:tblCellSpacing w:w="15" w:type="dxa"/>
        </w:trPr>
        <w:tc>
          <w:tcPr>
            <w:tcW w:w="0" w:type="auto"/>
            <w:vAlign w:val="center"/>
            <w:hideMark/>
          </w:tcPr>
          <w:p w14:paraId="2943E661"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 operacional líquida principal</w:t>
            </w:r>
          </w:p>
        </w:tc>
        <w:tc>
          <w:tcPr>
            <w:tcW w:w="0" w:type="auto"/>
            <w:vAlign w:val="center"/>
            <w:hideMark/>
          </w:tcPr>
          <w:p w14:paraId="2CE9EDC8"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R$ 633.102,77</w:t>
            </w:r>
          </w:p>
        </w:tc>
        <w:tc>
          <w:tcPr>
            <w:tcW w:w="0" w:type="auto"/>
            <w:vAlign w:val="center"/>
            <w:hideMark/>
          </w:tcPr>
          <w:p w14:paraId="2553E3A1"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R$ 7.597.233,17</w:t>
            </w:r>
          </w:p>
        </w:tc>
      </w:tr>
      <w:tr w:rsidR="00CF7ABE" w:rsidRPr="00B74E01" w14:paraId="2A5ECC67" w14:textId="77777777" w:rsidTr="00671A31">
        <w:trPr>
          <w:tblCellSpacing w:w="15" w:type="dxa"/>
        </w:trPr>
        <w:tc>
          <w:tcPr>
            <w:tcW w:w="0" w:type="auto"/>
            <w:vAlign w:val="center"/>
            <w:hideMark/>
          </w:tcPr>
          <w:p w14:paraId="0D74C813"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OPEX revisado</w:t>
            </w:r>
          </w:p>
        </w:tc>
        <w:tc>
          <w:tcPr>
            <w:tcW w:w="0" w:type="auto"/>
            <w:vAlign w:val="center"/>
            <w:hideMark/>
          </w:tcPr>
          <w:p w14:paraId="542C27CA"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-R$ 318.496,07</w:t>
            </w:r>
          </w:p>
        </w:tc>
        <w:tc>
          <w:tcPr>
            <w:tcW w:w="0" w:type="auto"/>
            <w:vAlign w:val="center"/>
            <w:hideMark/>
          </w:tcPr>
          <w:p w14:paraId="3CFF54A3"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-R$ 3.821.952,88</w:t>
            </w:r>
          </w:p>
        </w:tc>
      </w:tr>
      <w:tr w:rsidR="00CF7ABE" w:rsidRPr="00B74E01" w14:paraId="0B79DBC6" w14:textId="77777777" w:rsidTr="00671A31">
        <w:trPr>
          <w:tblCellSpacing w:w="15" w:type="dxa"/>
        </w:trPr>
        <w:tc>
          <w:tcPr>
            <w:tcW w:w="0" w:type="auto"/>
            <w:vAlign w:val="center"/>
            <w:hideMark/>
          </w:tcPr>
          <w:p w14:paraId="11D4676F"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EBITDA sem receitas acessórias</w:t>
            </w:r>
          </w:p>
        </w:tc>
        <w:tc>
          <w:tcPr>
            <w:tcW w:w="0" w:type="auto"/>
            <w:vAlign w:val="center"/>
            <w:hideMark/>
          </w:tcPr>
          <w:p w14:paraId="1C90C2E7"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R$ 314.606,70</w:t>
            </w:r>
          </w:p>
        </w:tc>
        <w:tc>
          <w:tcPr>
            <w:tcW w:w="0" w:type="auto"/>
            <w:vAlign w:val="center"/>
            <w:hideMark/>
          </w:tcPr>
          <w:p w14:paraId="7891C685" w14:textId="77777777" w:rsidR="00CF7ABE" w:rsidRPr="00B74E01" w:rsidRDefault="00CF7ABE" w:rsidP="00746B3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R$ 3.775.280,29</w:t>
            </w:r>
          </w:p>
        </w:tc>
      </w:tr>
    </w:tbl>
    <w:p w14:paraId="5CF0ED5B"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Essa relação demonstra que o OPEX consome aproximadamente metade da receita operacional líquida principal, preservando EBITDA positivo mesmo sem receitas acessórias.</w:t>
      </w:r>
    </w:p>
    <w:p w14:paraId="21CE9F44"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No entanto, a margem ainda é restrita para cobertura confortável da dívida, o que reforça a necessidade de garantias sobre as receitas principais e de análise cuidadosa da sensibilidade do OPEX.</w:t>
      </w:r>
    </w:p>
    <w:p w14:paraId="12AEC0CC" w14:textId="77777777" w:rsidR="00CF7ABE" w:rsidRPr="00B74E01" w:rsidRDefault="00CF7ABE" w:rsidP="00746B30">
      <w:pPr>
        <w:pStyle w:val="Ttulo2"/>
        <w:rPr>
          <w:rFonts w:eastAsia="Times New Roman"/>
          <w:lang w:eastAsia="pt-BR"/>
        </w:rPr>
      </w:pPr>
      <w:bookmarkStart w:id="86" w:name="_Toc230204088"/>
      <w:r w:rsidRPr="00B74E01">
        <w:rPr>
          <w:rFonts w:eastAsia="Times New Roman"/>
          <w:lang w:eastAsia="pt-BR"/>
        </w:rPr>
        <w:t>8.11. Sensibilidade do OPEX</w:t>
      </w:r>
      <w:bookmarkEnd w:id="86"/>
    </w:p>
    <w:p w14:paraId="55270270"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Como o OPEX afeta diretamente o resultado operacional, recomenda-se que a modelagem teste variações de </w:t>
      </w:r>
      <w:r w:rsidRPr="00B74E01">
        <w:rPr>
          <w:rFonts w:eastAsia="Times New Roman" w:cs="Arial"/>
          <w:b/>
          <w:bCs/>
          <w:kern w:val="0"/>
          <w:lang w:eastAsia="pt-BR"/>
          <w14:ligatures w14:val="none"/>
        </w:rPr>
        <w:t>-10%, base e +10%</w:t>
      </w:r>
      <w:r w:rsidRPr="00B74E01">
        <w:rPr>
          <w:rFonts w:eastAsia="Times New Roman" w:cs="Arial"/>
          <w:kern w:val="0"/>
          <w:lang w:eastAsia="pt-BR"/>
          <w14:ligatures w14:val="none"/>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121"/>
        <w:gridCol w:w="1389"/>
        <w:gridCol w:w="2406"/>
        <w:gridCol w:w="1980"/>
        <w:gridCol w:w="1389"/>
        <w:gridCol w:w="776"/>
      </w:tblGrid>
      <w:tr w:rsidR="00CF7ABE" w:rsidRPr="00B74E01" w14:paraId="1FBB8A60" w14:textId="77777777" w:rsidTr="00671A31">
        <w:trPr>
          <w:tblHeade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54956298" w14:textId="77777777" w:rsidR="00CF7ABE" w:rsidRPr="00B74E01" w:rsidRDefault="00CF7ABE" w:rsidP="00221F62">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Cenário</w:t>
            </w:r>
          </w:p>
        </w:tc>
        <w:tc>
          <w:tcPr>
            <w:tcW w:w="0" w:type="auto"/>
            <w:tcBorders>
              <w:top w:val="single" w:sz="4" w:space="0" w:color="auto"/>
              <w:left w:val="single" w:sz="4" w:space="0" w:color="auto"/>
              <w:bottom w:val="single" w:sz="4" w:space="0" w:color="auto"/>
              <w:right w:val="single" w:sz="4" w:space="0" w:color="auto"/>
            </w:tcBorders>
            <w:vAlign w:val="center"/>
            <w:hideMark/>
          </w:tcPr>
          <w:p w14:paraId="01F44E3E" w14:textId="77777777" w:rsidR="00CF7ABE" w:rsidRPr="00B74E01" w:rsidRDefault="00CF7ABE" w:rsidP="00221F62">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OPEX mensal</w:t>
            </w:r>
          </w:p>
        </w:tc>
        <w:tc>
          <w:tcPr>
            <w:tcW w:w="0" w:type="auto"/>
            <w:tcBorders>
              <w:top w:val="single" w:sz="4" w:space="0" w:color="auto"/>
              <w:left w:val="single" w:sz="4" w:space="0" w:color="auto"/>
              <w:bottom w:val="single" w:sz="4" w:space="0" w:color="auto"/>
              <w:right w:val="single" w:sz="4" w:space="0" w:color="auto"/>
            </w:tcBorders>
            <w:vAlign w:val="center"/>
            <w:hideMark/>
          </w:tcPr>
          <w:p w14:paraId="146A5F04" w14:textId="77777777" w:rsidR="00CF7ABE" w:rsidRPr="00B74E01" w:rsidRDefault="00CF7ABE" w:rsidP="00221F62">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EBITDA mensal com receitas acessórias</w:t>
            </w:r>
          </w:p>
        </w:tc>
        <w:tc>
          <w:tcPr>
            <w:tcW w:w="0" w:type="auto"/>
            <w:tcBorders>
              <w:top w:val="single" w:sz="4" w:space="0" w:color="auto"/>
              <w:left w:val="single" w:sz="4" w:space="0" w:color="auto"/>
              <w:bottom w:val="single" w:sz="4" w:space="0" w:color="auto"/>
              <w:right w:val="single" w:sz="4" w:space="0" w:color="auto"/>
            </w:tcBorders>
            <w:vAlign w:val="center"/>
            <w:hideMark/>
          </w:tcPr>
          <w:p w14:paraId="4FCBE2AA" w14:textId="77777777" w:rsidR="00CF7ABE" w:rsidRPr="00B74E01" w:rsidRDefault="00CF7ABE" w:rsidP="00221F62">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Serviço da dívida após carência</w:t>
            </w:r>
          </w:p>
        </w:tc>
        <w:tc>
          <w:tcPr>
            <w:tcW w:w="0" w:type="auto"/>
            <w:tcBorders>
              <w:top w:val="single" w:sz="4" w:space="0" w:color="auto"/>
              <w:left w:val="single" w:sz="4" w:space="0" w:color="auto"/>
              <w:bottom w:val="single" w:sz="4" w:space="0" w:color="auto"/>
              <w:right w:val="single" w:sz="4" w:space="0" w:color="auto"/>
            </w:tcBorders>
            <w:vAlign w:val="center"/>
            <w:hideMark/>
          </w:tcPr>
          <w:p w14:paraId="5BC365CE" w14:textId="77777777" w:rsidR="00CF7ABE" w:rsidRPr="00B74E01" w:rsidRDefault="00CF7ABE" w:rsidP="00221F62">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Sobra mensal</w:t>
            </w:r>
          </w:p>
        </w:tc>
        <w:tc>
          <w:tcPr>
            <w:tcW w:w="0" w:type="auto"/>
            <w:tcBorders>
              <w:top w:val="single" w:sz="4" w:space="0" w:color="auto"/>
              <w:left w:val="single" w:sz="4" w:space="0" w:color="auto"/>
              <w:bottom w:val="single" w:sz="4" w:space="0" w:color="auto"/>
              <w:right w:val="single" w:sz="4" w:space="0" w:color="auto"/>
            </w:tcBorders>
            <w:vAlign w:val="center"/>
            <w:hideMark/>
          </w:tcPr>
          <w:p w14:paraId="722565B3" w14:textId="77777777" w:rsidR="00CF7ABE" w:rsidRPr="00B74E01" w:rsidRDefault="00CF7ABE" w:rsidP="00221F62">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DSCR</w:t>
            </w:r>
          </w:p>
        </w:tc>
      </w:tr>
      <w:tr w:rsidR="00CF7ABE" w:rsidRPr="00B74E01" w14:paraId="68BA5F18" w14:textId="77777777" w:rsidTr="00671A31">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78B85293" w14:textId="77777777" w:rsidR="00CF7ABE" w:rsidRPr="00B74E01" w:rsidRDefault="00CF7ABE" w:rsidP="00221F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OPEX -10%</w:t>
            </w:r>
          </w:p>
        </w:tc>
        <w:tc>
          <w:tcPr>
            <w:tcW w:w="0" w:type="auto"/>
            <w:tcBorders>
              <w:top w:val="single" w:sz="4" w:space="0" w:color="auto"/>
              <w:left w:val="single" w:sz="4" w:space="0" w:color="auto"/>
              <w:bottom w:val="single" w:sz="4" w:space="0" w:color="auto"/>
              <w:right w:val="single" w:sz="4" w:space="0" w:color="auto"/>
            </w:tcBorders>
            <w:vAlign w:val="center"/>
            <w:hideMark/>
          </w:tcPr>
          <w:p w14:paraId="5244B91A" w14:textId="77777777" w:rsidR="00CF7ABE" w:rsidRPr="00B74E01" w:rsidRDefault="00CF7ABE" w:rsidP="00221F62">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R$ 286.646,46</w:t>
            </w:r>
          </w:p>
        </w:tc>
        <w:tc>
          <w:tcPr>
            <w:tcW w:w="0" w:type="auto"/>
            <w:tcBorders>
              <w:top w:val="single" w:sz="4" w:space="0" w:color="auto"/>
              <w:left w:val="single" w:sz="4" w:space="0" w:color="auto"/>
              <w:bottom w:val="single" w:sz="4" w:space="0" w:color="auto"/>
              <w:right w:val="single" w:sz="4" w:space="0" w:color="auto"/>
            </w:tcBorders>
            <w:vAlign w:val="center"/>
            <w:hideMark/>
          </w:tcPr>
          <w:p w14:paraId="317E0345" w14:textId="77777777" w:rsidR="00CF7ABE" w:rsidRPr="00B74E01" w:rsidRDefault="00CF7ABE" w:rsidP="00221F62">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R$ 1.138.941,37</w:t>
            </w:r>
          </w:p>
        </w:tc>
        <w:tc>
          <w:tcPr>
            <w:tcW w:w="0" w:type="auto"/>
            <w:tcBorders>
              <w:top w:val="single" w:sz="4" w:space="0" w:color="auto"/>
              <w:left w:val="single" w:sz="4" w:space="0" w:color="auto"/>
              <w:bottom w:val="single" w:sz="4" w:space="0" w:color="auto"/>
              <w:right w:val="single" w:sz="4" w:space="0" w:color="auto"/>
            </w:tcBorders>
            <w:vAlign w:val="center"/>
            <w:hideMark/>
          </w:tcPr>
          <w:p w14:paraId="4A504C53" w14:textId="77777777" w:rsidR="00CF7ABE" w:rsidRPr="00B74E01" w:rsidRDefault="00CF7ABE" w:rsidP="00221F62">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R$ 280.892,95</w:t>
            </w:r>
          </w:p>
        </w:tc>
        <w:tc>
          <w:tcPr>
            <w:tcW w:w="0" w:type="auto"/>
            <w:tcBorders>
              <w:top w:val="single" w:sz="4" w:space="0" w:color="auto"/>
              <w:left w:val="single" w:sz="4" w:space="0" w:color="auto"/>
              <w:bottom w:val="single" w:sz="4" w:space="0" w:color="auto"/>
              <w:right w:val="single" w:sz="4" w:space="0" w:color="auto"/>
            </w:tcBorders>
            <w:vAlign w:val="center"/>
            <w:hideMark/>
          </w:tcPr>
          <w:p w14:paraId="058CF954" w14:textId="77777777" w:rsidR="00CF7ABE" w:rsidRPr="00B74E01" w:rsidRDefault="00CF7ABE" w:rsidP="00221F62">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R$ 858.048,42</w:t>
            </w:r>
          </w:p>
        </w:tc>
        <w:tc>
          <w:tcPr>
            <w:tcW w:w="0" w:type="auto"/>
            <w:tcBorders>
              <w:top w:val="single" w:sz="4" w:space="0" w:color="auto"/>
              <w:left w:val="single" w:sz="4" w:space="0" w:color="auto"/>
              <w:bottom w:val="single" w:sz="4" w:space="0" w:color="auto"/>
              <w:right w:val="single" w:sz="4" w:space="0" w:color="auto"/>
            </w:tcBorders>
            <w:vAlign w:val="center"/>
            <w:hideMark/>
          </w:tcPr>
          <w:p w14:paraId="0C45B195" w14:textId="77777777" w:rsidR="00CF7ABE" w:rsidRPr="00B74E01" w:rsidRDefault="00CF7ABE" w:rsidP="00221F62">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4,05x</w:t>
            </w:r>
          </w:p>
        </w:tc>
      </w:tr>
      <w:tr w:rsidR="00CF7ABE" w:rsidRPr="00B74E01" w14:paraId="1E67845C" w14:textId="77777777" w:rsidTr="00671A31">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50DEFDE0" w14:textId="77777777" w:rsidR="00CF7ABE" w:rsidRPr="00B74E01" w:rsidRDefault="00CF7ABE" w:rsidP="00221F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OPEX base</w:t>
            </w:r>
          </w:p>
        </w:tc>
        <w:tc>
          <w:tcPr>
            <w:tcW w:w="0" w:type="auto"/>
            <w:tcBorders>
              <w:top w:val="single" w:sz="4" w:space="0" w:color="auto"/>
              <w:left w:val="single" w:sz="4" w:space="0" w:color="auto"/>
              <w:bottom w:val="single" w:sz="4" w:space="0" w:color="auto"/>
              <w:right w:val="single" w:sz="4" w:space="0" w:color="auto"/>
            </w:tcBorders>
            <w:vAlign w:val="center"/>
            <w:hideMark/>
          </w:tcPr>
          <w:p w14:paraId="15BE5245" w14:textId="77777777" w:rsidR="00CF7ABE" w:rsidRPr="00B74E01" w:rsidRDefault="00CF7ABE" w:rsidP="00221F62">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R$ 318.496,07</w:t>
            </w:r>
          </w:p>
        </w:tc>
        <w:tc>
          <w:tcPr>
            <w:tcW w:w="0" w:type="auto"/>
            <w:tcBorders>
              <w:top w:val="single" w:sz="4" w:space="0" w:color="auto"/>
              <w:left w:val="single" w:sz="4" w:space="0" w:color="auto"/>
              <w:bottom w:val="single" w:sz="4" w:space="0" w:color="auto"/>
              <w:right w:val="single" w:sz="4" w:space="0" w:color="auto"/>
            </w:tcBorders>
            <w:vAlign w:val="center"/>
            <w:hideMark/>
          </w:tcPr>
          <w:p w14:paraId="4166D704" w14:textId="77777777" w:rsidR="00CF7ABE" w:rsidRPr="00B74E01" w:rsidRDefault="00CF7ABE" w:rsidP="00221F62">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R$ 1.107.091,76</w:t>
            </w:r>
          </w:p>
        </w:tc>
        <w:tc>
          <w:tcPr>
            <w:tcW w:w="0" w:type="auto"/>
            <w:tcBorders>
              <w:top w:val="single" w:sz="4" w:space="0" w:color="auto"/>
              <w:left w:val="single" w:sz="4" w:space="0" w:color="auto"/>
              <w:bottom w:val="single" w:sz="4" w:space="0" w:color="auto"/>
              <w:right w:val="single" w:sz="4" w:space="0" w:color="auto"/>
            </w:tcBorders>
            <w:vAlign w:val="center"/>
            <w:hideMark/>
          </w:tcPr>
          <w:p w14:paraId="215385E7" w14:textId="77777777" w:rsidR="00CF7ABE" w:rsidRPr="00B74E01" w:rsidRDefault="00CF7ABE" w:rsidP="00221F62">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R$ 280.892,95</w:t>
            </w:r>
          </w:p>
        </w:tc>
        <w:tc>
          <w:tcPr>
            <w:tcW w:w="0" w:type="auto"/>
            <w:tcBorders>
              <w:top w:val="single" w:sz="4" w:space="0" w:color="auto"/>
              <w:left w:val="single" w:sz="4" w:space="0" w:color="auto"/>
              <w:bottom w:val="single" w:sz="4" w:space="0" w:color="auto"/>
              <w:right w:val="single" w:sz="4" w:space="0" w:color="auto"/>
            </w:tcBorders>
            <w:vAlign w:val="center"/>
            <w:hideMark/>
          </w:tcPr>
          <w:p w14:paraId="1C44B368" w14:textId="77777777" w:rsidR="00CF7ABE" w:rsidRPr="00B74E01" w:rsidRDefault="00CF7ABE" w:rsidP="00221F62">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R$ 826.198,81</w:t>
            </w:r>
          </w:p>
        </w:tc>
        <w:tc>
          <w:tcPr>
            <w:tcW w:w="0" w:type="auto"/>
            <w:tcBorders>
              <w:top w:val="single" w:sz="4" w:space="0" w:color="auto"/>
              <w:left w:val="single" w:sz="4" w:space="0" w:color="auto"/>
              <w:bottom w:val="single" w:sz="4" w:space="0" w:color="auto"/>
              <w:right w:val="single" w:sz="4" w:space="0" w:color="auto"/>
            </w:tcBorders>
            <w:vAlign w:val="center"/>
            <w:hideMark/>
          </w:tcPr>
          <w:p w14:paraId="12A35102" w14:textId="77777777" w:rsidR="00CF7ABE" w:rsidRPr="00B74E01" w:rsidRDefault="00CF7ABE" w:rsidP="00221F62">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3,94x</w:t>
            </w:r>
          </w:p>
        </w:tc>
      </w:tr>
      <w:tr w:rsidR="00CF7ABE" w:rsidRPr="00B74E01" w14:paraId="4B0AE7E9" w14:textId="77777777" w:rsidTr="00671A31">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044D6D9B" w14:textId="77777777" w:rsidR="00CF7ABE" w:rsidRPr="00B74E01" w:rsidRDefault="00CF7ABE" w:rsidP="00221F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OPEX +10%</w:t>
            </w:r>
          </w:p>
        </w:tc>
        <w:tc>
          <w:tcPr>
            <w:tcW w:w="0" w:type="auto"/>
            <w:tcBorders>
              <w:top w:val="single" w:sz="4" w:space="0" w:color="auto"/>
              <w:left w:val="single" w:sz="4" w:space="0" w:color="auto"/>
              <w:bottom w:val="single" w:sz="4" w:space="0" w:color="auto"/>
              <w:right w:val="single" w:sz="4" w:space="0" w:color="auto"/>
            </w:tcBorders>
            <w:vAlign w:val="center"/>
            <w:hideMark/>
          </w:tcPr>
          <w:p w14:paraId="29727EEB" w14:textId="77777777" w:rsidR="00CF7ABE" w:rsidRPr="00B74E01" w:rsidRDefault="00CF7ABE" w:rsidP="00221F62">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R$ 350.345,68</w:t>
            </w:r>
          </w:p>
        </w:tc>
        <w:tc>
          <w:tcPr>
            <w:tcW w:w="0" w:type="auto"/>
            <w:tcBorders>
              <w:top w:val="single" w:sz="4" w:space="0" w:color="auto"/>
              <w:left w:val="single" w:sz="4" w:space="0" w:color="auto"/>
              <w:bottom w:val="single" w:sz="4" w:space="0" w:color="auto"/>
              <w:right w:val="single" w:sz="4" w:space="0" w:color="auto"/>
            </w:tcBorders>
            <w:vAlign w:val="center"/>
            <w:hideMark/>
          </w:tcPr>
          <w:p w14:paraId="287BCC46" w14:textId="77777777" w:rsidR="00CF7ABE" w:rsidRPr="00B74E01" w:rsidRDefault="00CF7ABE" w:rsidP="00221F62">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R$ 1.075.242,15</w:t>
            </w:r>
          </w:p>
        </w:tc>
        <w:tc>
          <w:tcPr>
            <w:tcW w:w="0" w:type="auto"/>
            <w:tcBorders>
              <w:top w:val="single" w:sz="4" w:space="0" w:color="auto"/>
              <w:left w:val="single" w:sz="4" w:space="0" w:color="auto"/>
              <w:bottom w:val="single" w:sz="4" w:space="0" w:color="auto"/>
              <w:right w:val="single" w:sz="4" w:space="0" w:color="auto"/>
            </w:tcBorders>
            <w:vAlign w:val="center"/>
            <w:hideMark/>
          </w:tcPr>
          <w:p w14:paraId="3058572C" w14:textId="77777777" w:rsidR="00CF7ABE" w:rsidRPr="00B74E01" w:rsidRDefault="00CF7ABE" w:rsidP="00221F62">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R$ 280.892,95</w:t>
            </w:r>
          </w:p>
        </w:tc>
        <w:tc>
          <w:tcPr>
            <w:tcW w:w="0" w:type="auto"/>
            <w:tcBorders>
              <w:top w:val="single" w:sz="4" w:space="0" w:color="auto"/>
              <w:left w:val="single" w:sz="4" w:space="0" w:color="auto"/>
              <w:bottom w:val="single" w:sz="4" w:space="0" w:color="auto"/>
              <w:right w:val="single" w:sz="4" w:space="0" w:color="auto"/>
            </w:tcBorders>
            <w:vAlign w:val="center"/>
            <w:hideMark/>
          </w:tcPr>
          <w:p w14:paraId="4815003C" w14:textId="77777777" w:rsidR="00CF7ABE" w:rsidRPr="00B74E01" w:rsidRDefault="00CF7ABE" w:rsidP="00221F62">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R$ 794.349,20</w:t>
            </w:r>
          </w:p>
        </w:tc>
        <w:tc>
          <w:tcPr>
            <w:tcW w:w="0" w:type="auto"/>
            <w:tcBorders>
              <w:top w:val="single" w:sz="4" w:space="0" w:color="auto"/>
              <w:left w:val="single" w:sz="4" w:space="0" w:color="auto"/>
              <w:bottom w:val="single" w:sz="4" w:space="0" w:color="auto"/>
              <w:right w:val="single" w:sz="4" w:space="0" w:color="auto"/>
            </w:tcBorders>
            <w:vAlign w:val="center"/>
            <w:hideMark/>
          </w:tcPr>
          <w:p w14:paraId="68B6E20C" w14:textId="77777777" w:rsidR="00CF7ABE" w:rsidRPr="00B74E01" w:rsidRDefault="00CF7ABE" w:rsidP="00221F62">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3,83x</w:t>
            </w:r>
          </w:p>
        </w:tc>
      </w:tr>
    </w:tbl>
    <w:p w14:paraId="7C6FB1A7"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sensibilidade demonstra que o projeto permanece robusto com receitas acessórias mesmo diante de aumento de 10% no OPEX. Entretanto, no cenário sem receitas acessórias, qualquer aumento relevante do OPEX reduz ainda mais a margem de segurança, razão pela qual o controle operacional será essencial.</w:t>
      </w:r>
    </w:p>
    <w:p w14:paraId="63FF55F7" w14:textId="0CC33DBC" w:rsidR="00CF7ABE" w:rsidRPr="00B74E01" w:rsidRDefault="00CF7ABE" w:rsidP="00B74E01">
      <w:pPr>
        <w:spacing w:after="0" w:line="360" w:lineRule="auto"/>
        <w:ind w:firstLine="709"/>
        <w:jc w:val="both"/>
        <w:rPr>
          <w:rFonts w:eastAsia="Times New Roman" w:cs="Arial"/>
          <w:kern w:val="0"/>
          <w:lang w:eastAsia="pt-BR"/>
          <w14:ligatures w14:val="none"/>
        </w:rPr>
      </w:pPr>
    </w:p>
    <w:p w14:paraId="5591E023" w14:textId="77777777" w:rsidR="00CF7ABE" w:rsidRPr="00B74E01" w:rsidRDefault="00CF7ABE" w:rsidP="00221F62">
      <w:pPr>
        <w:pStyle w:val="Ttulo2"/>
        <w:rPr>
          <w:rFonts w:eastAsia="Times New Roman"/>
          <w:lang w:eastAsia="pt-BR"/>
        </w:rPr>
      </w:pPr>
      <w:bookmarkStart w:id="87" w:name="_Toc230204089"/>
      <w:r w:rsidRPr="00B74E01">
        <w:rPr>
          <w:rFonts w:eastAsia="Times New Roman"/>
          <w:lang w:eastAsia="pt-BR"/>
        </w:rPr>
        <w:lastRenderedPageBreak/>
        <w:t>8.12. Responsabilidade dos licitantes sobre o OPEX</w:t>
      </w:r>
      <w:bookmarkEnd w:id="87"/>
    </w:p>
    <w:p w14:paraId="58507EC6"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O OPEX apresentado neste caderno tem natureza referencial para fins de modelagem. Na licitação, cada proponente deverá demonstrar sua própria estrutura operacional, compatível com a tecnologia, a automação, os turnos, a capacidade da planta, o plano de manutenção e os indicadores de desempenho.</w:t>
      </w:r>
    </w:p>
    <w:p w14:paraId="231C4687"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O edital poderá exigir dos licitantes: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747"/>
        <w:gridCol w:w="5314"/>
      </w:tblGrid>
      <w:tr w:rsidR="00CF7ABE" w:rsidRPr="00B74E01" w14:paraId="696DB040" w14:textId="77777777" w:rsidTr="00671A31">
        <w:trPr>
          <w:tblHeader/>
          <w:tblCellSpacing w:w="15" w:type="dxa"/>
        </w:trPr>
        <w:tc>
          <w:tcPr>
            <w:tcW w:w="0" w:type="auto"/>
            <w:vAlign w:val="center"/>
            <w:hideMark/>
          </w:tcPr>
          <w:p w14:paraId="0ECA5F4B" w14:textId="77777777" w:rsidR="00CF7ABE" w:rsidRPr="00B74E01" w:rsidRDefault="00CF7ABE" w:rsidP="00221F62">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Documento ou comprovação</w:t>
            </w:r>
          </w:p>
        </w:tc>
        <w:tc>
          <w:tcPr>
            <w:tcW w:w="0" w:type="auto"/>
            <w:vAlign w:val="center"/>
            <w:hideMark/>
          </w:tcPr>
          <w:p w14:paraId="04B68735" w14:textId="77777777" w:rsidR="00CF7ABE" w:rsidRPr="00B74E01" w:rsidRDefault="00CF7ABE" w:rsidP="00221F62">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Finalidade</w:t>
            </w:r>
          </w:p>
        </w:tc>
      </w:tr>
      <w:tr w:rsidR="00CF7ABE" w:rsidRPr="00B74E01" w14:paraId="48D2F3AC" w14:textId="77777777" w:rsidTr="00671A31">
        <w:trPr>
          <w:tblCellSpacing w:w="15" w:type="dxa"/>
        </w:trPr>
        <w:tc>
          <w:tcPr>
            <w:tcW w:w="0" w:type="auto"/>
            <w:vAlign w:val="center"/>
            <w:hideMark/>
          </w:tcPr>
          <w:p w14:paraId="300F89B4" w14:textId="77777777" w:rsidR="00CF7ABE" w:rsidRPr="00B74E01" w:rsidRDefault="00CF7ABE" w:rsidP="00221F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Plano operacional</w:t>
            </w:r>
          </w:p>
        </w:tc>
        <w:tc>
          <w:tcPr>
            <w:tcW w:w="0" w:type="auto"/>
            <w:vAlign w:val="center"/>
            <w:hideMark/>
          </w:tcPr>
          <w:p w14:paraId="5F227AEE" w14:textId="77777777" w:rsidR="00CF7ABE" w:rsidRPr="00B74E01" w:rsidRDefault="00CF7ABE" w:rsidP="00221F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Demonstrar como a planta será operada</w:t>
            </w:r>
          </w:p>
        </w:tc>
      </w:tr>
      <w:tr w:rsidR="00CF7ABE" w:rsidRPr="00B74E01" w14:paraId="44096297" w14:textId="77777777" w:rsidTr="00671A31">
        <w:trPr>
          <w:tblCellSpacing w:w="15" w:type="dxa"/>
        </w:trPr>
        <w:tc>
          <w:tcPr>
            <w:tcW w:w="0" w:type="auto"/>
            <w:vAlign w:val="center"/>
            <w:hideMark/>
          </w:tcPr>
          <w:p w14:paraId="5FDAE6F2" w14:textId="77777777" w:rsidR="00CF7ABE" w:rsidRPr="00B74E01" w:rsidRDefault="00CF7ABE" w:rsidP="00221F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Quadro de pessoal</w:t>
            </w:r>
          </w:p>
        </w:tc>
        <w:tc>
          <w:tcPr>
            <w:tcW w:w="0" w:type="auto"/>
            <w:vAlign w:val="center"/>
            <w:hideMark/>
          </w:tcPr>
          <w:p w14:paraId="6BDACD78" w14:textId="77777777" w:rsidR="00CF7ABE" w:rsidRPr="00B74E01" w:rsidRDefault="00CF7ABE" w:rsidP="00221F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Comprovar equipe mínima e funções</w:t>
            </w:r>
          </w:p>
        </w:tc>
      </w:tr>
      <w:tr w:rsidR="00CF7ABE" w:rsidRPr="00B74E01" w14:paraId="404FC250" w14:textId="77777777" w:rsidTr="00671A31">
        <w:trPr>
          <w:tblCellSpacing w:w="15" w:type="dxa"/>
        </w:trPr>
        <w:tc>
          <w:tcPr>
            <w:tcW w:w="0" w:type="auto"/>
            <w:vAlign w:val="center"/>
            <w:hideMark/>
          </w:tcPr>
          <w:p w14:paraId="37180735" w14:textId="77777777" w:rsidR="00CF7ABE" w:rsidRPr="00B74E01" w:rsidRDefault="00CF7ABE" w:rsidP="00221F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Escalas de trabalho</w:t>
            </w:r>
          </w:p>
        </w:tc>
        <w:tc>
          <w:tcPr>
            <w:tcW w:w="0" w:type="auto"/>
            <w:vAlign w:val="center"/>
            <w:hideMark/>
          </w:tcPr>
          <w:p w14:paraId="2FD9599E" w14:textId="77777777" w:rsidR="00CF7ABE" w:rsidRPr="00B74E01" w:rsidRDefault="00CF7ABE" w:rsidP="00221F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Demonstrar compatibilidade com operação contínua</w:t>
            </w:r>
          </w:p>
        </w:tc>
      </w:tr>
      <w:tr w:rsidR="00CF7ABE" w:rsidRPr="00B74E01" w14:paraId="68EECAA2" w14:textId="77777777" w:rsidTr="00671A31">
        <w:trPr>
          <w:tblCellSpacing w:w="15" w:type="dxa"/>
        </w:trPr>
        <w:tc>
          <w:tcPr>
            <w:tcW w:w="0" w:type="auto"/>
            <w:vAlign w:val="center"/>
            <w:hideMark/>
          </w:tcPr>
          <w:p w14:paraId="4EDE4E94" w14:textId="77777777" w:rsidR="00CF7ABE" w:rsidRPr="00B74E01" w:rsidRDefault="00CF7ABE" w:rsidP="00221F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Plano de manutenção</w:t>
            </w:r>
          </w:p>
        </w:tc>
        <w:tc>
          <w:tcPr>
            <w:tcW w:w="0" w:type="auto"/>
            <w:vAlign w:val="center"/>
            <w:hideMark/>
          </w:tcPr>
          <w:p w14:paraId="41796399" w14:textId="77777777" w:rsidR="00CF7ABE" w:rsidRPr="00B74E01" w:rsidRDefault="00CF7ABE" w:rsidP="00221F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Preservar disponibilidade dos equipamentos</w:t>
            </w:r>
          </w:p>
        </w:tc>
      </w:tr>
      <w:tr w:rsidR="00CF7ABE" w:rsidRPr="00B74E01" w14:paraId="043664C4" w14:textId="77777777" w:rsidTr="00671A31">
        <w:trPr>
          <w:tblCellSpacing w:w="15" w:type="dxa"/>
        </w:trPr>
        <w:tc>
          <w:tcPr>
            <w:tcW w:w="0" w:type="auto"/>
            <w:vAlign w:val="center"/>
            <w:hideMark/>
          </w:tcPr>
          <w:p w14:paraId="2BE091D4" w14:textId="77777777" w:rsidR="00CF7ABE" w:rsidRPr="00B74E01" w:rsidRDefault="00CF7ABE" w:rsidP="00221F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Plano de segurança do trabalho</w:t>
            </w:r>
          </w:p>
        </w:tc>
        <w:tc>
          <w:tcPr>
            <w:tcW w:w="0" w:type="auto"/>
            <w:vAlign w:val="center"/>
            <w:hideMark/>
          </w:tcPr>
          <w:p w14:paraId="614737D9" w14:textId="77777777" w:rsidR="00CF7ABE" w:rsidRPr="00B74E01" w:rsidRDefault="00CF7ABE" w:rsidP="00221F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Reduzir risco trabalhista e operacional</w:t>
            </w:r>
          </w:p>
        </w:tc>
      </w:tr>
      <w:tr w:rsidR="00CF7ABE" w:rsidRPr="00B74E01" w14:paraId="422DB9F8" w14:textId="77777777" w:rsidTr="00671A31">
        <w:trPr>
          <w:tblCellSpacing w:w="15" w:type="dxa"/>
        </w:trPr>
        <w:tc>
          <w:tcPr>
            <w:tcW w:w="0" w:type="auto"/>
            <w:vAlign w:val="center"/>
            <w:hideMark/>
          </w:tcPr>
          <w:p w14:paraId="35C45A04" w14:textId="77777777" w:rsidR="00CF7ABE" w:rsidRPr="00B74E01" w:rsidRDefault="00CF7ABE" w:rsidP="00221F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Plano de EPIs e treinamento</w:t>
            </w:r>
          </w:p>
        </w:tc>
        <w:tc>
          <w:tcPr>
            <w:tcW w:w="0" w:type="auto"/>
            <w:vAlign w:val="center"/>
            <w:hideMark/>
          </w:tcPr>
          <w:p w14:paraId="48BE28BD" w14:textId="77777777" w:rsidR="00CF7ABE" w:rsidRPr="00B74E01" w:rsidRDefault="00CF7ABE" w:rsidP="00221F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Garantir conformidade com normas de segurança</w:t>
            </w:r>
          </w:p>
        </w:tc>
      </w:tr>
      <w:tr w:rsidR="00CF7ABE" w:rsidRPr="00B74E01" w14:paraId="0C58A10E" w14:textId="77777777" w:rsidTr="00671A31">
        <w:trPr>
          <w:tblCellSpacing w:w="15" w:type="dxa"/>
        </w:trPr>
        <w:tc>
          <w:tcPr>
            <w:tcW w:w="0" w:type="auto"/>
            <w:vAlign w:val="center"/>
            <w:hideMark/>
          </w:tcPr>
          <w:p w14:paraId="6F443ABA" w14:textId="77777777" w:rsidR="00CF7ABE" w:rsidRPr="00B74E01" w:rsidRDefault="00CF7ABE" w:rsidP="00221F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Plano de seguros</w:t>
            </w:r>
          </w:p>
        </w:tc>
        <w:tc>
          <w:tcPr>
            <w:tcW w:w="0" w:type="auto"/>
            <w:vAlign w:val="center"/>
            <w:hideMark/>
          </w:tcPr>
          <w:p w14:paraId="278DF765" w14:textId="77777777" w:rsidR="00CF7ABE" w:rsidRPr="00B74E01" w:rsidRDefault="00CF7ABE" w:rsidP="00221F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Proteger trabalhadores, terceiros e patrimônio</w:t>
            </w:r>
          </w:p>
        </w:tc>
      </w:tr>
      <w:tr w:rsidR="00CF7ABE" w:rsidRPr="00B74E01" w14:paraId="2AF5146E" w14:textId="77777777" w:rsidTr="00671A31">
        <w:trPr>
          <w:tblCellSpacing w:w="15" w:type="dxa"/>
        </w:trPr>
        <w:tc>
          <w:tcPr>
            <w:tcW w:w="0" w:type="auto"/>
            <w:vAlign w:val="center"/>
            <w:hideMark/>
          </w:tcPr>
          <w:p w14:paraId="3F2754E0" w14:textId="77777777" w:rsidR="00CF7ABE" w:rsidRPr="00B74E01" w:rsidRDefault="00CF7ABE" w:rsidP="00221F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Composição de custos operacionais</w:t>
            </w:r>
          </w:p>
        </w:tc>
        <w:tc>
          <w:tcPr>
            <w:tcW w:w="0" w:type="auto"/>
            <w:vAlign w:val="center"/>
            <w:hideMark/>
          </w:tcPr>
          <w:p w14:paraId="62EFF774" w14:textId="77777777" w:rsidR="00CF7ABE" w:rsidRPr="00B74E01" w:rsidRDefault="00CF7ABE" w:rsidP="00221F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Demonstrar coerência do OPEX proposto</w:t>
            </w:r>
          </w:p>
        </w:tc>
      </w:tr>
      <w:tr w:rsidR="00CF7ABE" w:rsidRPr="00B74E01" w14:paraId="72F24630" w14:textId="77777777" w:rsidTr="00671A31">
        <w:trPr>
          <w:tblCellSpacing w:w="15" w:type="dxa"/>
        </w:trPr>
        <w:tc>
          <w:tcPr>
            <w:tcW w:w="0" w:type="auto"/>
            <w:vAlign w:val="center"/>
            <w:hideMark/>
          </w:tcPr>
          <w:p w14:paraId="171D7A08" w14:textId="77777777" w:rsidR="00CF7ABE" w:rsidRPr="00B74E01" w:rsidRDefault="00CF7ABE" w:rsidP="00221F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Plano de contingência operacional</w:t>
            </w:r>
          </w:p>
        </w:tc>
        <w:tc>
          <w:tcPr>
            <w:tcW w:w="0" w:type="auto"/>
            <w:vAlign w:val="center"/>
            <w:hideMark/>
          </w:tcPr>
          <w:p w14:paraId="60DF55FA" w14:textId="77777777" w:rsidR="00CF7ABE" w:rsidRPr="00B74E01" w:rsidRDefault="00CF7ABE" w:rsidP="00221F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Prevenir paralisações e falhas críticas</w:t>
            </w:r>
          </w:p>
        </w:tc>
      </w:tr>
    </w:tbl>
    <w:p w14:paraId="537B8EA1"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responsabilidade pelo OPEX efetivo deverá ser da SPE, salvo hipóteses expressas de reequilíbrio previstas na matriz de riscos.</w:t>
      </w:r>
    </w:p>
    <w:p w14:paraId="461BA59B" w14:textId="6C846DE6" w:rsidR="00CF7ABE" w:rsidRDefault="00CF7ABE" w:rsidP="00B74E01">
      <w:pPr>
        <w:spacing w:after="0" w:line="360" w:lineRule="auto"/>
        <w:ind w:firstLine="709"/>
        <w:jc w:val="both"/>
        <w:rPr>
          <w:rFonts w:eastAsia="Times New Roman" w:cs="Arial"/>
          <w:kern w:val="0"/>
          <w:lang w:eastAsia="pt-BR"/>
          <w14:ligatures w14:val="none"/>
        </w:rPr>
      </w:pPr>
    </w:p>
    <w:p w14:paraId="4F8DD65D" w14:textId="77777777" w:rsidR="00221F62" w:rsidRDefault="00221F62" w:rsidP="00B74E01">
      <w:pPr>
        <w:spacing w:after="0" w:line="360" w:lineRule="auto"/>
        <w:ind w:firstLine="709"/>
        <w:jc w:val="both"/>
        <w:rPr>
          <w:rFonts w:eastAsia="Times New Roman" w:cs="Arial"/>
          <w:kern w:val="0"/>
          <w:lang w:eastAsia="pt-BR"/>
          <w14:ligatures w14:val="none"/>
        </w:rPr>
      </w:pPr>
    </w:p>
    <w:p w14:paraId="481BD3C0" w14:textId="77777777" w:rsidR="00221F62" w:rsidRDefault="00221F62" w:rsidP="00B74E01">
      <w:pPr>
        <w:spacing w:after="0" w:line="360" w:lineRule="auto"/>
        <w:ind w:firstLine="709"/>
        <w:jc w:val="both"/>
        <w:rPr>
          <w:rFonts w:eastAsia="Times New Roman" w:cs="Arial"/>
          <w:kern w:val="0"/>
          <w:lang w:eastAsia="pt-BR"/>
          <w14:ligatures w14:val="none"/>
        </w:rPr>
      </w:pPr>
    </w:p>
    <w:p w14:paraId="3BC6C8AD" w14:textId="77777777" w:rsidR="00221F62" w:rsidRDefault="00221F62" w:rsidP="00B74E01">
      <w:pPr>
        <w:spacing w:after="0" w:line="360" w:lineRule="auto"/>
        <w:ind w:firstLine="709"/>
        <w:jc w:val="both"/>
        <w:rPr>
          <w:rFonts w:eastAsia="Times New Roman" w:cs="Arial"/>
          <w:kern w:val="0"/>
          <w:lang w:eastAsia="pt-BR"/>
          <w14:ligatures w14:val="none"/>
        </w:rPr>
      </w:pPr>
    </w:p>
    <w:p w14:paraId="20F7B7A6" w14:textId="77777777" w:rsidR="00221F62" w:rsidRPr="00B74E01" w:rsidRDefault="00221F62" w:rsidP="00B74E01">
      <w:pPr>
        <w:spacing w:after="0" w:line="360" w:lineRule="auto"/>
        <w:ind w:firstLine="709"/>
        <w:jc w:val="both"/>
        <w:rPr>
          <w:rFonts w:eastAsia="Times New Roman" w:cs="Arial"/>
          <w:kern w:val="0"/>
          <w:lang w:eastAsia="pt-BR"/>
          <w14:ligatures w14:val="none"/>
        </w:rPr>
      </w:pPr>
    </w:p>
    <w:p w14:paraId="2DAD1376" w14:textId="77777777" w:rsidR="00CF7ABE" w:rsidRPr="00B74E01" w:rsidRDefault="00CF7ABE" w:rsidP="00221F62">
      <w:pPr>
        <w:pStyle w:val="Ttulo2"/>
        <w:rPr>
          <w:rFonts w:eastAsia="Times New Roman"/>
          <w:lang w:eastAsia="pt-BR"/>
        </w:rPr>
      </w:pPr>
      <w:bookmarkStart w:id="88" w:name="_Toc230204090"/>
      <w:r w:rsidRPr="00B74E01">
        <w:rPr>
          <w:rFonts w:eastAsia="Times New Roman"/>
          <w:lang w:eastAsia="pt-BR"/>
        </w:rPr>
        <w:lastRenderedPageBreak/>
        <w:t>8.13. Riscos associados ao OPEX</w:t>
      </w:r>
      <w:bookmarkEnd w:id="88"/>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293"/>
        <w:gridCol w:w="2361"/>
        <w:gridCol w:w="3407"/>
      </w:tblGrid>
      <w:tr w:rsidR="00CF7ABE" w:rsidRPr="00B74E01" w14:paraId="41687C33" w14:textId="77777777" w:rsidTr="00671A31">
        <w:trPr>
          <w:tblHeade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63D05BC6" w14:textId="77777777" w:rsidR="00CF7ABE" w:rsidRPr="00B74E01" w:rsidRDefault="00CF7ABE" w:rsidP="00221F62">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Risco de OPEX</w:t>
            </w:r>
          </w:p>
        </w:tc>
        <w:tc>
          <w:tcPr>
            <w:tcW w:w="0" w:type="auto"/>
            <w:tcBorders>
              <w:top w:val="single" w:sz="4" w:space="0" w:color="auto"/>
              <w:left w:val="single" w:sz="4" w:space="0" w:color="auto"/>
              <w:bottom w:val="single" w:sz="4" w:space="0" w:color="auto"/>
              <w:right w:val="single" w:sz="4" w:space="0" w:color="auto"/>
            </w:tcBorders>
            <w:vAlign w:val="center"/>
            <w:hideMark/>
          </w:tcPr>
          <w:p w14:paraId="4B5DA6D3" w14:textId="77777777" w:rsidR="00CF7ABE" w:rsidRPr="00B74E01" w:rsidRDefault="00CF7ABE" w:rsidP="00221F62">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Alocação recomendada</w:t>
            </w:r>
          </w:p>
        </w:tc>
        <w:tc>
          <w:tcPr>
            <w:tcW w:w="0" w:type="auto"/>
            <w:tcBorders>
              <w:top w:val="single" w:sz="4" w:space="0" w:color="auto"/>
              <w:left w:val="single" w:sz="4" w:space="0" w:color="auto"/>
              <w:bottom w:val="single" w:sz="4" w:space="0" w:color="auto"/>
              <w:right w:val="single" w:sz="4" w:space="0" w:color="auto"/>
            </w:tcBorders>
            <w:vAlign w:val="center"/>
            <w:hideMark/>
          </w:tcPr>
          <w:p w14:paraId="62D5DC12" w14:textId="77777777" w:rsidR="00CF7ABE" w:rsidRPr="00B74E01" w:rsidRDefault="00CF7ABE" w:rsidP="00221F62">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Tratamento</w:t>
            </w:r>
          </w:p>
        </w:tc>
      </w:tr>
      <w:tr w:rsidR="00CF7ABE" w:rsidRPr="00B74E01" w14:paraId="35B884C9" w14:textId="77777777" w:rsidTr="00671A31">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60718C50" w14:textId="77777777" w:rsidR="00CF7ABE" w:rsidRPr="00B74E01" w:rsidRDefault="00CF7ABE" w:rsidP="00221F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Aumento ordinário de salários</w:t>
            </w:r>
          </w:p>
        </w:tc>
        <w:tc>
          <w:tcPr>
            <w:tcW w:w="0" w:type="auto"/>
            <w:tcBorders>
              <w:top w:val="single" w:sz="4" w:space="0" w:color="auto"/>
              <w:left w:val="single" w:sz="4" w:space="0" w:color="auto"/>
              <w:bottom w:val="single" w:sz="4" w:space="0" w:color="auto"/>
              <w:right w:val="single" w:sz="4" w:space="0" w:color="auto"/>
            </w:tcBorders>
            <w:vAlign w:val="center"/>
            <w:hideMark/>
          </w:tcPr>
          <w:p w14:paraId="7F20C674" w14:textId="77777777" w:rsidR="00CF7ABE" w:rsidRPr="00B74E01" w:rsidRDefault="00CF7ABE" w:rsidP="00221F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SPE</w:t>
            </w:r>
          </w:p>
        </w:tc>
        <w:tc>
          <w:tcPr>
            <w:tcW w:w="0" w:type="auto"/>
            <w:tcBorders>
              <w:top w:val="single" w:sz="4" w:space="0" w:color="auto"/>
              <w:left w:val="single" w:sz="4" w:space="0" w:color="auto"/>
              <w:bottom w:val="single" w:sz="4" w:space="0" w:color="auto"/>
              <w:right w:val="single" w:sz="4" w:space="0" w:color="auto"/>
            </w:tcBorders>
            <w:vAlign w:val="center"/>
            <w:hideMark/>
          </w:tcPr>
          <w:p w14:paraId="276A57D6" w14:textId="77777777" w:rsidR="00CF7ABE" w:rsidRPr="00B74E01" w:rsidRDefault="00CF7ABE" w:rsidP="00221F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Deve ser previsto na proposta e reajustado conforme contrato</w:t>
            </w:r>
          </w:p>
        </w:tc>
      </w:tr>
      <w:tr w:rsidR="00CF7ABE" w:rsidRPr="00B74E01" w14:paraId="302C077E" w14:textId="77777777" w:rsidTr="00671A31">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02CAD6E9" w14:textId="77777777" w:rsidR="00CF7ABE" w:rsidRPr="00B74E01" w:rsidRDefault="00CF7ABE" w:rsidP="00221F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Custos trabalhistas e encargos</w:t>
            </w:r>
          </w:p>
        </w:tc>
        <w:tc>
          <w:tcPr>
            <w:tcW w:w="0" w:type="auto"/>
            <w:tcBorders>
              <w:top w:val="single" w:sz="4" w:space="0" w:color="auto"/>
              <w:left w:val="single" w:sz="4" w:space="0" w:color="auto"/>
              <w:bottom w:val="single" w:sz="4" w:space="0" w:color="auto"/>
              <w:right w:val="single" w:sz="4" w:space="0" w:color="auto"/>
            </w:tcBorders>
            <w:vAlign w:val="center"/>
            <w:hideMark/>
          </w:tcPr>
          <w:p w14:paraId="3AA34B7D" w14:textId="77777777" w:rsidR="00CF7ABE" w:rsidRPr="00B74E01" w:rsidRDefault="00CF7ABE" w:rsidP="00221F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SPE</w:t>
            </w:r>
          </w:p>
        </w:tc>
        <w:tc>
          <w:tcPr>
            <w:tcW w:w="0" w:type="auto"/>
            <w:tcBorders>
              <w:top w:val="single" w:sz="4" w:space="0" w:color="auto"/>
              <w:left w:val="single" w:sz="4" w:space="0" w:color="auto"/>
              <w:bottom w:val="single" w:sz="4" w:space="0" w:color="auto"/>
              <w:right w:val="single" w:sz="4" w:space="0" w:color="auto"/>
            </w:tcBorders>
            <w:vAlign w:val="center"/>
            <w:hideMark/>
          </w:tcPr>
          <w:p w14:paraId="2593BFA6" w14:textId="77777777" w:rsidR="00CF7ABE" w:rsidRPr="00B74E01" w:rsidRDefault="00CF7ABE" w:rsidP="00221F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Risco ordinário da operação</w:t>
            </w:r>
          </w:p>
        </w:tc>
      </w:tr>
      <w:tr w:rsidR="00CF7ABE" w:rsidRPr="00B74E01" w14:paraId="679EDB43" w14:textId="77777777" w:rsidTr="00671A31">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24282B7E" w14:textId="77777777" w:rsidR="00CF7ABE" w:rsidRPr="00B74E01" w:rsidRDefault="00CF7ABE" w:rsidP="00221F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Aumento de manutenção</w:t>
            </w:r>
          </w:p>
        </w:tc>
        <w:tc>
          <w:tcPr>
            <w:tcW w:w="0" w:type="auto"/>
            <w:tcBorders>
              <w:top w:val="single" w:sz="4" w:space="0" w:color="auto"/>
              <w:left w:val="single" w:sz="4" w:space="0" w:color="auto"/>
              <w:bottom w:val="single" w:sz="4" w:space="0" w:color="auto"/>
              <w:right w:val="single" w:sz="4" w:space="0" w:color="auto"/>
            </w:tcBorders>
            <w:vAlign w:val="center"/>
            <w:hideMark/>
          </w:tcPr>
          <w:p w14:paraId="34193586" w14:textId="77777777" w:rsidR="00CF7ABE" w:rsidRPr="00B74E01" w:rsidRDefault="00CF7ABE" w:rsidP="00221F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SPE</w:t>
            </w:r>
          </w:p>
        </w:tc>
        <w:tc>
          <w:tcPr>
            <w:tcW w:w="0" w:type="auto"/>
            <w:tcBorders>
              <w:top w:val="single" w:sz="4" w:space="0" w:color="auto"/>
              <w:left w:val="single" w:sz="4" w:space="0" w:color="auto"/>
              <w:bottom w:val="single" w:sz="4" w:space="0" w:color="auto"/>
              <w:right w:val="single" w:sz="4" w:space="0" w:color="auto"/>
            </w:tcBorders>
            <w:vAlign w:val="center"/>
            <w:hideMark/>
          </w:tcPr>
          <w:p w14:paraId="46272AB9" w14:textId="77777777" w:rsidR="00CF7ABE" w:rsidRPr="00B74E01" w:rsidRDefault="00CF7ABE" w:rsidP="00221F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Mitigado por plano de manutenção e garantias</w:t>
            </w:r>
          </w:p>
        </w:tc>
      </w:tr>
      <w:tr w:rsidR="00CF7ABE" w:rsidRPr="00B74E01" w14:paraId="0E5DE520" w14:textId="77777777" w:rsidTr="00671A31">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544E944C" w14:textId="77777777" w:rsidR="00CF7ABE" w:rsidRPr="00B74E01" w:rsidRDefault="00CF7ABE" w:rsidP="00221F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Maior consumo de insumos</w:t>
            </w:r>
          </w:p>
        </w:tc>
        <w:tc>
          <w:tcPr>
            <w:tcW w:w="0" w:type="auto"/>
            <w:tcBorders>
              <w:top w:val="single" w:sz="4" w:space="0" w:color="auto"/>
              <w:left w:val="single" w:sz="4" w:space="0" w:color="auto"/>
              <w:bottom w:val="single" w:sz="4" w:space="0" w:color="auto"/>
              <w:right w:val="single" w:sz="4" w:space="0" w:color="auto"/>
            </w:tcBorders>
            <w:vAlign w:val="center"/>
            <w:hideMark/>
          </w:tcPr>
          <w:p w14:paraId="659C0438" w14:textId="77777777" w:rsidR="00CF7ABE" w:rsidRPr="00B74E01" w:rsidRDefault="00CF7ABE" w:rsidP="00221F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SPE</w:t>
            </w:r>
          </w:p>
        </w:tc>
        <w:tc>
          <w:tcPr>
            <w:tcW w:w="0" w:type="auto"/>
            <w:tcBorders>
              <w:top w:val="single" w:sz="4" w:space="0" w:color="auto"/>
              <w:left w:val="single" w:sz="4" w:space="0" w:color="auto"/>
              <w:bottom w:val="single" w:sz="4" w:space="0" w:color="auto"/>
              <w:right w:val="single" w:sz="4" w:space="0" w:color="auto"/>
            </w:tcBorders>
            <w:vAlign w:val="center"/>
            <w:hideMark/>
          </w:tcPr>
          <w:p w14:paraId="2D5AC5AA" w14:textId="77777777" w:rsidR="00CF7ABE" w:rsidRPr="00B74E01" w:rsidRDefault="00CF7ABE" w:rsidP="00221F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Deve ser gerenciado operacionalmente</w:t>
            </w:r>
          </w:p>
        </w:tc>
      </w:tr>
      <w:tr w:rsidR="00CF7ABE" w:rsidRPr="00B74E01" w14:paraId="07FB6245" w14:textId="77777777" w:rsidTr="00671A31">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432BB259" w14:textId="77777777" w:rsidR="00CF7ABE" w:rsidRPr="00B74E01" w:rsidRDefault="00CF7ABE" w:rsidP="00221F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Falha de dimensionamento de equipe</w:t>
            </w:r>
          </w:p>
        </w:tc>
        <w:tc>
          <w:tcPr>
            <w:tcW w:w="0" w:type="auto"/>
            <w:tcBorders>
              <w:top w:val="single" w:sz="4" w:space="0" w:color="auto"/>
              <w:left w:val="single" w:sz="4" w:space="0" w:color="auto"/>
              <w:bottom w:val="single" w:sz="4" w:space="0" w:color="auto"/>
              <w:right w:val="single" w:sz="4" w:space="0" w:color="auto"/>
            </w:tcBorders>
            <w:vAlign w:val="center"/>
            <w:hideMark/>
          </w:tcPr>
          <w:p w14:paraId="7E65E33C" w14:textId="77777777" w:rsidR="00CF7ABE" w:rsidRPr="00B74E01" w:rsidRDefault="00CF7ABE" w:rsidP="00221F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SPE</w:t>
            </w:r>
          </w:p>
        </w:tc>
        <w:tc>
          <w:tcPr>
            <w:tcW w:w="0" w:type="auto"/>
            <w:tcBorders>
              <w:top w:val="single" w:sz="4" w:space="0" w:color="auto"/>
              <w:left w:val="single" w:sz="4" w:space="0" w:color="auto"/>
              <w:bottom w:val="single" w:sz="4" w:space="0" w:color="auto"/>
              <w:right w:val="single" w:sz="4" w:space="0" w:color="auto"/>
            </w:tcBorders>
            <w:vAlign w:val="center"/>
            <w:hideMark/>
          </w:tcPr>
          <w:p w14:paraId="25CB6C02" w14:textId="77777777" w:rsidR="00CF7ABE" w:rsidRPr="00B74E01" w:rsidRDefault="00CF7ABE" w:rsidP="00221F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Não deve gerar reequilíbrio automático</w:t>
            </w:r>
          </w:p>
        </w:tc>
      </w:tr>
      <w:tr w:rsidR="00CF7ABE" w:rsidRPr="00B74E01" w14:paraId="6154C099" w14:textId="77777777" w:rsidTr="00671A31">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51F5A6DD" w14:textId="77777777" w:rsidR="00CF7ABE" w:rsidRPr="00B74E01" w:rsidRDefault="00CF7ABE" w:rsidP="00221F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Aumento de seguros</w:t>
            </w:r>
          </w:p>
        </w:tc>
        <w:tc>
          <w:tcPr>
            <w:tcW w:w="0" w:type="auto"/>
            <w:tcBorders>
              <w:top w:val="single" w:sz="4" w:space="0" w:color="auto"/>
              <w:left w:val="single" w:sz="4" w:space="0" w:color="auto"/>
              <w:bottom w:val="single" w:sz="4" w:space="0" w:color="auto"/>
              <w:right w:val="single" w:sz="4" w:space="0" w:color="auto"/>
            </w:tcBorders>
            <w:vAlign w:val="center"/>
            <w:hideMark/>
          </w:tcPr>
          <w:p w14:paraId="580F5628" w14:textId="77777777" w:rsidR="00CF7ABE" w:rsidRPr="00B74E01" w:rsidRDefault="00CF7ABE" w:rsidP="00221F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SPE, salvo evento extraordinário</w:t>
            </w:r>
          </w:p>
        </w:tc>
        <w:tc>
          <w:tcPr>
            <w:tcW w:w="0" w:type="auto"/>
            <w:tcBorders>
              <w:top w:val="single" w:sz="4" w:space="0" w:color="auto"/>
              <w:left w:val="single" w:sz="4" w:space="0" w:color="auto"/>
              <w:bottom w:val="single" w:sz="4" w:space="0" w:color="auto"/>
              <w:right w:val="single" w:sz="4" w:space="0" w:color="auto"/>
            </w:tcBorders>
            <w:vAlign w:val="center"/>
            <w:hideMark/>
          </w:tcPr>
          <w:p w14:paraId="5F692F9F" w14:textId="77777777" w:rsidR="00CF7ABE" w:rsidRPr="00B74E01" w:rsidRDefault="00CF7ABE" w:rsidP="00221F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Avaliar conforme matriz de riscos</w:t>
            </w:r>
          </w:p>
        </w:tc>
      </w:tr>
      <w:tr w:rsidR="00CF7ABE" w:rsidRPr="00B74E01" w14:paraId="0043826E" w14:textId="77777777" w:rsidTr="00671A31">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0B6DA59F" w14:textId="77777777" w:rsidR="00CF7ABE" w:rsidRPr="00B74E01" w:rsidRDefault="00CF7ABE" w:rsidP="00221F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Exigência nova por ato público específico</w:t>
            </w:r>
          </w:p>
        </w:tc>
        <w:tc>
          <w:tcPr>
            <w:tcW w:w="0" w:type="auto"/>
            <w:tcBorders>
              <w:top w:val="single" w:sz="4" w:space="0" w:color="auto"/>
              <w:left w:val="single" w:sz="4" w:space="0" w:color="auto"/>
              <w:bottom w:val="single" w:sz="4" w:space="0" w:color="auto"/>
              <w:right w:val="single" w:sz="4" w:space="0" w:color="auto"/>
            </w:tcBorders>
            <w:vAlign w:val="center"/>
            <w:hideMark/>
          </w:tcPr>
          <w:p w14:paraId="087777CB" w14:textId="77777777" w:rsidR="00CF7ABE" w:rsidRPr="00B74E01" w:rsidRDefault="00CF7ABE" w:rsidP="00221F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Compartilhado ou Poder Concedente</w:t>
            </w:r>
          </w:p>
        </w:tc>
        <w:tc>
          <w:tcPr>
            <w:tcW w:w="0" w:type="auto"/>
            <w:tcBorders>
              <w:top w:val="single" w:sz="4" w:space="0" w:color="auto"/>
              <w:left w:val="single" w:sz="4" w:space="0" w:color="auto"/>
              <w:bottom w:val="single" w:sz="4" w:space="0" w:color="auto"/>
              <w:right w:val="single" w:sz="4" w:space="0" w:color="auto"/>
            </w:tcBorders>
            <w:vAlign w:val="center"/>
            <w:hideMark/>
          </w:tcPr>
          <w:p w14:paraId="6A3B4E9B" w14:textId="77777777" w:rsidR="00CF7ABE" w:rsidRPr="00B74E01" w:rsidRDefault="00CF7ABE" w:rsidP="00221F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Pode ensejar reequilíbrio conforme impacto</w:t>
            </w:r>
          </w:p>
        </w:tc>
      </w:tr>
      <w:tr w:rsidR="00CF7ABE" w:rsidRPr="00B74E01" w14:paraId="448BBC72" w14:textId="77777777" w:rsidTr="00671A31">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38EF5B93" w14:textId="77777777" w:rsidR="00CF7ABE" w:rsidRPr="00B74E01" w:rsidRDefault="00CF7ABE" w:rsidP="00221F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Alteração extraordinária de norma ambiental ou trabalhista</w:t>
            </w:r>
          </w:p>
        </w:tc>
        <w:tc>
          <w:tcPr>
            <w:tcW w:w="0" w:type="auto"/>
            <w:tcBorders>
              <w:top w:val="single" w:sz="4" w:space="0" w:color="auto"/>
              <w:left w:val="single" w:sz="4" w:space="0" w:color="auto"/>
              <w:bottom w:val="single" w:sz="4" w:space="0" w:color="auto"/>
              <w:right w:val="single" w:sz="4" w:space="0" w:color="auto"/>
            </w:tcBorders>
            <w:vAlign w:val="center"/>
            <w:hideMark/>
          </w:tcPr>
          <w:p w14:paraId="5198F749" w14:textId="77777777" w:rsidR="00CF7ABE" w:rsidRPr="00B74E01" w:rsidRDefault="00CF7ABE" w:rsidP="00221F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Avaliar caso concreto</w:t>
            </w:r>
          </w:p>
        </w:tc>
        <w:tc>
          <w:tcPr>
            <w:tcW w:w="0" w:type="auto"/>
            <w:tcBorders>
              <w:top w:val="single" w:sz="4" w:space="0" w:color="auto"/>
              <w:left w:val="single" w:sz="4" w:space="0" w:color="auto"/>
              <w:bottom w:val="single" w:sz="4" w:space="0" w:color="auto"/>
              <w:right w:val="single" w:sz="4" w:space="0" w:color="auto"/>
            </w:tcBorders>
            <w:vAlign w:val="center"/>
            <w:hideMark/>
          </w:tcPr>
          <w:p w14:paraId="74538E6C" w14:textId="77777777" w:rsidR="00CF7ABE" w:rsidRPr="00B74E01" w:rsidRDefault="00CF7ABE" w:rsidP="00221F62">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Conforme matriz de riscos</w:t>
            </w:r>
          </w:p>
        </w:tc>
      </w:tr>
    </w:tbl>
    <w:p w14:paraId="3FC93AF4"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matriz de riscos deverá distinguir aumento ordinário de custos, que deve ser suportado pela SPE, de eventos extraordinários, imprevisíveis ou imputáveis ao Poder Concedente, que poderão justificar tratamento próprio.</w:t>
      </w:r>
    </w:p>
    <w:p w14:paraId="3CF86859" w14:textId="77777777" w:rsidR="00CF7ABE" w:rsidRPr="00B74E01" w:rsidRDefault="00CF7ABE" w:rsidP="00221F62">
      <w:pPr>
        <w:pStyle w:val="Ttulo2"/>
        <w:rPr>
          <w:rFonts w:eastAsia="Times New Roman"/>
          <w:lang w:eastAsia="pt-BR"/>
        </w:rPr>
      </w:pPr>
      <w:bookmarkStart w:id="89" w:name="_Toc230204091"/>
      <w:r w:rsidRPr="00B74E01">
        <w:rPr>
          <w:rFonts w:eastAsia="Times New Roman"/>
          <w:lang w:eastAsia="pt-BR"/>
        </w:rPr>
        <w:t>8.14. Conclusão do tópico</w:t>
      </w:r>
      <w:bookmarkEnd w:id="89"/>
    </w:p>
    <w:p w14:paraId="20C7EB10"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O OPEX revisado da modelagem é de </w:t>
      </w:r>
      <w:r w:rsidRPr="00B74E01">
        <w:rPr>
          <w:rFonts w:eastAsia="Times New Roman" w:cs="Arial"/>
          <w:b/>
          <w:bCs/>
          <w:kern w:val="0"/>
          <w:lang w:eastAsia="pt-BR"/>
          <w14:ligatures w14:val="none"/>
        </w:rPr>
        <w:t>R$ 318.496,07/mês</w:t>
      </w:r>
      <w:r w:rsidRPr="00B74E01">
        <w:rPr>
          <w:rFonts w:eastAsia="Times New Roman" w:cs="Arial"/>
          <w:kern w:val="0"/>
          <w:lang w:eastAsia="pt-BR"/>
          <w14:ligatures w14:val="none"/>
        </w:rPr>
        <w:t xml:space="preserve">, equivalente a </w:t>
      </w:r>
      <w:r w:rsidRPr="00B74E01">
        <w:rPr>
          <w:rFonts w:eastAsia="Times New Roman" w:cs="Arial"/>
          <w:b/>
          <w:bCs/>
          <w:kern w:val="0"/>
          <w:lang w:eastAsia="pt-BR"/>
          <w14:ligatures w14:val="none"/>
        </w:rPr>
        <w:t>R$ 3.821.952,88/ano</w:t>
      </w:r>
      <w:r w:rsidRPr="00B74E01">
        <w:rPr>
          <w:rFonts w:eastAsia="Times New Roman" w:cs="Arial"/>
          <w:kern w:val="0"/>
          <w:lang w:eastAsia="pt-BR"/>
          <w14:ligatures w14:val="none"/>
        </w:rPr>
        <w:t>.</w:t>
      </w:r>
    </w:p>
    <w:p w14:paraId="3091784A"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Desse total, </w:t>
      </w:r>
      <w:r w:rsidRPr="00B74E01">
        <w:rPr>
          <w:rFonts w:eastAsia="Times New Roman" w:cs="Arial"/>
          <w:b/>
          <w:bCs/>
          <w:kern w:val="0"/>
          <w:lang w:eastAsia="pt-BR"/>
          <w14:ligatures w14:val="none"/>
        </w:rPr>
        <w:t>R$ 219.465,24/mês</w:t>
      </w:r>
      <w:r w:rsidRPr="00B74E01">
        <w:rPr>
          <w:rFonts w:eastAsia="Times New Roman" w:cs="Arial"/>
          <w:kern w:val="0"/>
          <w:lang w:eastAsia="pt-BR"/>
          <w14:ligatures w14:val="none"/>
        </w:rPr>
        <w:t xml:space="preserve"> correspondem à mão de obra ativa e </w:t>
      </w:r>
      <w:r w:rsidRPr="00B74E01">
        <w:rPr>
          <w:rFonts w:eastAsia="Times New Roman" w:cs="Arial"/>
          <w:b/>
          <w:bCs/>
          <w:kern w:val="0"/>
          <w:lang w:eastAsia="pt-BR"/>
          <w14:ligatures w14:val="none"/>
        </w:rPr>
        <w:t>R$ 99.030,83/mês</w:t>
      </w:r>
      <w:r w:rsidRPr="00B74E01">
        <w:rPr>
          <w:rFonts w:eastAsia="Times New Roman" w:cs="Arial"/>
          <w:kern w:val="0"/>
          <w:lang w:eastAsia="pt-BR"/>
          <w14:ligatures w14:val="none"/>
        </w:rPr>
        <w:t xml:space="preserve"> correspondem aos demais custos operacionais. A estrutura de custos </w:t>
      </w:r>
      <w:r w:rsidRPr="00B74E01">
        <w:rPr>
          <w:rFonts w:eastAsia="Times New Roman" w:cs="Arial"/>
          <w:kern w:val="0"/>
          <w:lang w:eastAsia="pt-BR"/>
          <w14:ligatures w14:val="none"/>
        </w:rPr>
        <w:lastRenderedPageBreak/>
        <w:t>é compatível com uma planta industrial que exige equipe técnica, operação contínua, segurança do trabalho, manutenção, benefícios, seguros, assessorias e controle operacional.</w:t>
      </w:r>
    </w:p>
    <w:p w14:paraId="57C0808E"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revisão do OPEX, com exclusão dos cargos referenciais não ativados, melhora a consistência da modelagem e evita inflar artificialmente os custos.</w:t>
      </w:r>
    </w:p>
    <w:p w14:paraId="0F10A0FB"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Na licitação, os proponentes deverão apresentar sua própria estrutura operacional, assumindo responsabilidade pelo OPEX efetivo, pelo plano de pessoal, manutenção, segurança, seguros, treinamento, operação assistida e atendimento aos indicadores de desempenho.</w:t>
      </w:r>
    </w:p>
    <w:p w14:paraId="0BFC650D"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boa definição do OPEX é indispensável para a credibilidade do caderno, porque influencia diretamente o EBITDA, o DSCR, a capacidade de pagamento da dívida e a sustentabilidade econômica da PPP.</w:t>
      </w:r>
    </w:p>
    <w:p w14:paraId="6CBD491C" w14:textId="6A55C99C" w:rsidR="00CF7ABE" w:rsidRDefault="00CF7ABE" w:rsidP="00B74E01">
      <w:pPr>
        <w:spacing w:after="0" w:line="360" w:lineRule="auto"/>
        <w:ind w:firstLine="709"/>
        <w:jc w:val="both"/>
        <w:rPr>
          <w:rFonts w:eastAsia="Times New Roman" w:cs="Arial"/>
          <w:kern w:val="0"/>
          <w:lang w:eastAsia="pt-BR"/>
          <w14:ligatures w14:val="none"/>
        </w:rPr>
      </w:pPr>
    </w:p>
    <w:p w14:paraId="236E61B3" w14:textId="77777777" w:rsidR="00221F62" w:rsidRDefault="00221F62" w:rsidP="00B74E01">
      <w:pPr>
        <w:spacing w:after="0" w:line="360" w:lineRule="auto"/>
        <w:ind w:firstLine="709"/>
        <w:jc w:val="both"/>
        <w:rPr>
          <w:rFonts w:eastAsia="Times New Roman" w:cs="Arial"/>
          <w:kern w:val="0"/>
          <w:lang w:eastAsia="pt-BR"/>
          <w14:ligatures w14:val="none"/>
        </w:rPr>
      </w:pPr>
    </w:p>
    <w:p w14:paraId="09E28146" w14:textId="77777777" w:rsidR="00221F62" w:rsidRDefault="00221F62" w:rsidP="00B74E01">
      <w:pPr>
        <w:spacing w:after="0" w:line="360" w:lineRule="auto"/>
        <w:ind w:firstLine="709"/>
        <w:jc w:val="both"/>
        <w:rPr>
          <w:rFonts w:eastAsia="Times New Roman" w:cs="Arial"/>
          <w:kern w:val="0"/>
          <w:lang w:eastAsia="pt-BR"/>
          <w14:ligatures w14:val="none"/>
        </w:rPr>
      </w:pPr>
    </w:p>
    <w:p w14:paraId="1E68D39C" w14:textId="77777777" w:rsidR="00221F62" w:rsidRDefault="00221F62" w:rsidP="00B74E01">
      <w:pPr>
        <w:spacing w:after="0" w:line="360" w:lineRule="auto"/>
        <w:ind w:firstLine="709"/>
        <w:jc w:val="both"/>
        <w:rPr>
          <w:rFonts w:eastAsia="Times New Roman" w:cs="Arial"/>
          <w:kern w:val="0"/>
          <w:lang w:eastAsia="pt-BR"/>
          <w14:ligatures w14:val="none"/>
        </w:rPr>
      </w:pPr>
    </w:p>
    <w:p w14:paraId="082579D6" w14:textId="77777777" w:rsidR="00221F62" w:rsidRDefault="00221F62" w:rsidP="00B74E01">
      <w:pPr>
        <w:spacing w:after="0" w:line="360" w:lineRule="auto"/>
        <w:ind w:firstLine="709"/>
        <w:jc w:val="both"/>
        <w:rPr>
          <w:rFonts w:eastAsia="Times New Roman" w:cs="Arial"/>
          <w:kern w:val="0"/>
          <w:lang w:eastAsia="pt-BR"/>
          <w14:ligatures w14:val="none"/>
        </w:rPr>
      </w:pPr>
    </w:p>
    <w:p w14:paraId="75FBCC27" w14:textId="77777777" w:rsidR="00221F62" w:rsidRDefault="00221F62" w:rsidP="00B74E01">
      <w:pPr>
        <w:spacing w:after="0" w:line="360" w:lineRule="auto"/>
        <w:ind w:firstLine="709"/>
        <w:jc w:val="both"/>
        <w:rPr>
          <w:rFonts w:eastAsia="Times New Roman" w:cs="Arial"/>
          <w:kern w:val="0"/>
          <w:lang w:eastAsia="pt-BR"/>
          <w14:ligatures w14:val="none"/>
        </w:rPr>
      </w:pPr>
    </w:p>
    <w:p w14:paraId="76059847" w14:textId="77777777" w:rsidR="00221F62" w:rsidRDefault="00221F62" w:rsidP="00B74E01">
      <w:pPr>
        <w:spacing w:after="0" w:line="360" w:lineRule="auto"/>
        <w:ind w:firstLine="709"/>
        <w:jc w:val="both"/>
        <w:rPr>
          <w:rFonts w:eastAsia="Times New Roman" w:cs="Arial"/>
          <w:kern w:val="0"/>
          <w:lang w:eastAsia="pt-BR"/>
          <w14:ligatures w14:val="none"/>
        </w:rPr>
      </w:pPr>
    </w:p>
    <w:p w14:paraId="272A87BC" w14:textId="77777777" w:rsidR="00221F62" w:rsidRDefault="00221F62" w:rsidP="00B74E01">
      <w:pPr>
        <w:spacing w:after="0" w:line="360" w:lineRule="auto"/>
        <w:ind w:firstLine="709"/>
        <w:jc w:val="both"/>
        <w:rPr>
          <w:rFonts w:eastAsia="Times New Roman" w:cs="Arial"/>
          <w:kern w:val="0"/>
          <w:lang w:eastAsia="pt-BR"/>
          <w14:ligatures w14:val="none"/>
        </w:rPr>
      </w:pPr>
    </w:p>
    <w:p w14:paraId="6CCCF5D4" w14:textId="77777777" w:rsidR="00221F62" w:rsidRDefault="00221F62" w:rsidP="00B74E01">
      <w:pPr>
        <w:spacing w:after="0" w:line="360" w:lineRule="auto"/>
        <w:ind w:firstLine="709"/>
        <w:jc w:val="both"/>
        <w:rPr>
          <w:rFonts w:eastAsia="Times New Roman" w:cs="Arial"/>
          <w:kern w:val="0"/>
          <w:lang w:eastAsia="pt-BR"/>
          <w14:ligatures w14:val="none"/>
        </w:rPr>
      </w:pPr>
    </w:p>
    <w:p w14:paraId="2450B2F7" w14:textId="77777777" w:rsidR="00221F62" w:rsidRDefault="00221F62" w:rsidP="00B74E01">
      <w:pPr>
        <w:spacing w:after="0" w:line="360" w:lineRule="auto"/>
        <w:ind w:firstLine="709"/>
        <w:jc w:val="both"/>
        <w:rPr>
          <w:rFonts w:eastAsia="Times New Roman" w:cs="Arial"/>
          <w:kern w:val="0"/>
          <w:lang w:eastAsia="pt-BR"/>
          <w14:ligatures w14:val="none"/>
        </w:rPr>
      </w:pPr>
    </w:p>
    <w:p w14:paraId="41FA2117" w14:textId="77777777" w:rsidR="00221F62" w:rsidRDefault="00221F62" w:rsidP="00B74E01">
      <w:pPr>
        <w:spacing w:after="0" w:line="360" w:lineRule="auto"/>
        <w:ind w:firstLine="709"/>
        <w:jc w:val="both"/>
        <w:rPr>
          <w:rFonts w:eastAsia="Times New Roman" w:cs="Arial"/>
          <w:kern w:val="0"/>
          <w:lang w:eastAsia="pt-BR"/>
          <w14:ligatures w14:val="none"/>
        </w:rPr>
      </w:pPr>
    </w:p>
    <w:p w14:paraId="71C6B7CF" w14:textId="77777777" w:rsidR="00221F62" w:rsidRDefault="00221F62" w:rsidP="00B74E01">
      <w:pPr>
        <w:spacing w:after="0" w:line="360" w:lineRule="auto"/>
        <w:ind w:firstLine="709"/>
        <w:jc w:val="both"/>
        <w:rPr>
          <w:rFonts w:eastAsia="Times New Roman" w:cs="Arial"/>
          <w:kern w:val="0"/>
          <w:lang w:eastAsia="pt-BR"/>
          <w14:ligatures w14:val="none"/>
        </w:rPr>
      </w:pPr>
    </w:p>
    <w:p w14:paraId="12DC8511" w14:textId="77777777" w:rsidR="00221F62" w:rsidRDefault="00221F62" w:rsidP="00B74E01">
      <w:pPr>
        <w:spacing w:after="0" w:line="360" w:lineRule="auto"/>
        <w:ind w:firstLine="709"/>
        <w:jc w:val="both"/>
        <w:rPr>
          <w:rFonts w:eastAsia="Times New Roman" w:cs="Arial"/>
          <w:kern w:val="0"/>
          <w:lang w:eastAsia="pt-BR"/>
          <w14:ligatures w14:val="none"/>
        </w:rPr>
      </w:pPr>
    </w:p>
    <w:p w14:paraId="0C00211A" w14:textId="77777777" w:rsidR="00221F62" w:rsidRDefault="00221F62" w:rsidP="00B74E01">
      <w:pPr>
        <w:spacing w:after="0" w:line="360" w:lineRule="auto"/>
        <w:ind w:firstLine="709"/>
        <w:jc w:val="both"/>
        <w:rPr>
          <w:rFonts w:eastAsia="Times New Roman" w:cs="Arial"/>
          <w:kern w:val="0"/>
          <w:lang w:eastAsia="pt-BR"/>
          <w14:ligatures w14:val="none"/>
        </w:rPr>
      </w:pPr>
    </w:p>
    <w:p w14:paraId="0A161238" w14:textId="77777777" w:rsidR="00221F62" w:rsidRDefault="00221F62" w:rsidP="00B74E01">
      <w:pPr>
        <w:spacing w:after="0" w:line="360" w:lineRule="auto"/>
        <w:ind w:firstLine="709"/>
        <w:jc w:val="both"/>
        <w:rPr>
          <w:rFonts w:eastAsia="Times New Roman" w:cs="Arial"/>
          <w:kern w:val="0"/>
          <w:lang w:eastAsia="pt-BR"/>
          <w14:ligatures w14:val="none"/>
        </w:rPr>
      </w:pPr>
    </w:p>
    <w:p w14:paraId="3AB2265F" w14:textId="77777777" w:rsidR="00221F62" w:rsidRDefault="00221F62" w:rsidP="00B74E01">
      <w:pPr>
        <w:spacing w:after="0" w:line="360" w:lineRule="auto"/>
        <w:ind w:firstLine="709"/>
        <w:jc w:val="both"/>
        <w:rPr>
          <w:rFonts w:eastAsia="Times New Roman" w:cs="Arial"/>
          <w:kern w:val="0"/>
          <w:lang w:eastAsia="pt-BR"/>
          <w14:ligatures w14:val="none"/>
        </w:rPr>
      </w:pPr>
    </w:p>
    <w:p w14:paraId="6EAA67CC" w14:textId="77777777" w:rsidR="00221F62" w:rsidRDefault="00221F62" w:rsidP="00B74E01">
      <w:pPr>
        <w:spacing w:after="0" w:line="360" w:lineRule="auto"/>
        <w:ind w:firstLine="709"/>
        <w:jc w:val="both"/>
        <w:rPr>
          <w:rFonts w:eastAsia="Times New Roman" w:cs="Arial"/>
          <w:kern w:val="0"/>
          <w:lang w:eastAsia="pt-BR"/>
          <w14:ligatures w14:val="none"/>
        </w:rPr>
      </w:pPr>
    </w:p>
    <w:p w14:paraId="798ED8EA" w14:textId="77777777" w:rsidR="00221F62" w:rsidRPr="00B74E01" w:rsidRDefault="00221F62" w:rsidP="00B74E01">
      <w:pPr>
        <w:spacing w:after="0" w:line="360" w:lineRule="auto"/>
        <w:ind w:firstLine="709"/>
        <w:jc w:val="both"/>
        <w:rPr>
          <w:rFonts w:eastAsia="Times New Roman" w:cs="Arial"/>
          <w:kern w:val="0"/>
          <w:lang w:eastAsia="pt-BR"/>
          <w14:ligatures w14:val="none"/>
        </w:rPr>
      </w:pPr>
    </w:p>
    <w:p w14:paraId="75BC09EA" w14:textId="77777777" w:rsidR="00CF7ABE" w:rsidRPr="00B74E01" w:rsidRDefault="00CF7ABE" w:rsidP="00702CEE">
      <w:pPr>
        <w:pStyle w:val="Ttulo1"/>
        <w:rPr>
          <w:rFonts w:eastAsia="Times New Roman"/>
          <w:lang w:eastAsia="pt-BR"/>
        </w:rPr>
      </w:pPr>
      <w:bookmarkStart w:id="90" w:name="_Toc230204092"/>
      <w:r w:rsidRPr="00B74E01">
        <w:rPr>
          <w:rFonts w:eastAsia="Times New Roman"/>
          <w:lang w:eastAsia="pt-BR"/>
        </w:rPr>
        <w:lastRenderedPageBreak/>
        <w:t>9. Receitas Principais da PPP</w:t>
      </w:r>
      <w:bookmarkEnd w:id="90"/>
    </w:p>
    <w:p w14:paraId="49D55EAD"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As receitas principais da PPP correspondem às fontes de remuneração diretamente vinculadas ao objeto contratual. Elas constituem a base mínima de sustentação econômico-financeira da concessão, devendo ser objetivamente previstas no edital, na minuta contratual, na matriz de riscos e nos instrumentos de garantia.</w:t>
      </w:r>
    </w:p>
    <w:p w14:paraId="199DF8AE"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No presente modelo, as receitas principais são compostas por duas rubricas: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503"/>
        <w:gridCol w:w="5558"/>
      </w:tblGrid>
      <w:tr w:rsidR="00CF7ABE" w:rsidRPr="00B74E01" w14:paraId="1BEE7B7C" w14:textId="77777777" w:rsidTr="00671A31">
        <w:trPr>
          <w:tblHeader/>
          <w:tblCellSpacing w:w="15" w:type="dxa"/>
        </w:trPr>
        <w:tc>
          <w:tcPr>
            <w:tcW w:w="0" w:type="auto"/>
            <w:vAlign w:val="center"/>
            <w:hideMark/>
          </w:tcPr>
          <w:p w14:paraId="5C59D8EA" w14:textId="77777777" w:rsidR="00CF7ABE" w:rsidRPr="00B74E01" w:rsidRDefault="00CF7ABE" w:rsidP="00702CEE">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Receita principal</w:t>
            </w:r>
          </w:p>
        </w:tc>
        <w:tc>
          <w:tcPr>
            <w:tcW w:w="0" w:type="auto"/>
            <w:vAlign w:val="center"/>
            <w:hideMark/>
          </w:tcPr>
          <w:p w14:paraId="7DE38190" w14:textId="77777777" w:rsidR="00CF7ABE" w:rsidRPr="00B74E01" w:rsidRDefault="00CF7ABE" w:rsidP="00702CEE">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Natureza</w:t>
            </w:r>
          </w:p>
        </w:tc>
      </w:tr>
      <w:tr w:rsidR="00CF7ABE" w:rsidRPr="00B74E01" w14:paraId="20F63E26" w14:textId="77777777" w:rsidTr="00671A31">
        <w:trPr>
          <w:tblCellSpacing w:w="15" w:type="dxa"/>
        </w:trPr>
        <w:tc>
          <w:tcPr>
            <w:tcW w:w="0" w:type="auto"/>
            <w:vAlign w:val="center"/>
            <w:hideMark/>
          </w:tcPr>
          <w:p w14:paraId="2703F56D" w14:textId="77777777" w:rsidR="00CF7ABE" w:rsidRPr="00B74E01" w:rsidRDefault="00CF7ABE" w:rsidP="00702CE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Destinação/tratamento de RSU</w:t>
            </w:r>
          </w:p>
        </w:tc>
        <w:tc>
          <w:tcPr>
            <w:tcW w:w="0" w:type="auto"/>
            <w:vAlign w:val="center"/>
            <w:hideMark/>
          </w:tcPr>
          <w:p w14:paraId="5DEB24F9" w14:textId="77777777" w:rsidR="00CF7ABE" w:rsidRPr="00B74E01" w:rsidRDefault="00CF7ABE" w:rsidP="00702CE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Remuneração pela obrigação de receber, tratar e destinar os resíduos sólidos urbanos, observada a quantidade mínima contratada</w:t>
            </w:r>
          </w:p>
        </w:tc>
      </w:tr>
      <w:tr w:rsidR="00CF7ABE" w:rsidRPr="00B74E01" w14:paraId="3DB332AE" w14:textId="77777777" w:rsidTr="00671A31">
        <w:trPr>
          <w:tblCellSpacing w:w="15" w:type="dxa"/>
        </w:trPr>
        <w:tc>
          <w:tcPr>
            <w:tcW w:w="0" w:type="auto"/>
            <w:vAlign w:val="center"/>
            <w:hideMark/>
          </w:tcPr>
          <w:p w14:paraId="21BAFB8B" w14:textId="77777777" w:rsidR="00CF7ABE" w:rsidRPr="00B74E01" w:rsidRDefault="00CF7ABE" w:rsidP="00702CE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Disponibilização de capacidade energética renovável</w:t>
            </w:r>
          </w:p>
        </w:tc>
        <w:tc>
          <w:tcPr>
            <w:tcW w:w="0" w:type="auto"/>
            <w:vAlign w:val="center"/>
            <w:hideMark/>
          </w:tcPr>
          <w:p w14:paraId="1D50BEC4" w14:textId="77777777" w:rsidR="00CF7ABE" w:rsidRPr="00B74E01" w:rsidRDefault="00CF7ABE" w:rsidP="00702CE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Remuneração pela disponibilização de capacidade energética ao Município, no contexto da solução integrada da PPP</w:t>
            </w:r>
          </w:p>
        </w:tc>
      </w:tr>
    </w:tbl>
    <w:p w14:paraId="1EAC1002"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Essas receitas devem ser diferenciadas das receitas acessórias. As receitas principais são contratuais, mensuráveis, recorrentes e </w:t>
      </w:r>
      <w:proofErr w:type="spellStart"/>
      <w:r w:rsidRPr="00B74E01">
        <w:rPr>
          <w:rFonts w:eastAsia="Times New Roman" w:cs="Arial"/>
          <w:kern w:val="0"/>
          <w:lang w:eastAsia="pt-BR"/>
          <w14:ligatures w14:val="none"/>
        </w:rPr>
        <w:t>garantíveis</w:t>
      </w:r>
      <w:proofErr w:type="spellEnd"/>
      <w:r w:rsidRPr="00B74E01">
        <w:rPr>
          <w:rFonts w:eastAsia="Times New Roman" w:cs="Arial"/>
          <w:kern w:val="0"/>
          <w:lang w:eastAsia="pt-BR"/>
          <w14:ligatures w14:val="none"/>
        </w:rPr>
        <w:t>. As receitas acessórias, embora relevantes, dependem de mercado, qualidade, certificação, compradores, preços e validação técnica.</w:t>
      </w:r>
    </w:p>
    <w:p w14:paraId="6DCF5D5B" w14:textId="77777777" w:rsidR="00CF7ABE" w:rsidRPr="00B74E01" w:rsidRDefault="00CF7ABE" w:rsidP="00702CEE">
      <w:pPr>
        <w:pStyle w:val="Ttulo2"/>
        <w:rPr>
          <w:rFonts w:eastAsia="Times New Roman"/>
          <w:lang w:eastAsia="pt-BR"/>
        </w:rPr>
      </w:pPr>
      <w:bookmarkStart w:id="91" w:name="_Toc230204093"/>
      <w:r w:rsidRPr="00B74E01">
        <w:rPr>
          <w:rFonts w:eastAsia="Times New Roman"/>
          <w:lang w:eastAsia="pt-BR"/>
        </w:rPr>
        <w:t>9.1. Função das receitas principais na modelagem</w:t>
      </w:r>
      <w:bookmarkEnd w:id="91"/>
    </w:p>
    <w:p w14:paraId="473D63CB"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As receitas principais cumprem quatro funções centrais na estrutura econômico-financeira da PPP:</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509"/>
        <w:gridCol w:w="6552"/>
      </w:tblGrid>
      <w:tr w:rsidR="00CF7ABE" w:rsidRPr="00B74E01" w14:paraId="7E0B1DC6" w14:textId="77777777" w:rsidTr="00671A31">
        <w:trPr>
          <w:tblHeader/>
          <w:tblCellSpacing w:w="15" w:type="dxa"/>
        </w:trPr>
        <w:tc>
          <w:tcPr>
            <w:tcW w:w="0" w:type="auto"/>
            <w:vAlign w:val="center"/>
            <w:hideMark/>
          </w:tcPr>
          <w:p w14:paraId="192A46C7" w14:textId="77777777" w:rsidR="00CF7ABE" w:rsidRPr="00B74E01" w:rsidRDefault="00CF7ABE" w:rsidP="00702CEE">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Função</w:t>
            </w:r>
          </w:p>
        </w:tc>
        <w:tc>
          <w:tcPr>
            <w:tcW w:w="0" w:type="auto"/>
            <w:vAlign w:val="center"/>
            <w:hideMark/>
          </w:tcPr>
          <w:p w14:paraId="05EA0694" w14:textId="77777777" w:rsidR="00CF7ABE" w:rsidRPr="00B74E01" w:rsidRDefault="00CF7ABE" w:rsidP="00702CEE">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Descrição</w:t>
            </w:r>
          </w:p>
        </w:tc>
      </w:tr>
      <w:tr w:rsidR="00CF7ABE" w:rsidRPr="00B74E01" w14:paraId="683BBF25" w14:textId="77777777" w:rsidTr="00671A31">
        <w:trPr>
          <w:tblCellSpacing w:w="15" w:type="dxa"/>
        </w:trPr>
        <w:tc>
          <w:tcPr>
            <w:tcW w:w="0" w:type="auto"/>
            <w:vAlign w:val="center"/>
            <w:hideMark/>
          </w:tcPr>
          <w:p w14:paraId="0B82361C" w14:textId="77777777" w:rsidR="00CF7ABE" w:rsidRPr="00B74E01" w:rsidRDefault="00CF7ABE" w:rsidP="00702CE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Sustentação mínima da SPE</w:t>
            </w:r>
          </w:p>
        </w:tc>
        <w:tc>
          <w:tcPr>
            <w:tcW w:w="0" w:type="auto"/>
            <w:vAlign w:val="center"/>
            <w:hideMark/>
          </w:tcPr>
          <w:p w14:paraId="1D628958" w14:textId="77777777" w:rsidR="00CF7ABE" w:rsidRPr="00B74E01" w:rsidRDefault="00CF7ABE" w:rsidP="00702CE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Garante fluxo contratual básico para cobrir OPEX, dívida e operação</w:t>
            </w:r>
          </w:p>
        </w:tc>
      </w:tr>
      <w:tr w:rsidR="00CF7ABE" w:rsidRPr="00B74E01" w14:paraId="10398345" w14:textId="77777777" w:rsidTr="00671A31">
        <w:trPr>
          <w:tblCellSpacing w:w="15" w:type="dxa"/>
        </w:trPr>
        <w:tc>
          <w:tcPr>
            <w:tcW w:w="0" w:type="auto"/>
            <w:vAlign w:val="center"/>
            <w:hideMark/>
          </w:tcPr>
          <w:p w14:paraId="5720E7E6" w14:textId="77777777" w:rsidR="00CF7ABE" w:rsidRPr="00B74E01" w:rsidRDefault="00CF7ABE" w:rsidP="00702CEE">
            <w:pPr>
              <w:spacing w:after="0" w:line="360" w:lineRule="auto"/>
              <w:rPr>
                <w:rFonts w:eastAsia="Times New Roman" w:cs="Arial"/>
                <w:kern w:val="0"/>
                <w:lang w:eastAsia="pt-BR"/>
                <w14:ligatures w14:val="none"/>
              </w:rPr>
            </w:pPr>
            <w:proofErr w:type="spellStart"/>
            <w:r w:rsidRPr="00B74E01">
              <w:rPr>
                <w:rFonts w:eastAsia="Times New Roman" w:cs="Arial"/>
                <w:kern w:val="0"/>
                <w:lang w:eastAsia="pt-BR"/>
                <w14:ligatures w14:val="none"/>
              </w:rPr>
              <w:t>Bancabilidade</w:t>
            </w:r>
            <w:proofErr w:type="spellEnd"/>
          </w:p>
        </w:tc>
        <w:tc>
          <w:tcPr>
            <w:tcW w:w="0" w:type="auto"/>
            <w:vAlign w:val="center"/>
            <w:hideMark/>
          </w:tcPr>
          <w:p w14:paraId="246D4D41" w14:textId="77777777" w:rsidR="00CF7ABE" w:rsidRPr="00B74E01" w:rsidRDefault="00CF7ABE" w:rsidP="00702CE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Permite análise de crédito pelos financiadores</w:t>
            </w:r>
          </w:p>
        </w:tc>
      </w:tr>
      <w:tr w:rsidR="00CF7ABE" w:rsidRPr="00B74E01" w14:paraId="5B4C8A2D" w14:textId="77777777" w:rsidTr="00671A31">
        <w:trPr>
          <w:tblCellSpacing w:w="15" w:type="dxa"/>
        </w:trPr>
        <w:tc>
          <w:tcPr>
            <w:tcW w:w="0" w:type="auto"/>
            <w:vAlign w:val="center"/>
            <w:hideMark/>
          </w:tcPr>
          <w:p w14:paraId="096D9A94" w14:textId="77777777" w:rsidR="00CF7ABE" w:rsidRPr="00B74E01" w:rsidRDefault="00CF7ABE" w:rsidP="00702CE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lastRenderedPageBreak/>
              <w:t>Previsibilidade contratual</w:t>
            </w:r>
          </w:p>
        </w:tc>
        <w:tc>
          <w:tcPr>
            <w:tcW w:w="0" w:type="auto"/>
            <w:vAlign w:val="center"/>
            <w:hideMark/>
          </w:tcPr>
          <w:p w14:paraId="4CCFCF32" w14:textId="77777777" w:rsidR="00CF7ABE" w:rsidRPr="00B74E01" w:rsidRDefault="00CF7ABE" w:rsidP="00702CE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Reduz incerteza de receita e facilita a precificação do risco</w:t>
            </w:r>
          </w:p>
        </w:tc>
      </w:tr>
      <w:tr w:rsidR="00CF7ABE" w:rsidRPr="00B74E01" w14:paraId="64D04863" w14:textId="77777777" w:rsidTr="00671A31">
        <w:trPr>
          <w:tblCellSpacing w:w="15" w:type="dxa"/>
        </w:trPr>
        <w:tc>
          <w:tcPr>
            <w:tcW w:w="0" w:type="auto"/>
            <w:vAlign w:val="center"/>
            <w:hideMark/>
          </w:tcPr>
          <w:p w14:paraId="225DD876" w14:textId="77777777" w:rsidR="00CF7ABE" w:rsidRPr="00B74E01" w:rsidRDefault="00CF7ABE" w:rsidP="00702CE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Base de garantia</w:t>
            </w:r>
          </w:p>
        </w:tc>
        <w:tc>
          <w:tcPr>
            <w:tcW w:w="0" w:type="auto"/>
            <w:vAlign w:val="center"/>
            <w:hideMark/>
          </w:tcPr>
          <w:p w14:paraId="0545E0DE" w14:textId="77777777" w:rsidR="00CF7ABE" w:rsidRPr="00B74E01" w:rsidRDefault="00CF7ABE" w:rsidP="00702CE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Define o valor a ser protegido por Fundo Garantidor, conta vinculada ou instrumento equivalente</w:t>
            </w:r>
          </w:p>
        </w:tc>
      </w:tr>
    </w:tbl>
    <w:p w14:paraId="2575F075"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 modelagem demonstra que a operação fecha positivamente com as receitas principais, ainda que com margem restrita no cenário-base de </w:t>
      </w:r>
      <w:r w:rsidRPr="00B74E01">
        <w:rPr>
          <w:rFonts w:eastAsia="Times New Roman" w:cs="Arial"/>
          <w:b/>
          <w:bCs/>
          <w:kern w:val="0"/>
          <w:lang w:eastAsia="pt-BR"/>
          <w14:ligatures w14:val="none"/>
        </w:rPr>
        <w:t>R$ 95/t</w:t>
      </w:r>
      <w:r w:rsidRPr="00B74E01">
        <w:rPr>
          <w:rFonts w:eastAsia="Times New Roman" w:cs="Arial"/>
          <w:kern w:val="0"/>
          <w:lang w:eastAsia="pt-BR"/>
          <w14:ligatures w14:val="none"/>
        </w:rPr>
        <w:t>. Isso é relevante porque evita que a viabilidade mínima dependa exclusivamente das receitas acessórias.</w:t>
      </w:r>
    </w:p>
    <w:p w14:paraId="00DE29A6" w14:textId="77777777" w:rsidR="00CF7ABE" w:rsidRPr="00B74E01" w:rsidRDefault="00CF7ABE" w:rsidP="00702CEE">
      <w:pPr>
        <w:pStyle w:val="Ttulo2"/>
        <w:rPr>
          <w:rFonts w:eastAsia="Times New Roman"/>
          <w:lang w:eastAsia="pt-BR"/>
        </w:rPr>
      </w:pPr>
      <w:bookmarkStart w:id="92" w:name="_Toc230204094"/>
      <w:r w:rsidRPr="00B74E01">
        <w:rPr>
          <w:rFonts w:eastAsia="Times New Roman"/>
          <w:lang w:eastAsia="pt-BR"/>
        </w:rPr>
        <w:t>9.2. Receita de destinação/tratamento de RSU</w:t>
      </w:r>
      <w:bookmarkEnd w:id="92"/>
    </w:p>
    <w:p w14:paraId="65F07555"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 receita de destinação/tratamento de RSU será calculada com base na quantidade mínima contratada de </w:t>
      </w:r>
      <w:r w:rsidRPr="00B74E01">
        <w:rPr>
          <w:rFonts w:eastAsia="Times New Roman" w:cs="Arial"/>
          <w:b/>
          <w:bCs/>
          <w:kern w:val="0"/>
          <w:lang w:eastAsia="pt-BR"/>
          <w14:ligatures w14:val="none"/>
        </w:rPr>
        <w:t>80 t/dia</w:t>
      </w:r>
      <w:r w:rsidRPr="00B74E01">
        <w:rPr>
          <w:rFonts w:eastAsia="Times New Roman" w:cs="Arial"/>
          <w:kern w:val="0"/>
          <w:lang w:eastAsia="pt-BR"/>
          <w14:ligatures w14:val="none"/>
        </w:rPr>
        <w:t>.</w:t>
      </w:r>
    </w:p>
    <w:p w14:paraId="54D22847"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No cenário-base, adota-se tarifa de </w:t>
      </w:r>
      <w:r w:rsidRPr="00B74E01">
        <w:rPr>
          <w:rFonts w:eastAsia="Times New Roman" w:cs="Arial"/>
          <w:b/>
          <w:bCs/>
          <w:kern w:val="0"/>
          <w:lang w:eastAsia="pt-BR"/>
          <w14:ligatures w14:val="none"/>
        </w:rPr>
        <w:t>R$ 95,00/t</w:t>
      </w:r>
      <w:r w:rsidRPr="00B74E01">
        <w:rPr>
          <w:rFonts w:eastAsia="Times New Roman" w:cs="Arial"/>
          <w:kern w:val="0"/>
          <w:lang w:eastAsia="pt-BR"/>
          <w14:ligatures w14:val="none"/>
        </w:rPr>
        <w:t>.</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391"/>
        <w:gridCol w:w="1870"/>
      </w:tblGrid>
      <w:tr w:rsidR="00CF7ABE" w:rsidRPr="00B74E01" w14:paraId="0E6DF848" w14:textId="77777777" w:rsidTr="00671A31">
        <w:trPr>
          <w:tblHeader/>
          <w:tblCellSpacing w:w="15" w:type="dxa"/>
        </w:trPr>
        <w:tc>
          <w:tcPr>
            <w:tcW w:w="0" w:type="auto"/>
            <w:vAlign w:val="center"/>
            <w:hideMark/>
          </w:tcPr>
          <w:p w14:paraId="1D600E67" w14:textId="77777777" w:rsidR="00CF7ABE" w:rsidRPr="00B74E01" w:rsidRDefault="00CF7ABE" w:rsidP="00702CEE">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Item</w:t>
            </w:r>
          </w:p>
        </w:tc>
        <w:tc>
          <w:tcPr>
            <w:tcW w:w="0" w:type="auto"/>
            <w:vAlign w:val="center"/>
            <w:hideMark/>
          </w:tcPr>
          <w:p w14:paraId="09153A65" w14:textId="77777777" w:rsidR="00CF7ABE" w:rsidRPr="00B74E01" w:rsidRDefault="00CF7ABE" w:rsidP="00702CEE">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w:t>
            </w:r>
          </w:p>
        </w:tc>
      </w:tr>
      <w:tr w:rsidR="00CF7ABE" w:rsidRPr="00B74E01" w14:paraId="203CB809" w14:textId="77777777" w:rsidTr="00671A31">
        <w:trPr>
          <w:tblCellSpacing w:w="15" w:type="dxa"/>
        </w:trPr>
        <w:tc>
          <w:tcPr>
            <w:tcW w:w="0" w:type="auto"/>
            <w:vAlign w:val="center"/>
            <w:hideMark/>
          </w:tcPr>
          <w:p w14:paraId="2BDA8F7D" w14:textId="77777777" w:rsidR="00CF7ABE" w:rsidRPr="00B74E01" w:rsidRDefault="00CF7ABE" w:rsidP="00702CE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Quantidade mínima contratada</w:t>
            </w:r>
          </w:p>
        </w:tc>
        <w:tc>
          <w:tcPr>
            <w:tcW w:w="0" w:type="auto"/>
            <w:vAlign w:val="center"/>
            <w:hideMark/>
          </w:tcPr>
          <w:p w14:paraId="7ABF8420" w14:textId="77777777" w:rsidR="00CF7ABE" w:rsidRPr="00B74E01" w:rsidRDefault="00CF7ABE" w:rsidP="00702CEE">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80 t/dia</w:t>
            </w:r>
          </w:p>
        </w:tc>
      </w:tr>
      <w:tr w:rsidR="00CF7ABE" w:rsidRPr="00B74E01" w14:paraId="103C6F8C" w14:textId="77777777" w:rsidTr="00671A31">
        <w:trPr>
          <w:tblCellSpacing w:w="15" w:type="dxa"/>
        </w:trPr>
        <w:tc>
          <w:tcPr>
            <w:tcW w:w="0" w:type="auto"/>
            <w:vAlign w:val="center"/>
            <w:hideMark/>
          </w:tcPr>
          <w:p w14:paraId="546D0736" w14:textId="77777777" w:rsidR="00CF7ABE" w:rsidRPr="00B74E01" w:rsidRDefault="00CF7ABE" w:rsidP="00702CE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Tarifa-base</w:t>
            </w:r>
          </w:p>
        </w:tc>
        <w:tc>
          <w:tcPr>
            <w:tcW w:w="0" w:type="auto"/>
            <w:vAlign w:val="center"/>
            <w:hideMark/>
          </w:tcPr>
          <w:p w14:paraId="75BA8991" w14:textId="77777777" w:rsidR="00CF7ABE" w:rsidRPr="00B74E01" w:rsidRDefault="00CF7ABE" w:rsidP="00702CEE">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R$ 95,00/t</w:t>
            </w:r>
          </w:p>
        </w:tc>
      </w:tr>
      <w:tr w:rsidR="00CF7ABE" w:rsidRPr="00B74E01" w14:paraId="7D00A0AE" w14:textId="77777777" w:rsidTr="00671A31">
        <w:trPr>
          <w:tblCellSpacing w:w="15" w:type="dxa"/>
        </w:trPr>
        <w:tc>
          <w:tcPr>
            <w:tcW w:w="0" w:type="auto"/>
            <w:vAlign w:val="center"/>
            <w:hideMark/>
          </w:tcPr>
          <w:p w14:paraId="799008AD" w14:textId="77777777" w:rsidR="00CF7ABE" w:rsidRPr="00B74E01" w:rsidRDefault="00CF7ABE" w:rsidP="00702CE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 diária mínima</w:t>
            </w:r>
          </w:p>
        </w:tc>
        <w:tc>
          <w:tcPr>
            <w:tcW w:w="0" w:type="auto"/>
            <w:vAlign w:val="center"/>
            <w:hideMark/>
          </w:tcPr>
          <w:p w14:paraId="25A9C53E" w14:textId="77777777" w:rsidR="00CF7ABE" w:rsidRPr="00B74E01" w:rsidRDefault="00CF7ABE" w:rsidP="00702CEE">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R$ 7.600,00</w:t>
            </w:r>
          </w:p>
        </w:tc>
      </w:tr>
      <w:tr w:rsidR="00CF7ABE" w:rsidRPr="00B74E01" w14:paraId="1E47B632" w14:textId="77777777" w:rsidTr="00671A31">
        <w:trPr>
          <w:tblCellSpacing w:w="15" w:type="dxa"/>
        </w:trPr>
        <w:tc>
          <w:tcPr>
            <w:tcW w:w="0" w:type="auto"/>
            <w:vAlign w:val="center"/>
            <w:hideMark/>
          </w:tcPr>
          <w:p w14:paraId="1C212627" w14:textId="77777777" w:rsidR="00CF7ABE" w:rsidRPr="00B74E01" w:rsidRDefault="00CF7ABE" w:rsidP="00702CE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 mensal mínima</w:t>
            </w:r>
          </w:p>
        </w:tc>
        <w:tc>
          <w:tcPr>
            <w:tcW w:w="0" w:type="auto"/>
            <w:vAlign w:val="center"/>
            <w:hideMark/>
          </w:tcPr>
          <w:p w14:paraId="3EC17238" w14:textId="77777777" w:rsidR="00CF7ABE" w:rsidRPr="00B74E01" w:rsidRDefault="00CF7ABE" w:rsidP="00702CEE">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R$ 231.166,67</w:t>
            </w:r>
          </w:p>
        </w:tc>
      </w:tr>
      <w:tr w:rsidR="00CF7ABE" w:rsidRPr="00B74E01" w14:paraId="2473D270" w14:textId="77777777" w:rsidTr="00671A31">
        <w:trPr>
          <w:tblCellSpacing w:w="15" w:type="dxa"/>
        </w:trPr>
        <w:tc>
          <w:tcPr>
            <w:tcW w:w="0" w:type="auto"/>
            <w:vAlign w:val="center"/>
            <w:hideMark/>
          </w:tcPr>
          <w:p w14:paraId="40256C90" w14:textId="77777777" w:rsidR="00CF7ABE" w:rsidRPr="00B74E01" w:rsidRDefault="00CF7ABE" w:rsidP="00702CE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 anual mínima</w:t>
            </w:r>
          </w:p>
        </w:tc>
        <w:tc>
          <w:tcPr>
            <w:tcW w:w="0" w:type="auto"/>
            <w:vAlign w:val="center"/>
            <w:hideMark/>
          </w:tcPr>
          <w:p w14:paraId="76C2A654" w14:textId="77777777" w:rsidR="00CF7ABE" w:rsidRPr="00B74E01" w:rsidRDefault="00CF7ABE" w:rsidP="00702CEE">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R$ 2.774.000,00</w:t>
            </w:r>
          </w:p>
        </w:tc>
      </w:tr>
    </w:tbl>
    <w:p w14:paraId="4DC84154" w14:textId="77777777" w:rsidR="00163D46" w:rsidRDefault="00163D46" w:rsidP="00163D46">
      <w:pPr>
        <w:ind w:firstLine="708"/>
        <w:rPr>
          <w:b/>
          <w:bCs/>
          <w:lang w:eastAsia="pt-BR"/>
        </w:rPr>
      </w:pPr>
    </w:p>
    <w:p w14:paraId="0A5CD826" w14:textId="408F1FEB" w:rsidR="00CF7ABE" w:rsidRPr="00163D46" w:rsidRDefault="00CF7ABE" w:rsidP="00163D46">
      <w:pPr>
        <w:ind w:firstLine="708"/>
        <w:rPr>
          <w:b/>
          <w:bCs/>
          <w:lang w:eastAsia="pt-BR"/>
        </w:rPr>
      </w:pPr>
      <w:r w:rsidRPr="00163D46">
        <w:rPr>
          <w:b/>
          <w:bCs/>
          <w:lang w:eastAsia="pt-BR"/>
        </w:rPr>
        <w:t>Memória de cálculo</w:t>
      </w:r>
    </w:p>
    <w:p w14:paraId="26DCEBE5" w14:textId="23A09E79"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[80 \</w:t>
      </w:r>
      <w:proofErr w:type="spellStart"/>
      <w:proofErr w:type="gramStart"/>
      <w:r w:rsidRPr="00B74E01">
        <w:rPr>
          <w:rFonts w:eastAsia="Times New Roman" w:cs="Arial"/>
          <w:kern w:val="0"/>
          <w:lang w:eastAsia="pt-BR"/>
          <w14:ligatures w14:val="none"/>
        </w:rPr>
        <w:t>text</w:t>
      </w:r>
      <w:proofErr w:type="spellEnd"/>
      <w:r w:rsidRPr="00B74E01">
        <w:rPr>
          <w:rFonts w:eastAsia="Times New Roman" w:cs="Arial"/>
          <w:kern w:val="0"/>
          <w:lang w:eastAsia="pt-BR"/>
          <w14:ligatures w14:val="none"/>
        </w:rPr>
        <w:t>{ t</w:t>
      </w:r>
      <w:proofErr w:type="gramEnd"/>
      <w:r w:rsidRPr="00B74E01">
        <w:rPr>
          <w:rFonts w:eastAsia="Times New Roman" w:cs="Arial"/>
          <w:kern w:val="0"/>
          <w:lang w:eastAsia="pt-BR"/>
          <w14:ligatures w14:val="none"/>
        </w:rPr>
        <w:t>/dia} \times R$ 95,00/t = R$ 7.600,00/dia]</w:t>
      </w:r>
    </w:p>
    <w:p w14:paraId="04526B9D" w14:textId="7E3FC2FA"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[R$ 7.600,00/dia \times 365 = R$ 2.774.000,00/ano]</w:t>
      </w:r>
    </w:p>
    <w:p w14:paraId="68F71B15" w14:textId="028432C4"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[R$ 2.774.000,00 \</w:t>
      </w:r>
      <w:proofErr w:type="spellStart"/>
      <w:r w:rsidRPr="00B74E01">
        <w:rPr>
          <w:rFonts w:eastAsia="Times New Roman" w:cs="Arial"/>
          <w:kern w:val="0"/>
          <w:lang w:eastAsia="pt-BR"/>
          <w14:ligatures w14:val="none"/>
        </w:rPr>
        <w:t>div</w:t>
      </w:r>
      <w:proofErr w:type="spellEnd"/>
      <w:r w:rsidRPr="00B74E01">
        <w:rPr>
          <w:rFonts w:eastAsia="Times New Roman" w:cs="Arial"/>
          <w:kern w:val="0"/>
          <w:lang w:eastAsia="pt-BR"/>
          <w14:ligatures w14:val="none"/>
        </w:rPr>
        <w:t xml:space="preserve"> 12 = R$ 231.166,67/mês]</w:t>
      </w:r>
    </w:p>
    <w:p w14:paraId="6AD6E58B"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lastRenderedPageBreak/>
        <w:t>A quantidade mínima contratada é elemento essencial da modelagem. Ela assegura previsibilidade de receita à SPE e reduz o risco de demanda, permitindo que a operação seja financiável e que o investimento possa ser amortizado ao longo do prazo contratual.</w:t>
      </w:r>
    </w:p>
    <w:p w14:paraId="5F2AA791" w14:textId="77777777" w:rsidR="00CF7ABE" w:rsidRPr="00B74E01" w:rsidRDefault="00CF7ABE" w:rsidP="00702CEE">
      <w:pPr>
        <w:pStyle w:val="Ttulo2"/>
        <w:rPr>
          <w:rFonts w:eastAsia="Times New Roman"/>
          <w:lang w:eastAsia="pt-BR"/>
        </w:rPr>
      </w:pPr>
      <w:bookmarkStart w:id="93" w:name="_Toc230204095"/>
      <w:r w:rsidRPr="00B74E01">
        <w:rPr>
          <w:rFonts w:eastAsia="Times New Roman"/>
          <w:lang w:eastAsia="pt-BR"/>
        </w:rPr>
        <w:t>9.3. Quantidade mínima contratada e risco de demanda</w:t>
      </w:r>
      <w:bookmarkEnd w:id="93"/>
    </w:p>
    <w:p w14:paraId="026B4224"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 quantidade mínima de </w:t>
      </w:r>
      <w:r w:rsidRPr="00B74E01">
        <w:rPr>
          <w:rFonts w:eastAsia="Times New Roman" w:cs="Arial"/>
          <w:b/>
          <w:bCs/>
          <w:kern w:val="0"/>
          <w:lang w:eastAsia="pt-BR"/>
          <w14:ligatures w14:val="none"/>
        </w:rPr>
        <w:t>80 t/dia</w:t>
      </w:r>
      <w:r w:rsidRPr="00B74E01">
        <w:rPr>
          <w:rFonts w:eastAsia="Times New Roman" w:cs="Arial"/>
          <w:kern w:val="0"/>
          <w:lang w:eastAsia="pt-BR"/>
          <w14:ligatures w14:val="none"/>
        </w:rPr>
        <w:t xml:space="preserve"> deverá ser tratada como base mínima faturável da destinação/tratamento de RSU.</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336"/>
        <w:gridCol w:w="5725"/>
      </w:tblGrid>
      <w:tr w:rsidR="00CF7ABE" w:rsidRPr="00B74E01" w14:paraId="291FA748" w14:textId="77777777" w:rsidTr="009C2073">
        <w:trPr>
          <w:tblHeader/>
          <w:tblCellSpacing w:w="15" w:type="dxa"/>
        </w:trPr>
        <w:tc>
          <w:tcPr>
            <w:tcW w:w="0" w:type="auto"/>
            <w:vAlign w:val="center"/>
            <w:hideMark/>
          </w:tcPr>
          <w:p w14:paraId="67D51819" w14:textId="77777777" w:rsidR="00CF7ABE" w:rsidRPr="00B74E01" w:rsidRDefault="00CF7ABE" w:rsidP="00702CEE">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Situação operacional</w:t>
            </w:r>
          </w:p>
        </w:tc>
        <w:tc>
          <w:tcPr>
            <w:tcW w:w="0" w:type="auto"/>
            <w:vAlign w:val="center"/>
            <w:hideMark/>
          </w:tcPr>
          <w:p w14:paraId="750A59B0" w14:textId="77777777" w:rsidR="00CF7ABE" w:rsidRPr="00B74E01" w:rsidRDefault="00CF7ABE" w:rsidP="00702CEE">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Tratamento econômico recomendado</w:t>
            </w:r>
          </w:p>
        </w:tc>
      </w:tr>
      <w:tr w:rsidR="00CF7ABE" w:rsidRPr="00B74E01" w14:paraId="6062C392" w14:textId="77777777" w:rsidTr="009C2073">
        <w:trPr>
          <w:tblCellSpacing w:w="15" w:type="dxa"/>
        </w:trPr>
        <w:tc>
          <w:tcPr>
            <w:tcW w:w="0" w:type="auto"/>
            <w:vAlign w:val="center"/>
            <w:hideMark/>
          </w:tcPr>
          <w:p w14:paraId="3E612FD3" w14:textId="77777777" w:rsidR="00CF7ABE" w:rsidRPr="00B74E01" w:rsidRDefault="00CF7ABE" w:rsidP="00702CE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Município entrega menos de 80 t/dia</w:t>
            </w:r>
          </w:p>
        </w:tc>
        <w:tc>
          <w:tcPr>
            <w:tcW w:w="0" w:type="auto"/>
            <w:vAlign w:val="center"/>
            <w:hideMark/>
          </w:tcPr>
          <w:p w14:paraId="3174941C" w14:textId="77777777" w:rsidR="00CF7ABE" w:rsidRPr="00B74E01" w:rsidRDefault="00CF7ABE" w:rsidP="00702CE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Mantém-se faturamento mínimo sobre 80 t/dia, salvo hipóteses contratuais de falha da SPE</w:t>
            </w:r>
          </w:p>
        </w:tc>
      </w:tr>
      <w:tr w:rsidR="00CF7ABE" w:rsidRPr="00B74E01" w14:paraId="5D9AA1FF" w14:textId="77777777" w:rsidTr="009C2073">
        <w:trPr>
          <w:tblCellSpacing w:w="15" w:type="dxa"/>
        </w:trPr>
        <w:tc>
          <w:tcPr>
            <w:tcW w:w="0" w:type="auto"/>
            <w:vAlign w:val="center"/>
            <w:hideMark/>
          </w:tcPr>
          <w:p w14:paraId="47F5AA3B" w14:textId="77777777" w:rsidR="00CF7ABE" w:rsidRPr="00B74E01" w:rsidRDefault="00CF7ABE" w:rsidP="00702CE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Município entrega 80 t/dia</w:t>
            </w:r>
          </w:p>
        </w:tc>
        <w:tc>
          <w:tcPr>
            <w:tcW w:w="0" w:type="auto"/>
            <w:vAlign w:val="center"/>
            <w:hideMark/>
          </w:tcPr>
          <w:p w14:paraId="36906C61" w14:textId="77777777" w:rsidR="00CF7ABE" w:rsidRPr="00B74E01" w:rsidRDefault="00CF7ABE" w:rsidP="00702CE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Faturamento regular sobre a base contratada</w:t>
            </w:r>
          </w:p>
        </w:tc>
      </w:tr>
      <w:tr w:rsidR="00CF7ABE" w:rsidRPr="00B74E01" w14:paraId="04962EE7" w14:textId="77777777" w:rsidTr="009C2073">
        <w:trPr>
          <w:tblCellSpacing w:w="15" w:type="dxa"/>
        </w:trPr>
        <w:tc>
          <w:tcPr>
            <w:tcW w:w="0" w:type="auto"/>
            <w:vAlign w:val="center"/>
            <w:hideMark/>
          </w:tcPr>
          <w:p w14:paraId="1045AEE6" w14:textId="77777777" w:rsidR="00CF7ABE" w:rsidRPr="00B74E01" w:rsidRDefault="00CF7ABE" w:rsidP="00702CE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Município entrega mais de 80 t/dia</w:t>
            </w:r>
          </w:p>
        </w:tc>
        <w:tc>
          <w:tcPr>
            <w:tcW w:w="0" w:type="auto"/>
            <w:vAlign w:val="center"/>
            <w:hideMark/>
          </w:tcPr>
          <w:p w14:paraId="5C535950" w14:textId="77777777" w:rsidR="00CF7ABE" w:rsidRPr="00B74E01" w:rsidRDefault="00CF7ABE" w:rsidP="00702CE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Faturamento adicional, se previsto no edital e no contrato</w:t>
            </w:r>
          </w:p>
        </w:tc>
      </w:tr>
      <w:tr w:rsidR="00CF7ABE" w:rsidRPr="00B74E01" w14:paraId="46BA1739" w14:textId="77777777" w:rsidTr="009C2073">
        <w:trPr>
          <w:tblCellSpacing w:w="15" w:type="dxa"/>
        </w:trPr>
        <w:tc>
          <w:tcPr>
            <w:tcW w:w="0" w:type="auto"/>
            <w:vAlign w:val="center"/>
            <w:hideMark/>
          </w:tcPr>
          <w:p w14:paraId="1092096C" w14:textId="77777777" w:rsidR="00CF7ABE" w:rsidRPr="00B74E01" w:rsidRDefault="00CF7ABE" w:rsidP="00702CE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Planta indisponível por culpa da SPE</w:t>
            </w:r>
          </w:p>
        </w:tc>
        <w:tc>
          <w:tcPr>
            <w:tcW w:w="0" w:type="auto"/>
            <w:vAlign w:val="center"/>
            <w:hideMark/>
          </w:tcPr>
          <w:p w14:paraId="4D801BDF" w14:textId="77777777" w:rsidR="00CF7ABE" w:rsidRPr="00B74E01" w:rsidRDefault="00CF7ABE" w:rsidP="00702CE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Possibilidade de glosa, penalidade ou suspensão parcial do pagamento</w:t>
            </w:r>
          </w:p>
        </w:tc>
      </w:tr>
      <w:tr w:rsidR="00CF7ABE" w:rsidRPr="00B74E01" w14:paraId="406A0822" w14:textId="77777777" w:rsidTr="009C2073">
        <w:trPr>
          <w:tblCellSpacing w:w="15" w:type="dxa"/>
        </w:trPr>
        <w:tc>
          <w:tcPr>
            <w:tcW w:w="0" w:type="auto"/>
            <w:vAlign w:val="center"/>
            <w:hideMark/>
          </w:tcPr>
          <w:p w14:paraId="6C19BE0C" w14:textId="77777777" w:rsidR="00CF7ABE" w:rsidRPr="00B74E01" w:rsidRDefault="00CF7ABE" w:rsidP="00702CE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Entrega inferior por fato imputável ao Município</w:t>
            </w:r>
          </w:p>
        </w:tc>
        <w:tc>
          <w:tcPr>
            <w:tcW w:w="0" w:type="auto"/>
            <w:vAlign w:val="center"/>
            <w:hideMark/>
          </w:tcPr>
          <w:p w14:paraId="329CB21E" w14:textId="77777777" w:rsidR="00CF7ABE" w:rsidRPr="00B74E01" w:rsidRDefault="00CF7ABE" w:rsidP="00702CE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Mantém-se base mínima, conforme contrato</w:t>
            </w:r>
          </w:p>
        </w:tc>
      </w:tr>
      <w:tr w:rsidR="00CF7ABE" w:rsidRPr="00B74E01" w14:paraId="75A07FE3" w14:textId="77777777" w:rsidTr="009C2073">
        <w:trPr>
          <w:tblCellSpacing w:w="15" w:type="dxa"/>
        </w:trPr>
        <w:tc>
          <w:tcPr>
            <w:tcW w:w="0" w:type="auto"/>
            <w:vAlign w:val="center"/>
            <w:hideMark/>
          </w:tcPr>
          <w:p w14:paraId="3EC6D505" w14:textId="77777777" w:rsidR="00CF7ABE" w:rsidRPr="00B74E01" w:rsidRDefault="00CF7ABE" w:rsidP="00702CE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Entrega inferior por evento extraordinário</w:t>
            </w:r>
          </w:p>
        </w:tc>
        <w:tc>
          <w:tcPr>
            <w:tcW w:w="0" w:type="auto"/>
            <w:vAlign w:val="center"/>
            <w:hideMark/>
          </w:tcPr>
          <w:p w14:paraId="6CE70465" w14:textId="77777777" w:rsidR="00CF7ABE" w:rsidRPr="00B74E01" w:rsidRDefault="00CF7ABE" w:rsidP="00702CE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Tratamento conforme matriz de riscos</w:t>
            </w:r>
          </w:p>
        </w:tc>
      </w:tr>
    </w:tbl>
    <w:p w14:paraId="29572891"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Essa regra é necessária para evitar que a SPE assuma risco de volume que não controla integralmente. A geração municipal de RSU pode variar por fatores sazonais, econômicos, demográficos, climáticos, logísticos ou administrativos. Sem uma quantidade mínima contratada, a receita da SPE ficaria excessivamente volátil.</w:t>
      </w:r>
    </w:p>
    <w:p w14:paraId="0FBC1B52"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Ao mesmo tempo, o contrato deve preservar o interesse público, prevendo glosas ou penalidades quando a redução da operação decorrer de indisponibilidade da planta, descumprimento de indicadores ou falha imputável à concessionária.</w:t>
      </w:r>
    </w:p>
    <w:p w14:paraId="07A9C645" w14:textId="77777777" w:rsidR="00CF7ABE" w:rsidRPr="00B74E01" w:rsidRDefault="00CF7ABE" w:rsidP="00702CEE">
      <w:pPr>
        <w:pStyle w:val="Ttulo2"/>
        <w:rPr>
          <w:rFonts w:eastAsia="Times New Roman"/>
          <w:lang w:eastAsia="pt-BR"/>
        </w:rPr>
      </w:pPr>
      <w:bookmarkStart w:id="94" w:name="_Toc230204096"/>
      <w:r w:rsidRPr="00B74E01">
        <w:rPr>
          <w:rFonts w:eastAsia="Times New Roman"/>
          <w:lang w:eastAsia="pt-BR"/>
        </w:rPr>
        <w:lastRenderedPageBreak/>
        <w:t>9.4. Tarifa de destinação: cenário-base e referência regional superior</w:t>
      </w:r>
      <w:bookmarkEnd w:id="94"/>
    </w:p>
    <w:p w14:paraId="1727E6F0"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 tarifa-base da modelagem é de </w:t>
      </w:r>
      <w:r w:rsidRPr="00B74E01">
        <w:rPr>
          <w:rFonts w:eastAsia="Times New Roman" w:cs="Arial"/>
          <w:b/>
          <w:bCs/>
          <w:kern w:val="0"/>
          <w:lang w:eastAsia="pt-BR"/>
          <w14:ligatures w14:val="none"/>
        </w:rPr>
        <w:t>R$ 95,00/t</w:t>
      </w:r>
      <w:r w:rsidRPr="00B74E01">
        <w:rPr>
          <w:rFonts w:eastAsia="Times New Roman" w:cs="Arial"/>
          <w:kern w:val="0"/>
          <w:lang w:eastAsia="pt-BR"/>
          <w14:ligatures w14:val="none"/>
        </w:rPr>
        <w:t>. Esse valor é utilizado como premissa prudencial e competitiva.</w:t>
      </w:r>
    </w:p>
    <w:p w14:paraId="70D33C8F"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Contudo, para fins de análise licitatória e comparação regional, também deve ser considerada a referência superior de </w:t>
      </w:r>
      <w:r w:rsidRPr="00B74E01">
        <w:rPr>
          <w:rFonts w:eastAsia="Times New Roman" w:cs="Arial"/>
          <w:b/>
          <w:bCs/>
          <w:kern w:val="0"/>
          <w:lang w:eastAsia="pt-BR"/>
          <w14:ligatures w14:val="none"/>
        </w:rPr>
        <w:t>R$ 140,00/t</w:t>
      </w:r>
      <w:r w:rsidRPr="00B74E01">
        <w:rPr>
          <w:rFonts w:eastAsia="Times New Roman" w:cs="Arial"/>
          <w:kern w:val="0"/>
          <w:lang w:eastAsia="pt-BR"/>
          <w14:ligatures w14:val="none"/>
        </w:rPr>
        <w:t>, observada como patamar possível em municípios vizinhos ou em estruturas convencionais de destinação em aterros sanitários.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456"/>
        <w:gridCol w:w="1203"/>
        <w:gridCol w:w="2732"/>
        <w:gridCol w:w="2670"/>
      </w:tblGrid>
      <w:tr w:rsidR="00CF7ABE" w:rsidRPr="00B74E01" w14:paraId="45B4E3D2" w14:textId="77777777" w:rsidTr="009C2073">
        <w:trPr>
          <w:tblHeader/>
          <w:tblCellSpacing w:w="15" w:type="dxa"/>
        </w:trPr>
        <w:tc>
          <w:tcPr>
            <w:tcW w:w="0" w:type="auto"/>
            <w:vAlign w:val="center"/>
            <w:hideMark/>
          </w:tcPr>
          <w:p w14:paraId="72C71CB4" w14:textId="77777777" w:rsidR="00CF7ABE" w:rsidRPr="00B74E01" w:rsidRDefault="00CF7ABE" w:rsidP="00702CEE">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Cenário</w:t>
            </w:r>
          </w:p>
        </w:tc>
        <w:tc>
          <w:tcPr>
            <w:tcW w:w="0" w:type="auto"/>
            <w:vAlign w:val="center"/>
            <w:hideMark/>
          </w:tcPr>
          <w:p w14:paraId="5BA50ED0" w14:textId="77777777" w:rsidR="00CF7ABE" w:rsidRPr="00B74E01" w:rsidRDefault="00CF7ABE" w:rsidP="00702CEE">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Tarifa</w:t>
            </w:r>
          </w:p>
        </w:tc>
        <w:tc>
          <w:tcPr>
            <w:tcW w:w="0" w:type="auto"/>
            <w:vAlign w:val="center"/>
            <w:hideMark/>
          </w:tcPr>
          <w:p w14:paraId="66363147" w14:textId="77777777" w:rsidR="00CF7ABE" w:rsidRPr="00B74E01" w:rsidRDefault="00CF7ABE" w:rsidP="00702CEE">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Receita mensal de destinação</w:t>
            </w:r>
          </w:p>
        </w:tc>
        <w:tc>
          <w:tcPr>
            <w:tcW w:w="0" w:type="auto"/>
            <w:vAlign w:val="center"/>
            <w:hideMark/>
          </w:tcPr>
          <w:p w14:paraId="480D6A54" w14:textId="77777777" w:rsidR="00CF7ABE" w:rsidRPr="00B74E01" w:rsidRDefault="00CF7ABE" w:rsidP="00702CEE">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Receita anual de destinação</w:t>
            </w:r>
          </w:p>
        </w:tc>
      </w:tr>
      <w:tr w:rsidR="00CF7ABE" w:rsidRPr="00B74E01" w14:paraId="3F367367" w14:textId="77777777" w:rsidTr="009C2073">
        <w:trPr>
          <w:tblCellSpacing w:w="15" w:type="dxa"/>
        </w:trPr>
        <w:tc>
          <w:tcPr>
            <w:tcW w:w="0" w:type="auto"/>
            <w:vAlign w:val="center"/>
            <w:hideMark/>
          </w:tcPr>
          <w:p w14:paraId="4794B7D2" w14:textId="77777777" w:rsidR="00CF7ABE" w:rsidRPr="00B74E01" w:rsidRDefault="00CF7ABE" w:rsidP="00702CE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Cenário-base</w:t>
            </w:r>
          </w:p>
        </w:tc>
        <w:tc>
          <w:tcPr>
            <w:tcW w:w="0" w:type="auto"/>
            <w:vAlign w:val="center"/>
            <w:hideMark/>
          </w:tcPr>
          <w:p w14:paraId="2F5CC689" w14:textId="77777777" w:rsidR="00CF7ABE" w:rsidRPr="00B74E01" w:rsidRDefault="00CF7ABE" w:rsidP="00702CEE">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R$ 95,00/t</w:t>
            </w:r>
          </w:p>
        </w:tc>
        <w:tc>
          <w:tcPr>
            <w:tcW w:w="0" w:type="auto"/>
            <w:vAlign w:val="center"/>
            <w:hideMark/>
          </w:tcPr>
          <w:p w14:paraId="1539480B" w14:textId="77777777" w:rsidR="00CF7ABE" w:rsidRPr="00B74E01" w:rsidRDefault="00CF7ABE" w:rsidP="00702CEE">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R$ 231.166,67</w:t>
            </w:r>
          </w:p>
        </w:tc>
        <w:tc>
          <w:tcPr>
            <w:tcW w:w="0" w:type="auto"/>
            <w:vAlign w:val="center"/>
            <w:hideMark/>
          </w:tcPr>
          <w:p w14:paraId="518D9268" w14:textId="77777777" w:rsidR="00CF7ABE" w:rsidRPr="00B74E01" w:rsidRDefault="00CF7ABE" w:rsidP="00702CEE">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R$ 2.774.000,00</w:t>
            </w:r>
          </w:p>
        </w:tc>
      </w:tr>
      <w:tr w:rsidR="00CF7ABE" w:rsidRPr="00B74E01" w14:paraId="74059FF7" w14:textId="77777777" w:rsidTr="009C2073">
        <w:trPr>
          <w:tblCellSpacing w:w="15" w:type="dxa"/>
        </w:trPr>
        <w:tc>
          <w:tcPr>
            <w:tcW w:w="0" w:type="auto"/>
            <w:vAlign w:val="center"/>
            <w:hideMark/>
          </w:tcPr>
          <w:p w14:paraId="26F6052B" w14:textId="77777777" w:rsidR="00CF7ABE" w:rsidRPr="00B74E01" w:rsidRDefault="00CF7ABE" w:rsidP="00702CE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Referência superior regional</w:t>
            </w:r>
          </w:p>
        </w:tc>
        <w:tc>
          <w:tcPr>
            <w:tcW w:w="0" w:type="auto"/>
            <w:vAlign w:val="center"/>
            <w:hideMark/>
          </w:tcPr>
          <w:p w14:paraId="473118CA" w14:textId="77777777" w:rsidR="00CF7ABE" w:rsidRPr="00B74E01" w:rsidRDefault="00CF7ABE" w:rsidP="00702CEE">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R$ 140,00/t</w:t>
            </w:r>
          </w:p>
        </w:tc>
        <w:tc>
          <w:tcPr>
            <w:tcW w:w="0" w:type="auto"/>
            <w:vAlign w:val="center"/>
            <w:hideMark/>
          </w:tcPr>
          <w:p w14:paraId="4190D2E0" w14:textId="77777777" w:rsidR="00CF7ABE" w:rsidRPr="00B74E01" w:rsidRDefault="00CF7ABE" w:rsidP="00702CEE">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R$ 340.666,67</w:t>
            </w:r>
          </w:p>
        </w:tc>
        <w:tc>
          <w:tcPr>
            <w:tcW w:w="0" w:type="auto"/>
            <w:vAlign w:val="center"/>
            <w:hideMark/>
          </w:tcPr>
          <w:p w14:paraId="6BF6BEE1" w14:textId="77777777" w:rsidR="00CF7ABE" w:rsidRPr="00B74E01" w:rsidRDefault="00CF7ABE" w:rsidP="00702CEE">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R$ 4.088.000,00</w:t>
            </w:r>
          </w:p>
        </w:tc>
      </w:tr>
    </w:tbl>
    <w:p w14:paraId="16D6CC08"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existência dessa faixa é relevante porque permite que a licitação tenha parâmetro mínimo e superior de preço regional. Também demonstra que valores mais elevados, praticados em destinações convencionais, podem não entregar benefícios adicionais como economia energética, valorização de subprodutos, integração tecnológica e retorno ao Fundo Municipal.</w:t>
      </w:r>
    </w:p>
    <w:p w14:paraId="375D31F6" w14:textId="77777777" w:rsidR="00CF7ABE" w:rsidRPr="00B74E01" w:rsidRDefault="00CF7ABE" w:rsidP="00702CEE">
      <w:pPr>
        <w:pStyle w:val="Ttulo2"/>
        <w:rPr>
          <w:rFonts w:eastAsia="Times New Roman"/>
          <w:lang w:eastAsia="pt-BR"/>
        </w:rPr>
      </w:pPr>
      <w:bookmarkStart w:id="95" w:name="_Toc230204097"/>
      <w:r w:rsidRPr="00B74E01">
        <w:rPr>
          <w:rFonts w:eastAsia="Times New Roman"/>
          <w:lang w:eastAsia="pt-BR"/>
        </w:rPr>
        <w:t>9.5. Receita de disponibilização de capacidade energética renovável</w:t>
      </w:r>
      <w:bookmarkEnd w:id="95"/>
    </w:p>
    <w:p w14:paraId="0D528DF3"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segunda receita principal da PPP decorre da disponibilização de capacidade energética renovável ao Município.</w:t>
      </w:r>
    </w:p>
    <w:p w14:paraId="331C661D"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 modelagem considera que o Município possui despesa mensal atual de energia elétrica de </w:t>
      </w:r>
      <w:r w:rsidRPr="00B74E01">
        <w:rPr>
          <w:rFonts w:eastAsia="Times New Roman" w:cs="Arial"/>
          <w:b/>
          <w:bCs/>
          <w:kern w:val="0"/>
          <w:lang w:eastAsia="pt-BR"/>
          <w14:ligatures w14:val="none"/>
        </w:rPr>
        <w:t>R$ 724.745,63</w:t>
      </w:r>
      <w:r w:rsidRPr="00B74E01">
        <w:rPr>
          <w:rFonts w:eastAsia="Times New Roman" w:cs="Arial"/>
          <w:kern w:val="0"/>
          <w:lang w:eastAsia="pt-BR"/>
          <w14:ligatures w14:val="none"/>
        </w:rPr>
        <w:t xml:space="preserve"> e que a remuneração da SPE pela disponibilização energética será de </w:t>
      </w:r>
      <w:r w:rsidRPr="00B74E01">
        <w:rPr>
          <w:rFonts w:eastAsia="Times New Roman" w:cs="Arial"/>
          <w:b/>
          <w:bCs/>
          <w:kern w:val="0"/>
          <w:lang w:eastAsia="pt-BR"/>
          <w14:ligatures w14:val="none"/>
        </w:rPr>
        <w:t>R$ 468.910,42/mês</w:t>
      </w:r>
      <w:r w:rsidRPr="00B74E01">
        <w:rPr>
          <w:rFonts w:eastAsia="Times New Roman" w:cs="Arial"/>
          <w:kern w:val="0"/>
          <w:lang w:eastAsia="pt-BR"/>
          <w14:ligatures w14:val="none"/>
        </w:rPr>
        <w:t>.</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600"/>
        <w:gridCol w:w="1623"/>
        <w:gridCol w:w="1838"/>
      </w:tblGrid>
      <w:tr w:rsidR="00CF7ABE" w:rsidRPr="00B74E01" w14:paraId="60CB3FE8" w14:textId="77777777" w:rsidTr="009C2073">
        <w:trPr>
          <w:tblHeader/>
          <w:tblCellSpacing w:w="15" w:type="dxa"/>
        </w:trPr>
        <w:tc>
          <w:tcPr>
            <w:tcW w:w="0" w:type="auto"/>
            <w:vAlign w:val="center"/>
            <w:hideMark/>
          </w:tcPr>
          <w:p w14:paraId="63864145" w14:textId="77777777" w:rsidR="00CF7ABE" w:rsidRPr="00B74E01" w:rsidRDefault="00CF7ABE" w:rsidP="00702CEE">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lastRenderedPageBreak/>
              <w:t>Item</w:t>
            </w:r>
          </w:p>
        </w:tc>
        <w:tc>
          <w:tcPr>
            <w:tcW w:w="0" w:type="auto"/>
            <w:vAlign w:val="center"/>
            <w:hideMark/>
          </w:tcPr>
          <w:p w14:paraId="3082F2FF" w14:textId="77777777" w:rsidR="00CF7ABE" w:rsidRPr="00B74E01" w:rsidRDefault="00CF7ABE" w:rsidP="00702CEE">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 mensal</w:t>
            </w:r>
          </w:p>
        </w:tc>
        <w:tc>
          <w:tcPr>
            <w:tcW w:w="0" w:type="auto"/>
            <w:vAlign w:val="center"/>
            <w:hideMark/>
          </w:tcPr>
          <w:p w14:paraId="2AB0EEF0" w14:textId="77777777" w:rsidR="00CF7ABE" w:rsidRPr="00B74E01" w:rsidRDefault="00CF7ABE" w:rsidP="00702CEE">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 anual</w:t>
            </w:r>
          </w:p>
        </w:tc>
      </w:tr>
      <w:tr w:rsidR="00CF7ABE" w:rsidRPr="00B74E01" w14:paraId="0692F01A" w14:textId="77777777" w:rsidTr="009C2073">
        <w:trPr>
          <w:tblCellSpacing w:w="15" w:type="dxa"/>
        </w:trPr>
        <w:tc>
          <w:tcPr>
            <w:tcW w:w="0" w:type="auto"/>
            <w:vAlign w:val="center"/>
            <w:hideMark/>
          </w:tcPr>
          <w:p w14:paraId="705F9580" w14:textId="77777777" w:rsidR="00CF7ABE" w:rsidRPr="00B74E01" w:rsidRDefault="00CF7ABE" w:rsidP="00702CE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Despesa atual de energia do Município</w:t>
            </w:r>
          </w:p>
        </w:tc>
        <w:tc>
          <w:tcPr>
            <w:tcW w:w="0" w:type="auto"/>
            <w:vAlign w:val="center"/>
            <w:hideMark/>
          </w:tcPr>
          <w:p w14:paraId="1DF730C2" w14:textId="77777777" w:rsidR="00CF7ABE" w:rsidRPr="00B74E01" w:rsidRDefault="00CF7ABE" w:rsidP="00702CEE">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R$ 724.745,63</w:t>
            </w:r>
          </w:p>
        </w:tc>
        <w:tc>
          <w:tcPr>
            <w:tcW w:w="0" w:type="auto"/>
            <w:vAlign w:val="center"/>
            <w:hideMark/>
          </w:tcPr>
          <w:p w14:paraId="2F1653A0" w14:textId="77777777" w:rsidR="00CF7ABE" w:rsidRPr="00B74E01" w:rsidRDefault="00CF7ABE" w:rsidP="00702CEE">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R$ 8.696.947,56</w:t>
            </w:r>
          </w:p>
        </w:tc>
      </w:tr>
      <w:tr w:rsidR="00CF7ABE" w:rsidRPr="00B74E01" w14:paraId="629296D8" w14:textId="77777777" w:rsidTr="009C2073">
        <w:trPr>
          <w:tblCellSpacing w:w="15" w:type="dxa"/>
        </w:trPr>
        <w:tc>
          <w:tcPr>
            <w:tcW w:w="0" w:type="auto"/>
            <w:vAlign w:val="center"/>
            <w:hideMark/>
          </w:tcPr>
          <w:p w14:paraId="4E11DA27" w14:textId="77777777" w:rsidR="00CF7ABE" w:rsidRPr="00B74E01" w:rsidRDefault="00CF7ABE" w:rsidP="00702CE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Remuneração da SPE pela disponibilização energética</w:t>
            </w:r>
          </w:p>
        </w:tc>
        <w:tc>
          <w:tcPr>
            <w:tcW w:w="0" w:type="auto"/>
            <w:vAlign w:val="center"/>
            <w:hideMark/>
          </w:tcPr>
          <w:p w14:paraId="1DEAF9AA" w14:textId="77777777" w:rsidR="00CF7ABE" w:rsidRPr="00B74E01" w:rsidRDefault="00CF7ABE" w:rsidP="00702CEE">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R$ 468.910,42</w:t>
            </w:r>
          </w:p>
        </w:tc>
        <w:tc>
          <w:tcPr>
            <w:tcW w:w="0" w:type="auto"/>
            <w:vAlign w:val="center"/>
            <w:hideMark/>
          </w:tcPr>
          <w:p w14:paraId="5A78AD06" w14:textId="77777777" w:rsidR="00CF7ABE" w:rsidRPr="00B74E01" w:rsidRDefault="00CF7ABE" w:rsidP="00702CEE">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R$ 5.626.925,04</w:t>
            </w:r>
          </w:p>
        </w:tc>
      </w:tr>
      <w:tr w:rsidR="00CF7ABE" w:rsidRPr="00B74E01" w14:paraId="707BD914" w14:textId="77777777" w:rsidTr="009C2073">
        <w:trPr>
          <w:tblCellSpacing w:w="15" w:type="dxa"/>
        </w:trPr>
        <w:tc>
          <w:tcPr>
            <w:tcW w:w="0" w:type="auto"/>
            <w:vAlign w:val="center"/>
            <w:hideMark/>
          </w:tcPr>
          <w:p w14:paraId="2CB1CA3D" w14:textId="77777777" w:rsidR="00CF7ABE" w:rsidRPr="00B74E01" w:rsidRDefault="00CF7ABE" w:rsidP="00702CE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Economia estimada ao Município</w:t>
            </w:r>
          </w:p>
        </w:tc>
        <w:tc>
          <w:tcPr>
            <w:tcW w:w="0" w:type="auto"/>
            <w:vAlign w:val="center"/>
            <w:hideMark/>
          </w:tcPr>
          <w:p w14:paraId="3BA863F9" w14:textId="77777777" w:rsidR="00CF7ABE" w:rsidRPr="00B74E01" w:rsidRDefault="00CF7ABE" w:rsidP="00702CEE">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R$ 255.835,21</w:t>
            </w:r>
          </w:p>
        </w:tc>
        <w:tc>
          <w:tcPr>
            <w:tcW w:w="0" w:type="auto"/>
            <w:vAlign w:val="center"/>
            <w:hideMark/>
          </w:tcPr>
          <w:p w14:paraId="46100AD1" w14:textId="77777777" w:rsidR="00CF7ABE" w:rsidRPr="00B74E01" w:rsidRDefault="00CF7ABE" w:rsidP="00702CEE">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R$ 3.070.022,52</w:t>
            </w:r>
          </w:p>
        </w:tc>
      </w:tr>
    </w:tbl>
    <w:p w14:paraId="5A43B658"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Essa rubrica deverá ser redigida com cautela jurídica. O texto contratual deve evitar caracterização simplificada como venda direta de energia elétrica. O enquadramento recomendado é o de </w:t>
      </w:r>
      <w:r w:rsidRPr="00B74E01">
        <w:rPr>
          <w:rFonts w:eastAsia="Times New Roman" w:cs="Arial"/>
          <w:b/>
          <w:bCs/>
          <w:kern w:val="0"/>
          <w:lang w:eastAsia="pt-BR"/>
          <w14:ligatures w14:val="none"/>
        </w:rPr>
        <w:t>disponibilização de capacidade energética renovável no âmbito da solução integrada da PPP</w:t>
      </w:r>
      <w:r w:rsidRPr="00B74E01">
        <w:rPr>
          <w:rFonts w:eastAsia="Times New Roman" w:cs="Arial"/>
          <w:kern w:val="0"/>
          <w:lang w:eastAsia="pt-BR"/>
          <w14:ligatures w14:val="none"/>
        </w:rPr>
        <w:t>, conforme modelagem, edital, contrato e matriz de riscos.</w:t>
      </w:r>
    </w:p>
    <w:p w14:paraId="7BEB8EEA" w14:textId="77777777" w:rsidR="00CF7ABE" w:rsidRPr="00B74E01" w:rsidRDefault="00CF7ABE" w:rsidP="00702CEE">
      <w:pPr>
        <w:pStyle w:val="Ttulo2"/>
        <w:rPr>
          <w:rFonts w:eastAsia="Times New Roman"/>
          <w:lang w:eastAsia="pt-BR"/>
        </w:rPr>
      </w:pPr>
      <w:bookmarkStart w:id="96" w:name="_Toc230204098"/>
      <w:r w:rsidRPr="00B74E01">
        <w:rPr>
          <w:rFonts w:eastAsia="Times New Roman"/>
          <w:lang w:eastAsia="pt-BR"/>
        </w:rPr>
        <w:t>9.6. Consumo energético considerado</w:t>
      </w:r>
      <w:bookmarkEnd w:id="96"/>
    </w:p>
    <w:p w14:paraId="16D69A53"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 modelagem energética considerou o consumo mensal consolidado de </w:t>
      </w:r>
      <w:r w:rsidRPr="00B74E01">
        <w:rPr>
          <w:rFonts w:eastAsia="Times New Roman" w:cs="Arial"/>
          <w:b/>
          <w:bCs/>
          <w:kern w:val="0"/>
          <w:lang w:eastAsia="pt-BR"/>
          <w14:ligatures w14:val="none"/>
        </w:rPr>
        <w:t>1.059.797 kWh/mês</w:t>
      </w:r>
      <w:r w:rsidRPr="00B74E01">
        <w:rPr>
          <w:rFonts w:eastAsia="Times New Roman" w:cs="Arial"/>
          <w:kern w:val="0"/>
          <w:lang w:eastAsia="pt-BR"/>
          <w14:ligatures w14:val="none"/>
        </w:rPr>
        <w:t>.</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697"/>
        <w:gridCol w:w="2284"/>
      </w:tblGrid>
      <w:tr w:rsidR="00CF7ABE" w:rsidRPr="00B74E01" w14:paraId="0B8336AC" w14:textId="77777777" w:rsidTr="009C2073">
        <w:trPr>
          <w:tblHeader/>
          <w:tblCellSpacing w:w="15" w:type="dxa"/>
        </w:trPr>
        <w:tc>
          <w:tcPr>
            <w:tcW w:w="0" w:type="auto"/>
            <w:vAlign w:val="center"/>
            <w:hideMark/>
          </w:tcPr>
          <w:p w14:paraId="41EB2A9C" w14:textId="77777777" w:rsidR="00CF7ABE" w:rsidRPr="00B74E01" w:rsidRDefault="00CF7ABE" w:rsidP="00702CEE">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Grupo</w:t>
            </w:r>
          </w:p>
        </w:tc>
        <w:tc>
          <w:tcPr>
            <w:tcW w:w="0" w:type="auto"/>
            <w:vAlign w:val="center"/>
            <w:hideMark/>
          </w:tcPr>
          <w:p w14:paraId="75CE6EF2" w14:textId="77777777" w:rsidR="00CF7ABE" w:rsidRPr="00B74E01" w:rsidRDefault="00CF7ABE" w:rsidP="00702CEE">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Consumo mensal</w:t>
            </w:r>
          </w:p>
        </w:tc>
      </w:tr>
      <w:tr w:rsidR="00CF7ABE" w:rsidRPr="00B74E01" w14:paraId="3A6ECEC0" w14:textId="77777777" w:rsidTr="009C2073">
        <w:trPr>
          <w:tblCellSpacing w:w="15" w:type="dxa"/>
        </w:trPr>
        <w:tc>
          <w:tcPr>
            <w:tcW w:w="0" w:type="auto"/>
            <w:vAlign w:val="center"/>
            <w:hideMark/>
          </w:tcPr>
          <w:p w14:paraId="43D52898" w14:textId="77777777" w:rsidR="00CF7ABE" w:rsidRPr="00B74E01" w:rsidRDefault="00CF7ABE" w:rsidP="00702CE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Iluminação Pública</w:t>
            </w:r>
          </w:p>
        </w:tc>
        <w:tc>
          <w:tcPr>
            <w:tcW w:w="0" w:type="auto"/>
            <w:vAlign w:val="center"/>
            <w:hideMark/>
          </w:tcPr>
          <w:p w14:paraId="63832D54" w14:textId="77777777" w:rsidR="00CF7ABE" w:rsidRPr="00B74E01" w:rsidRDefault="00CF7ABE" w:rsidP="00702CEE">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528.336 kWh/mês</w:t>
            </w:r>
          </w:p>
        </w:tc>
      </w:tr>
      <w:tr w:rsidR="00CF7ABE" w:rsidRPr="00B74E01" w14:paraId="2F1DD0FA" w14:textId="77777777" w:rsidTr="009C2073">
        <w:trPr>
          <w:tblCellSpacing w:w="15" w:type="dxa"/>
        </w:trPr>
        <w:tc>
          <w:tcPr>
            <w:tcW w:w="0" w:type="auto"/>
            <w:vAlign w:val="center"/>
            <w:hideMark/>
          </w:tcPr>
          <w:p w14:paraId="47FE706B" w14:textId="77777777" w:rsidR="00CF7ABE" w:rsidRPr="00B74E01" w:rsidRDefault="00CF7ABE" w:rsidP="00702CE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Administração Municipal</w:t>
            </w:r>
          </w:p>
        </w:tc>
        <w:tc>
          <w:tcPr>
            <w:tcW w:w="0" w:type="auto"/>
            <w:vAlign w:val="center"/>
            <w:hideMark/>
          </w:tcPr>
          <w:p w14:paraId="072B9C74" w14:textId="77777777" w:rsidR="00CF7ABE" w:rsidRPr="00B74E01" w:rsidRDefault="00CF7ABE" w:rsidP="00702CEE">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377.420 kWh/mês</w:t>
            </w:r>
          </w:p>
        </w:tc>
      </w:tr>
      <w:tr w:rsidR="00CF7ABE" w:rsidRPr="00B74E01" w14:paraId="225BAD41" w14:textId="77777777" w:rsidTr="009C2073">
        <w:trPr>
          <w:tblCellSpacing w:w="15" w:type="dxa"/>
        </w:trPr>
        <w:tc>
          <w:tcPr>
            <w:tcW w:w="0" w:type="auto"/>
            <w:vAlign w:val="center"/>
            <w:hideMark/>
          </w:tcPr>
          <w:p w14:paraId="25E6E18F" w14:textId="77777777" w:rsidR="00CF7ABE" w:rsidRPr="00B74E01" w:rsidRDefault="00CF7ABE" w:rsidP="00702CE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Educação</w:t>
            </w:r>
          </w:p>
        </w:tc>
        <w:tc>
          <w:tcPr>
            <w:tcW w:w="0" w:type="auto"/>
            <w:vAlign w:val="center"/>
            <w:hideMark/>
          </w:tcPr>
          <w:p w14:paraId="25680384" w14:textId="77777777" w:rsidR="00CF7ABE" w:rsidRPr="00B74E01" w:rsidRDefault="00CF7ABE" w:rsidP="00702CEE">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104.388 kWh/mês</w:t>
            </w:r>
          </w:p>
        </w:tc>
      </w:tr>
      <w:tr w:rsidR="00CF7ABE" w:rsidRPr="00B74E01" w14:paraId="01BF3058" w14:textId="77777777" w:rsidTr="009C2073">
        <w:trPr>
          <w:tblCellSpacing w:w="15" w:type="dxa"/>
        </w:trPr>
        <w:tc>
          <w:tcPr>
            <w:tcW w:w="0" w:type="auto"/>
            <w:vAlign w:val="center"/>
            <w:hideMark/>
          </w:tcPr>
          <w:p w14:paraId="32126956" w14:textId="77777777" w:rsidR="00CF7ABE" w:rsidRPr="00B74E01" w:rsidRDefault="00CF7ABE" w:rsidP="00702CEE">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Saúde</w:t>
            </w:r>
          </w:p>
        </w:tc>
        <w:tc>
          <w:tcPr>
            <w:tcW w:w="0" w:type="auto"/>
            <w:vAlign w:val="center"/>
            <w:hideMark/>
          </w:tcPr>
          <w:p w14:paraId="075FD01A" w14:textId="77777777" w:rsidR="00CF7ABE" w:rsidRPr="00B74E01" w:rsidRDefault="00CF7ABE" w:rsidP="00702CEE">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49.653 kWh/mês</w:t>
            </w:r>
          </w:p>
        </w:tc>
      </w:tr>
      <w:tr w:rsidR="00CF7ABE" w:rsidRPr="00B74E01" w14:paraId="47E88349" w14:textId="77777777" w:rsidTr="009C2073">
        <w:trPr>
          <w:tblCellSpacing w:w="15" w:type="dxa"/>
        </w:trPr>
        <w:tc>
          <w:tcPr>
            <w:tcW w:w="0" w:type="auto"/>
            <w:vAlign w:val="center"/>
            <w:hideMark/>
          </w:tcPr>
          <w:p w14:paraId="1EAE4A9B" w14:textId="77777777" w:rsidR="00CF7ABE" w:rsidRPr="00B74E01" w:rsidRDefault="00CF7ABE" w:rsidP="00702CEE">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Total consolidado</w:t>
            </w:r>
          </w:p>
        </w:tc>
        <w:tc>
          <w:tcPr>
            <w:tcW w:w="0" w:type="auto"/>
            <w:vAlign w:val="center"/>
            <w:hideMark/>
          </w:tcPr>
          <w:p w14:paraId="1F70DD5A" w14:textId="77777777" w:rsidR="00CF7ABE" w:rsidRPr="00B74E01" w:rsidRDefault="00CF7ABE" w:rsidP="00702CEE">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1.059.797 kWh/mês</w:t>
            </w:r>
          </w:p>
        </w:tc>
      </w:tr>
    </w:tbl>
    <w:p w14:paraId="3E016D33"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Com base no valor atual pago à distribuidora e no consumo considerado, o custo médio atual da energia é:</w:t>
      </w:r>
    </w:p>
    <w:p w14:paraId="57C703A9" w14:textId="1812F96C"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[R$ 724.745,63 \</w:t>
      </w:r>
      <w:proofErr w:type="spellStart"/>
      <w:r w:rsidRPr="00B74E01">
        <w:rPr>
          <w:rFonts w:eastAsia="Times New Roman" w:cs="Arial"/>
          <w:kern w:val="0"/>
          <w:lang w:eastAsia="pt-BR"/>
          <w14:ligatures w14:val="none"/>
        </w:rPr>
        <w:t>div</w:t>
      </w:r>
      <w:proofErr w:type="spellEnd"/>
      <w:r w:rsidRPr="00B74E01">
        <w:rPr>
          <w:rFonts w:eastAsia="Times New Roman" w:cs="Arial"/>
          <w:kern w:val="0"/>
          <w:lang w:eastAsia="pt-BR"/>
          <w14:ligatures w14:val="none"/>
        </w:rPr>
        <w:t xml:space="preserve"> 1.059.797 \</w:t>
      </w:r>
      <w:proofErr w:type="spellStart"/>
      <w:proofErr w:type="gramStart"/>
      <w:r w:rsidRPr="00B74E01">
        <w:rPr>
          <w:rFonts w:eastAsia="Times New Roman" w:cs="Arial"/>
          <w:kern w:val="0"/>
          <w:lang w:eastAsia="pt-BR"/>
          <w14:ligatures w14:val="none"/>
        </w:rPr>
        <w:t>text</w:t>
      </w:r>
      <w:proofErr w:type="spellEnd"/>
      <w:r w:rsidRPr="00B74E01">
        <w:rPr>
          <w:rFonts w:eastAsia="Times New Roman" w:cs="Arial"/>
          <w:kern w:val="0"/>
          <w:lang w:eastAsia="pt-BR"/>
          <w14:ligatures w14:val="none"/>
        </w:rPr>
        <w:t>{ kWh</w:t>
      </w:r>
      <w:proofErr w:type="gramEnd"/>
      <w:r w:rsidRPr="00B74E01">
        <w:rPr>
          <w:rFonts w:eastAsia="Times New Roman" w:cs="Arial"/>
          <w:kern w:val="0"/>
          <w:lang w:eastAsia="pt-BR"/>
          <w14:ligatures w14:val="none"/>
        </w:rPr>
        <w:t>} = R$ 0,68385/kWh]</w:t>
      </w:r>
    </w:p>
    <w:p w14:paraId="08E444D6"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Já o custo médio equivalente da remuneração da SPE pela disponibilização energética é:</w:t>
      </w:r>
    </w:p>
    <w:p w14:paraId="3831826F" w14:textId="71D225E9"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lastRenderedPageBreak/>
        <w:t>[R$ 468.910,42 \</w:t>
      </w:r>
      <w:proofErr w:type="spellStart"/>
      <w:r w:rsidRPr="00B74E01">
        <w:rPr>
          <w:rFonts w:eastAsia="Times New Roman" w:cs="Arial"/>
          <w:kern w:val="0"/>
          <w:lang w:eastAsia="pt-BR"/>
          <w14:ligatures w14:val="none"/>
        </w:rPr>
        <w:t>div</w:t>
      </w:r>
      <w:proofErr w:type="spellEnd"/>
      <w:r w:rsidRPr="00B74E01">
        <w:rPr>
          <w:rFonts w:eastAsia="Times New Roman" w:cs="Arial"/>
          <w:kern w:val="0"/>
          <w:lang w:eastAsia="pt-BR"/>
          <w14:ligatures w14:val="none"/>
        </w:rPr>
        <w:t xml:space="preserve"> 1.059.797 \</w:t>
      </w:r>
      <w:proofErr w:type="spellStart"/>
      <w:proofErr w:type="gramStart"/>
      <w:r w:rsidRPr="00B74E01">
        <w:rPr>
          <w:rFonts w:eastAsia="Times New Roman" w:cs="Arial"/>
          <w:kern w:val="0"/>
          <w:lang w:eastAsia="pt-BR"/>
          <w14:ligatures w14:val="none"/>
        </w:rPr>
        <w:t>text</w:t>
      </w:r>
      <w:proofErr w:type="spellEnd"/>
      <w:r w:rsidRPr="00B74E01">
        <w:rPr>
          <w:rFonts w:eastAsia="Times New Roman" w:cs="Arial"/>
          <w:kern w:val="0"/>
          <w:lang w:eastAsia="pt-BR"/>
          <w14:ligatures w14:val="none"/>
        </w:rPr>
        <w:t>{ kWh</w:t>
      </w:r>
      <w:proofErr w:type="gramEnd"/>
      <w:r w:rsidRPr="00B74E01">
        <w:rPr>
          <w:rFonts w:eastAsia="Times New Roman" w:cs="Arial"/>
          <w:kern w:val="0"/>
          <w:lang w:eastAsia="pt-BR"/>
          <w14:ligatures w14:val="none"/>
        </w:rPr>
        <w:t>} = R$ 0,44246/kWh]</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618"/>
        <w:gridCol w:w="1910"/>
      </w:tblGrid>
      <w:tr w:rsidR="00CF7ABE" w:rsidRPr="00B74E01" w14:paraId="34AAE2A3" w14:textId="77777777" w:rsidTr="009C2073">
        <w:trPr>
          <w:tblHeader/>
          <w:tblCellSpacing w:w="15" w:type="dxa"/>
        </w:trPr>
        <w:tc>
          <w:tcPr>
            <w:tcW w:w="0" w:type="auto"/>
            <w:vAlign w:val="center"/>
            <w:hideMark/>
          </w:tcPr>
          <w:p w14:paraId="5E65BB1B" w14:textId="77777777" w:rsidR="00CF7ABE" w:rsidRPr="00B74E01" w:rsidRDefault="00CF7ABE" w:rsidP="00050807">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Indicador</w:t>
            </w:r>
          </w:p>
        </w:tc>
        <w:tc>
          <w:tcPr>
            <w:tcW w:w="0" w:type="auto"/>
            <w:vAlign w:val="center"/>
            <w:hideMark/>
          </w:tcPr>
          <w:p w14:paraId="7FC7F264" w14:textId="77777777" w:rsidR="00CF7ABE" w:rsidRPr="00B74E01" w:rsidRDefault="00CF7ABE" w:rsidP="00050807">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w:t>
            </w:r>
          </w:p>
        </w:tc>
      </w:tr>
      <w:tr w:rsidR="00CF7ABE" w:rsidRPr="00B74E01" w14:paraId="067C1B9B" w14:textId="77777777" w:rsidTr="009C2073">
        <w:trPr>
          <w:tblCellSpacing w:w="15" w:type="dxa"/>
        </w:trPr>
        <w:tc>
          <w:tcPr>
            <w:tcW w:w="0" w:type="auto"/>
            <w:vAlign w:val="center"/>
            <w:hideMark/>
          </w:tcPr>
          <w:p w14:paraId="1AC547E1" w14:textId="77777777" w:rsidR="00CF7ABE" w:rsidRPr="00B74E01" w:rsidRDefault="00CF7ABE" w:rsidP="0005080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Custo médio atual da energia</w:t>
            </w:r>
          </w:p>
        </w:tc>
        <w:tc>
          <w:tcPr>
            <w:tcW w:w="0" w:type="auto"/>
            <w:vAlign w:val="center"/>
            <w:hideMark/>
          </w:tcPr>
          <w:p w14:paraId="1D635337" w14:textId="77777777" w:rsidR="00CF7ABE" w:rsidRPr="00B74E01" w:rsidRDefault="00CF7ABE" w:rsidP="00050807">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R$ 0,68385/kWh</w:t>
            </w:r>
          </w:p>
        </w:tc>
      </w:tr>
      <w:tr w:rsidR="00CF7ABE" w:rsidRPr="00B74E01" w14:paraId="18A94667" w14:textId="77777777" w:rsidTr="009C2073">
        <w:trPr>
          <w:tblCellSpacing w:w="15" w:type="dxa"/>
        </w:trPr>
        <w:tc>
          <w:tcPr>
            <w:tcW w:w="0" w:type="auto"/>
            <w:vAlign w:val="center"/>
            <w:hideMark/>
          </w:tcPr>
          <w:p w14:paraId="623BCCBE" w14:textId="77777777" w:rsidR="00CF7ABE" w:rsidRPr="00B74E01" w:rsidRDefault="00CF7ABE" w:rsidP="0005080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Custo médio equivalente da SPE</w:t>
            </w:r>
          </w:p>
        </w:tc>
        <w:tc>
          <w:tcPr>
            <w:tcW w:w="0" w:type="auto"/>
            <w:vAlign w:val="center"/>
            <w:hideMark/>
          </w:tcPr>
          <w:p w14:paraId="2B2A8126" w14:textId="77777777" w:rsidR="00CF7ABE" w:rsidRPr="00B74E01" w:rsidRDefault="00CF7ABE" w:rsidP="00050807">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R$ 0,44246/kWh</w:t>
            </w:r>
          </w:p>
        </w:tc>
      </w:tr>
      <w:tr w:rsidR="00CF7ABE" w:rsidRPr="00B74E01" w14:paraId="44010229" w14:textId="77777777" w:rsidTr="009C2073">
        <w:trPr>
          <w:tblCellSpacing w:w="15" w:type="dxa"/>
        </w:trPr>
        <w:tc>
          <w:tcPr>
            <w:tcW w:w="0" w:type="auto"/>
            <w:vAlign w:val="center"/>
            <w:hideMark/>
          </w:tcPr>
          <w:p w14:paraId="30FEAEB7" w14:textId="77777777" w:rsidR="00CF7ABE" w:rsidRPr="00B74E01" w:rsidRDefault="00CF7ABE" w:rsidP="0005080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Diferença econômica unitária</w:t>
            </w:r>
          </w:p>
        </w:tc>
        <w:tc>
          <w:tcPr>
            <w:tcW w:w="0" w:type="auto"/>
            <w:vAlign w:val="center"/>
            <w:hideMark/>
          </w:tcPr>
          <w:p w14:paraId="35817F64" w14:textId="77777777" w:rsidR="00CF7ABE" w:rsidRPr="00B74E01" w:rsidRDefault="00CF7ABE" w:rsidP="00050807">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R$ 0,24139/kWh</w:t>
            </w:r>
          </w:p>
        </w:tc>
      </w:tr>
    </w:tbl>
    <w:p w14:paraId="75BCA8C5"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Essa diferença unitária é a base da economia energética estimada.</w:t>
      </w:r>
    </w:p>
    <w:p w14:paraId="5B1249D8" w14:textId="77777777" w:rsidR="00CF7ABE" w:rsidRPr="00B74E01" w:rsidRDefault="00CF7ABE" w:rsidP="00050807">
      <w:pPr>
        <w:pStyle w:val="Ttulo2"/>
        <w:rPr>
          <w:rFonts w:eastAsia="Times New Roman"/>
          <w:lang w:eastAsia="pt-BR"/>
        </w:rPr>
      </w:pPr>
      <w:bookmarkStart w:id="97" w:name="_Toc230204099"/>
      <w:r w:rsidRPr="00B74E01">
        <w:rPr>
          <w:rFonts w:eastAsia="Times New Roman"/>
          <w:lang w:eastAsia="pt-BR"/>
        </w:rPr>
        <w:t>9.7. Receita principal total no cenário-base</w:t>
      </w:r>
      <w:bookmarkEnd w:id="97"/>
    </w:p>
    <w:p w14:paraId="67A7DBF4"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No cenário-base, com tarifa de destinação de </w:t>
      </w:r>
      <w:r w:rsidRPr="00B74E01">
        <w:rPr>
          <w:rFonts w:eastAsia="Times New Roman" w:cs="Arial"/>
          <w:b/>
          <w:bCs/>
          <w:kern w:val="0"/>
          <w:lang w:eastAsia="pt-BR"/>
          <w14:ligatures w14:val="none"/>
        </w:rPr>
        <w:t>R$ 95/t</w:t>
      </w:r>
      <w:r w:rsidRPr="00B74E01">
        <w:rPr>
          <w:rFonts w:eastAsia="Times New Roman" w:cs="Arial"/>
          <w:kern w:val="0"/>
          <w:lang w:eastAsia="pt-BR"/>
          <w14:ligatures w14:val="none"/>
        </w:rPr>
        <w:t>, a receita principal bruta da PPP será:</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645"/>
        <w:gridCol w:w="1655"/>
        <w:gridCol w:w="1870"/>
      </w:tblGrid>
      <w:tr w:rsidR="00CF7ABE" w:rsidRPr="00B74E01" w14:paraId="0DC8BB1E" w14:textId="77777777" w:rsidTr="009C2073">
        <w:trPr>
          <w:tblHeader/>
          <w:tblCellSpacing w:w="15" w:type="dxa"/>
        </w:trPr>
        <w:tc>
          <w:tcPr>
            <w:tcW w:w="0" w:type="auto"/>
            <w:vAlign w:val="center"/>
            <w:hideMark/>
          </w:tcPr>
          <w:p w14:paraId="2DADFC7A" w14:textId="77777777" w:rsidR="00CF7ABE" w:rsidRPr="00B74E01" w:rsidRDefault="00CF7ABE" w:rsidP="00050807">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Receita principal</w:t>
            </w:r>
          </w:p>
        </w:tc>
        <w:tc>
          <w:tcPr>
            <w:tcW w:w="0" w:type="auto"/>
            <w:vAlign w:val="center"/>
            <w:hideMark/>
          </w:tcPr>
          <w:p w14:paraId="06BBB030" w14:textId="77777777" w:rsidR="00CF7ABE" w:rsidRPr="00B74E01" w:rsidRDefault="00CF7ABE" w:rsidP="00050807">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 mensal</w:t>
            </w:r>
          </w:p>
        </w:tc>
        <w:tc>
          <w:tcPr>
            <w:tcW w:w="0" w:type="auto"/>
            <w:vAlign w:val="center"/>
            <w:hideMark/>
          </w:tcPr>
          <w:p w14:paraId="6962C913" w14:textId="77777777" w:rsidR="00CF7ABE" w:rsidRPr="00B74E01" w:rsidRDefault="00CF7ABE" w:rsidP="00050807">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 anual</w:t>
            </w:r>
          </w:p>
        </w:tc>
      </w:tr>
      <w:tr w:rsidR="00CF7ABE" w:rsidRPr="00B74E01" w14:paraId="74259E6B" w14:textId="77777777" w:rsidTr="009C2073">
        <w:trPr>
          <w:tblCellSpacing w:w="15" w:type="dxa"/>
        </w:trPr>
        <w:tc>
          <w:tcPr>
            <w:tcW w:w="0" w:type="auto"/>
            <w:vAlign w:val="center"/>
            <w:hideMark/>
          </w:tcPr>
          <w:p w14:paraId="68BF1FE0" w14:textId="77777777" w:rsidR="00CF7ABE" w:rsidRPr="00B74E01" w:rsidRDefault="00CF7ABE" w:rsidP="0005080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Destinação/tratamento de RSU — R$ 95/t</w:t>
            </w:r>
          </w:p>
        </w:tc>
        <w:tc>
          <w:tcPr>
            <w:tcW w:w="0" w:type="auto"/>
            <w:vAlign w:val="center"/>
            <w:hideMark/>
          </w:tcPr>
          <w:p w14:paraId="0736B423" w14:textId="77777777" w:rsidR="00CF7ABE" w:rsidRPr="00B74E01" w:rsidRDefault="00CF7ABE" w:rsidP="00050807">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R$ 231.166,67</w:t>
            </w:r>
          </w:p>
        </w:tc>
        <w:tc>
          <w:tcPr>
            <w:tcW w:w="0" w:type="auto"/>
            <w:vAlign w:val="center"/>
            <w:hideMark/>
          </w:tcPr>
          <w:p w14:paraId="58A95B6F" w14:textId="77777777" w:rsidR="00CF7ABE" w:rsidRPr="00B74E01" w:rsidRDefault="00CF7ABE" w:rsidP="00050807">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R$ 2.774.000,00</w:t>
            </w:r>
          </w:p>
        </w:tc>
      </w:tr>
      <w:tr w:rsidR="00CF7ABE" w:rsidRPr="00B74E01" w14:paraId="0DF771B6" w14:textId="77777777" w:rsidTr="009C2073">
        <w:trPr>
          <w:tblCellSpacing w:w="15" w:type="dxa"/>
        </w:trPr>
        <w:tc>
          <w:tcPr>
            <w:tcW w:w="0" w:type="auto"/>
            <w:vAlign w:val="center"/>
            <w:hideMark/>
          </w:tcPr>
          <w:p w14:paraId="623B5AB1" w14:textId="77777777" w:rsidR="00CF7ABE" w:rsidRPr="00B74E01" w:rsidRDefault="00CF7ABE" w:rsidP="0005080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Disponibilização de capacidade energética</w:t>
            </w:r>
          </w:p>
        </w:tc>
        <w:tc>
          <w:tcPr>
            <w:tcW w:w="0" w:type="auto"/>
            <w:vAlign w:val="center"/>
            <w:hideMark/>
          </w:tcPr>
          <w:p w14:paraId="1A1320D4" w14:textId="77777777" w:rsidR="00CF7ABE" w:rsidRPr="00B74E01" w:rsidRDefault="00CF7ABE" w:rsidP="00050807">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R$ 468.910,42</w:t>
            </w:r>
          </w:p>
        </w:tc>
        <w:tc>
          <w:tcPr>
            <w:tcW w:w="0" w:type="auto"/>
            <w:vAlign w:val="center"/>
            <w:hideMark/>
          </w:tcPr>
          <w:p w14:paraId="6ADF2766" w14:textId="77777777" w:rsidR="00CF7ABE" w:rsidRPr="00B74E01" w:rsidRDefault="00CF7ABE" w:rsidP="00050807">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R$ 5.626.925,04</w:t>
            </w:r>
          </w:p>
        </w:tc>
      </w:tr>
      <w:tr w:rsidR="00CF7ABE" w:rsidRPr="00B74E01" w14:paraId="12507C3E" w14:textId="77777777" w:rsidTr="009C2073">
        <w:trPr>
          <w:tblCellSpacing w:w="15" w:type="dxa"/>
        </w:trPr>
        <w:tc>
          <w:tcPr>
            <w:tcW w:w="0" w:type="auto"/>
            <w:vAlign w:val="center"/>
            <w:hideMark/>
          </w:tcPr>
          <w:p w14:paraId="68D21E1E" w14:textId="77777777" w:rsidR="00CF7ABE" w:rsidRPr="00B74E01" w:rsidRDefault="00CF7ABE" w:rsidP="00050807">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Receita principal bruta da PPP</w:t>
            </w:r>
          </w:p>
        </w:tc>
        <w:tc>
          <w:tcPr>
            <w:tcW w:w="0" w:type="auto"/>
            <w:vAlign w:val="center"/>
            <w:hideMark/>
          </w:tcPr>
          <w:p w14:paraId="5FDA5E48" w14:textId="77777777" w:rsidR="00CF7ABE" w:rsidRPr="00B74E01" w:rsidRDefault="00CF7ABE" w:rsidP="00050807">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R$ 700.077,09</w:t>
            </w:r>
          </w:p>
        </w:tc>
        <w:tc>
          <w:tcPr>
            <w:tcW w:w="0" w:type="auto"/>
            <w:vAlign w:val="center"/>
            <w:hideMark/>
          </w:tcPr>
          <w:p w14:paraId="575FD3E2" w14:textId="77777777" w:rsidR="00CF7ABE" w:rsidRPr="00B74E01" w:rsidRDefault="00CF7ABE" w:rsidP="00050807">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R$ 8.400.925,04</w:t>
            </w:r>
          </w:p>
        </w:tc>
      </w:tr>
    </w:tbl>
    <w:p w14:paraId="34BB02A8"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Essa é a base utilizada na modelagem principal para cálculo de tributos, receita líquida, EBITDA, serviço da dívida, DSCR e garantias.</w:t>
      </w:r>
    </w:p>
    <w:p w14:paraId="121CDD98" w14:textId="77777777" w:rsidR="00CF7ABE" w:rsidRPr="00B74E01" w:rsidRDefault="00CF7ABE" w:rsidP="00050807">
      <w:pPr>
        <w:pStyle w:val="Ttulo2"/>
        <w:rPr>
          <w:rFonts w:eastAsia="Times New Roman"/>
          <w:lang w:eastAsia="pt-BR"/>
        </w:rPr>
      </w:pPr>
      <w:bookmarkStart w:id="98" w:name="_Toc230204100"/>
      <w:r w:rsidRPr="00B74E01">
        <w:rPr>
          <w:rFonts w:eastAsia="Times New Roman"/>
          <w:lang w:eastAsia="pt-BR"/>
        </w:rPr>
        <w:t>9.8. Receita principal total no cenário superior regional</w:t>
      </w:r>
      <w:bookmarkEnd w:id="98"/>
    </w:p>
    <w:p w14:paraId="786DB9BA"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Caso a tarifa de destinação se aproxime da referência regional superior de </w:t>
      </w:r>
      <w:r w:rsidRPr="00B74E01">
        <w:rPr>
          <w:rFonts w:eastAsia="Times New Roman" w:cs="Arial"/>
          <w:b/>
          <w:bCs/>
          <w:kern w:val="0"/>
          <w:lang w:eastAsia="pt-BR"/>
          <w14:ligatures w14:val="none"/>
        </w:rPr>
        <w:t>R$ 140/t</w:t>
      </w:r>
      <w:r w:rsidRPr="00B74E01">
        <w:rPr>
          <w:rFonts w:eastAsia="Times New Roman" w:cs="Arial"/>
          <w:kern w:val="0"/>
          <w:lang w:eastAsia="pt-BR"/>
          <w14:ligatures w14:val="none"/>
        </w:rPr>
        <w:t>, a receita principal passa a ser:</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698"/>
        <w:gridCol w:w="1655"/>
        <w:gridCol w:w="1870"/>
      </w:tblGrid>
      <w:tr w:rsidR="00CF7ABE" w:rsidRPr="00B74E01" w14:paraId="17A436D6" w14:textId="77777777" w:rsidTr="009C2073">
        <w:trPr>
          <w:tblHeader/>
          <w:tblCellSpacing w:w="15" w:type="dxa"/>
        </w:trPr>
        <w:tc>
          <w:tcPr>
            <w:tcW w:w="0" w:type="auto"/>
            <w:vAlign w:val="center"/>
            <w:hideMark/>
          </w:tcPr>
          <w:p w14:paraId="247B068A" w14:textId="77777777" w:rsidR="00CF7ABE" w:rsidRPr="00B74E01" w:rsidRDefault="00CF7ABE" w:rsidP="00050807">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Receita principal</w:t>
            </w:r>
          </w:p>
        </w:tc>
        <w:tc>
          <w:tcPr>
            <w:tcW w:w="0" w:type="auto"/>
            <w:vAlign w:val="center"/>
            <w:hideMark/>
          </w:tcPr>
          <w:p w14:paraId="1EB69A40" w14:textId="77777777" w:rsidR="00CF7ABE" w:rsidRPr="00B74E01" w:rsidRDefault="00CF7ABE" w:rsidP="00050807">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Valor mensal</w:t>
            </w:r>
          </w:p>
        </w:tc>
        <w:tc>
          <w:tcPr>
            <w:tcW w:w="0" w:type="auto"/>
            <w:vAlign w:val="center"/>
            <w:hideMark/>
          </w:tcPr>
          <w:p w14:paraId="5E4852FA" w14:textId="77777777" w:rsidR="00CF7ABE" w:rsidRPr="00B74E01" w:rsidRDefault="00CF7ABE" w:rsidP="00050807">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Valor anual</w:t>
            </w:r>
          </w:p>
        </w:tc>
      </w:tr>
      <w:tr w:rsidR="00CF7ABE" w:rsidRPr="00B74E01" w14:paraId="31E4646A" w14:textId="77777777" w:rsidTr="009C2073">
        <w:trPr>
          <w:tblCellSpacing w:w="15" w:type="dxa"/>
        </w:trPr>
        <w:tc>
          <w:tcPr>
            <w:tcW w:w="0" w:type="auto"/>
            <w:vAlign w:val="center"/>
            <w:hideMark/>
          </w:tcPr>
          <w:p w14:paraId="11D86671" w14:textId="77777777" w:rsidR="00CF7ABE" w:rsidRPr="00B74E01" w:rsidRDefault="00CF7ABE" w:rsidP="00050807">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Destinação/tratamento de RSU — R$ 140/t</w:t>
            </w:r>
          </w:p>
        </w:tc>
        <w:tc>
          <w:tcPr>
            <w:tcW w:w="0" w:type="auto"/>
            <w:vAlign w:val="center"/>
            <w:hideMark/>
          </w:tcPr>
          <w:p w14:paraId="35DEC775" w14:textId="77777777" w:rsidR="00CF7ABE" w:rsidRPr="00B74E01" w:rsidRDefault="00CF7ABE" w:rsidP="00050807">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R$ 340.666,67</w:t>
            </w:r>
          </w:p>
        </w:tc>
        <w:tc>
          <w:tcPr>
            <w:tcW w:w="0" w:type="auto"/>
            <w:vAlign w:val="center"/>
            <w:hideMark/>
          </w:tcPr>
          <w:p w14:paraId="3E969524" w14:textId="77777777" w:rsidR="00CF7ABE" w:rsidRPr="00B74E01" w:rsidRDefault="00CF7ABE" w:rsidP="00050807">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R$ 4.088.000,00</w:t>
            </w:r>
          </w:p>
        </w:tc>
      </w:tr>
      <w:tr w:rsidR="00CF7ABE" w:rsidRPr="00B74E01" w14:paraId="46F0A4B1" w14:textId="77777777" w:rsidTr="009C2073">
        <w:trPr>
          <w:tblCellSpacing w:w="15" w:type="dxa"/>
        </w:trPr>
        <w:tc>
          <w:tcPr>
            <w:tcW w:w="0" w:type="auto"/>
            <w:vAlign w:val="center"/>
            <w:hideMark/>
          </w:tcPr>
          <w:p w14:paraId="21ED0449" w14:textId="77777777" w:rsidR="00CF7ABE" w:rsidRPr="00B74E01" w:rsidRDefault="00CF7ABE" w:rsidP="00050807">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Disponibilização de capacidade energética</w:t>
            </w:r>
          </w:p>
        </w:tc>
        <w:tc>
          <w:tcPr>
            <w:tcW w:w="0" w:type="auto"/>
            <w:vAlign w:val="center"/>
            <w:hideMark/>
          </w:tcPr>
          <w:p w14:paraId="1CCA2CD4" w14:textId="77777777" w:rsidR="00CF7ABE" w:rsidRPr="00B74E01" w:rsidRDefault="00CF7ABE" w:rsidP="00050807">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R$ 468.910,42</w:t>
            </w:r>
          </w:p>
        </w:tc>
        <w:tc>
          <w:tcPr>
            <w:tcW w:w="0" w:type="auto"/>
            <w:vAlign w:val="center"/>
            <w:hideMark/>
          </w:tcPr>
          <w:p w14:paraId="13267F5C" w14:textId="77777777" w:rsidR="00CF7ABE" w:rsidRPr="00B74E01" w:rsidRDefault="00CF7ABE" w:rsidP="00050807">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R$ 5.626.925,04</w:t>
            </w:r>
          </w:p>
        </w:tc>
      </w:tr>
      <w:tr w:rsidR="00CF7ABE" w:rsidRPr="00B74E01" w14:paraId="03123B17" w14:textId="77777777" w:rsidTr="009C2073">
        <w:trPr>
          <w:tblCellSpacing w:w="15" w:type="dxa"/>
        </w:trPr>
        <w:tc>
          <w:tcPr>
            <w:tcW w:w="0" w:type="auto"/>
            <w:vAlign w:val="center"/>
            <w:hideMark/>
          </w:tcPr>
          <w:p w14:paraId="18EB03F4" w14:textId="77777777" w:rsidR="00CF7ABE" w:rsidRPr="00B74E01" w:rsidRDefault="00CF7ABE" w:rsidP="00050807">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Receita principal bruta da PPP</w:t>
            </w:r>
          </w:p>
        </w:tc>
        <w:tc>
          <w:tcPr>
            <w:tcW w:w="0" w:type="auto"/>
            <w:vAlign w:val="center"/>
            <w:hideMark/>
          </w:tcPr>
          <w:p w14:paraId="0B035F77" w14:textId="77777777" w:rsidR="00CF7ABE" w:rsidRPr="00B74E01" w:rsidRDefault="00CF7ABE" w:rsidP="00050807">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R$ 809.577,09</w:t>
            </w:r>
          </w:p>
        </w:tc>
        <w:tc>
          <w:tcPr>
            <w:tcW w:w="0" w:type="auto"/>
            <w:vAlign w:val="center"/>
            <w:hideMark/>
          </w:tcPr>
          <w:p w14:paraId="1B721812" w14:textId="77777777" w:rsidR="00CF7ABE" w:rsidRPr="00B74E01" w:rsidRDefault="00CF7ABE" w:rsidP="00050807">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R$ 9.714.925,04</w:t>
            </w:r>
          </w:p>
        </w:tc>
      </w:tr>
    </w:tbl>
    <w:p w14:paraId="6D719EF2"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lastRenderedPageBreak/>
        <w:t>Esse cenário não substitui o cenário-base, mas serve como referência de sensibilidade, parâmetro regional e leitura de faixa econômica possível para a licitação.</w:t>
      </w:r>
    </w:p>
    <w:p w14:paraId="79F0975A" w14:textId="77777777" w:rsidR="00CF7ABE" w:rsidRPr="00B74E01" w:rsidRDefault="00CF7ABE" w:rsidP="00050807">
      <w:pPr>
        <w:pStyle w:val="Ttulo2"/>
        <w:rPr>
          <w:rFonts w:eastAsia="Times New Roman"/>
          <w:lang w:eastAsia="pt-BR"/>
        </w:rPr>
      </w:pPr>
      <w:bookmarkStart w:id="99" w:name="_Toc230204101"/>
      <w:r w:rsidRPr="00B74E01">
        <w:rPr>
          <w:rFonts w:eastAsia="Times New Roman"/>
          <w:lang w:eastAsia="pt-BR"/>
        </w:rPr>
        <w:t>9.9. Receita líquida operacional das receitas principais</w:t>
      </w:r>
      <w:bookmarkEnd w:id="99"/>
    </w:p>
    <w:p w14:paraId="1DEB4F6F"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Para fins de modelagem, incidem sobre as receitas principais: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138"/>
        <w:gridCol w:w="5923"/>
      </w:tblGrid>
      <w:tr w:rsidR="00CF7ABE" w:rsidRPr="00B74E01" w14:paraId="6AE10FF5" w14:textId="77777777" w:rsidTr="009C2073">
        <w:trPr>
          <w:tblHeader/>
          <w:tblCellSpacing w:w="15" w:type="dxa"/>
        </w:trPr>
        <w:tc>
          <w:tcPr>
            <w:tcW w:w="0" w:type="auto"/>
            <w:vAlign w:val="center"/>
            <w:hideMark/>
          </w:tcPr>
          <w:p w14:paraId="675312FD" w14:textId="77777777" w:rsidR="00CF7ABE" w:rsidRPr="00B74E01" w:rsidRDefault="00CF7ABE" w:rsidP="00050807">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Tributo</w:t>
            </w:r>
          </w:p>
        </w:tc>
        <w:tc>
          <w:tcPr>
            <w:tcW w:w="0" w:type="auto"/>
            <w:vAlign w:val="center"/>
            <w:hideMark/>
          </w:tcPr>
          <w:p w14:paraId="790C608E" w14:textId="77777777" w:rsidR="00CF7ABE" w:rsidRPr="00B74E01" w:rsidRDefault="00CF7ABE" w:rsidP="00050807">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Premissa</w:t>
            </w:r>
          </w:p>
        </w:tc>
      </w:tr>
      <w:tr w:rsidR="00CF7ABE" w:rsidRPr="00B74E01" w14:paraId="6CA47BD3" w14:textId="77777777" w:rsidTr="009C2073">
        <w:trPr>
          <w:tblCellSpacing w:w="15" w:type="dxa"/>
        </w:trPr>
        <w:tc>
          <w:tcPr>
            <w:tcW w:w="0" w:type="auto"/>
            <w:vAlign w:val="center"/>
            <w:hideMark/>
          </w:tcPr>
          <w:p w14:paraId="572E2B41" w14:textId="77777777" w:rsidR="00CF7ABE" w:rsidRPr="00B74E01" w:rsidRDefault="00CF7ABE" w:rsidP="0005080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ISS</w:t>
            </w:r>
          </w:p>
        </w:tc>
        <w:tc>
          <w:tcPr>
            <w:tcW w:w="0" w:type="auto"/>
            <w:vAlign w:val="center"/>
            <w:hideMark/>
          </w:tcPr>
          <w:p w14:paraId="213E4331" w14:textId="77777777" w:rsidR="00CF7ABE" w:rsidRPr="00B74E01" w:rsidRDefault="00CF7ABE" w:rsidP="00050807">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2%</w:t>
            </w:r>
          </w:p>
        </w:tc>
      </w:tr>
      <w:tr w:rsidR="00CF7ABE" w:rsidRPr="00B74E01" w14:paraId="1B595414" w14:textId="77777777" w:rsidTr="009C2073">
        <w:trPr>
          <w:tblCellSpacing w:w="15" w:type="dxa"/>
        </w:trPr>
        <w:tc>
          <w:tcPr>
            <w:tcW w:w="0" w:type="auto"/>
            <w:vAlign w:val="center"/>
            <w:hideMark/>
          </w:tcPr>
          <w:p w14:paraId="7D2F435C" w14:textId="77777777" w:rsidR="00CF7ABE" w:rsidRPr="00B74E01" w:rsidRDefault="00CF7ABE" w:rsidP="0005080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PIS/COFINS líquido estimado</w:t>
            </w:r>
          </w:p>
        </w:tc>
        <w:tc>
          <w:tcPr>
            <w:tcW w:w="0" w:type="auto"/>
            <w:vAlign w:val="center"/>
            <w:hideMark/>
          </w:tcPr>
          <w:p w14:paraId="19382E6A" w14:textId="77777777" w:rsidR="00CF7ABE" w:rsidRPr="00B74E01" w:rsidRDefault="00CF7ABE" w:rsidP="0005080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Conforme regime não cumulativo, com créditos estimados</w:t>
            </w:r>
          </w:p>
        </w:tc>
      </w:tr>
    </w:tbl>
    <w:p w14:paraId="4CFB4640"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No cenário-base de </w:t>
      </w:r>
      <w:r w:rsidRPr="00B74E01">
        <w:rPr>
          <w:rFonts w:eastAsia="Times New Roman" w:cs="Arial"/>
          <w:b/>
          <w:bCs/>
          <w:kern w:val="0"/>
          <w:lang w:eastAsia="pt-BR"/>
          <w14:ligatures w14:val="none"/>
        </w:rPr>
        <w:t>R$ 95/t</w:t>
      </w:r>
      <w:r w:rsidRPr="00B74E01">
        <w:rPr>
          <w:rFonts w:eastAsia="Times New Roman" w:cs="Arial"/>
          <w:kern w:val="0"/>
          <w:lang w:eastAsia="pt-BR"/>
          <w14:ligatures w14:val="none"/>
        </w:rPr>
        <w:t>, a receita líquida operacional principal é:</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270"/>
        <w:gridCol w:w="1655"/>
        <w:gridCol w:w="1870"/>
      </w:tblGrid>
      <w:tr w:rsidR="00CF7ABE" w:rsidRPr="00B74E01" w14:paraId="6F409745" w14:textId="77777777" w:rsidTr="009C2073">
        <w:trPr>
          <w:tblHeader/>
          <w:tblCellSpacing w:w="15" w:type="dxa"/>
        </w:trPr>
        <w:tc>
          <w:tcPr>
            <w:tcW w:w="0" w:type="auto"/>
            <w:vAlign w:val="center"/>
            <w:hideMark/>
          </w:tcPr>
          <w:p w14:paraId="5EC2EDEC" w14:textId="77777777" w:rsidR="00CF7ABE" w:rsidRPr="00B74E01" w:rsidRDefault="00CF7ABE" w:rsidP="00050807">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Item</w:t>
            </w:r>
          </w:p>
        </w:tc>
        <w:tc>
          <w:tcPr>
            <w:tcW w:w="0" w:type="auto"/>
            <w:vAlign w:val="center"/>
            <w:hideMark/>
          </w:tcPr>
          <w:p w14:paraId="772E6D6B" w14:textId="77777777" w:rsidR="00CF7ABE" w:rsidRPr="00B74E01" w:rsidRDefault="00CF7ABE" w:rsidP="00050807">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 mensal</w:t>
            </w:r>
          </w:p>
        </w:tc>
        <w:tc>
          <w:tcPr>
            <w:tcW w:w="0" w:type="auto"/>
            <w:vAlign w:val="center"/>
            <w:hideMark/>
          </w:tcPr>
          <w:p w14:paraId="4B289749" w14:textId="77777777" w:rsidR="00CF7ABE" w:rsidRPr="00B74E01" w:rsidRDefault="00CF7ABE" w:rsidP="00050807">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 anual</w:t>
            </w:r>
          </w:p>
        </w:tc>
      </w:tr>
      <w:tr w:rsidR="00CF7ABE" w:rsidRPr="00B74E01" w14:paraId="6E91FD37" w14:textId="77777777" w:rsidTr="009C2073">
        <w:trPr>
          <w:tblCellSpacing w:w="15" w:type="dxa"/>
        </w:trPr>
        <w:tc>
          <w:tcPr>
            <w:tcW w:w="0" w:type="auto"/>
            <w:vAlign w:val="center"/>
            <w:hideMark/>
          </w:tcPr>
          <w:p w14:paraId="1BF82469" w14:textId="77777777" w:rsidR="00CF7ABE" w:rsidRPr="00B74E01" w:rsidRDefault="00CF7ABE" w:rsidP="0005080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 principal bruta</w:t>
            </w:r>
          </w:p>
        </w:tc>
        <w:tc>
          <w:tcPr>
            <w:tcW w:w="0" w:type="auto"/>
            <w:vAlign w:val="center"/>
            <w:hideMark/>
          </w:tcPr>
          <w:p w14:paraId="19998AD1" w14:textId="77777777" w:rsidR="00CF7ABE" w:rsidRPr="00B74E01" w:rsidRDefault="00CF7ABE" w:rsidP="00050807">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R$ 700.077,09</w:t>
            </w:r>
          </w:p>
        </w:tc>
        <w:tc>
          <w:tcPr>
            <w:tcW w:w="0" w:type="auto"/>
            <w:vAlign w:val="center"/>
            <w:hideMark/>
          </w:tcPr>
          <w:p w14:paraId="326F3005" w14:textId="77777777" w:rsidR="00CF7ABE" w:rsidRPr="00B74E01" w:rsidRDefault="00CF7ABE" w:rsidP="00050807">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R$ 8.400.925,04</w:t>
            </w:r>
          </w:p>
        </w:tc>
      </w:tr>
      <w:tr w:rsidR="00CF7ABE" w:rsidRPr="00B74E01" w14:paraId="2428018C" w14:textId="77777777" w:rsidTr="009C2073">
        <w:trPr>
          <w:tblCellSpacing w:w="15" w:type="dxa"/>
        </w:trPr>
        <w:tc>
          <w:tcPr>
            <w:tcW w:w="0" w:type="auto"/>
            <w:vAlign w:val="center"/>
            <w:hideMark/>
          </w:tcPr>
          <w:p w14:paraId="71AC192B" w14:textId="77777777" w:rsidR="00CF7ABE" w:rsidRPr="00B74E01" w:rsidRDefault="00CF7ABE" w:rsidP="0005080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ISS estimado — 2%</w:t>
            </w:r>
          </w:p>
        </w:tc>
        <w:tc>
          <w:tcPr>
            <w:tcW w:w="0" w:type="auto"/>
            <w:vAlign w:val="center"/>
            <w:hideMark/>
          </w:tcPr>
          <w:p w14:paraId="724E7FED" w14:textId="77777777" w:rsidR="00CF7ABE" w:rsidRPr="00B74E01" w:rsidRDefault="00CF7ABE" w:rsidP="00050807">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-R$ 14.001,54</w:t>
            </w:r>
          </w:p>
        </w:tc>
        <w:tc>
          <w:tcPr>
            <w:tcW w:w="0" w:type="auto"/>
            <w:vAlign w:val="center"/>
            <w:hideMark/>
          </w:tcPr>
          <w:p w14:paraId="488EAA4C" w14:textId="77777777" w:rsidR="00CF7ABE" w:rsidRPr="00B74E01" w:rsidRDefault="00CF7ABE" w:rsidP="00050807">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-R$ 168.018,50</w:t>
            </w:r>
          </w:p>
        </w:tc>
      </w:tr>
      <w:tr w:rsidR="00CF7ABE" w:rsidRPr="00B74E01" w14:paraId="663AAEEA" w14:textId="77777777" w:rsidTr="009C2073">
        <w:trPr>
          <w:tblCellSpacing w:w="15" w:type="dxa"/>
        </w:trPr>
        <w:tc>
          <w:tcPr>
            <w:tcW w:w="0" w:type="auto"/>
            <w:vAlign w:val="center"/>
            <w:hideMark/>
          </w:tcPr>
          <w:p w14:paraId="2DD02CD4" w14:textId="77777777" w:rsidR="00CF7ABE" w:rsidRPr="00B74E01" w:rsidRDefault="00CF7ABE" w:rsidP="0005080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PIS/COFINS líquido estimado</w:t>
            </w:r>
          </w:p>
        </w:tc>
        <w:tc>
          <w:tcPr>
            <w:tcW w:w="0" w:type="auto"/>
            <w:vAlign w:val="center"/>
            <w:hideMark/>
          </w:tcPr>
          <w:p w14:paraId="26549A1B" w14:textId="77777777" w:rsidR="00CF7ABE" w:rsidRPr="00B74E01" w:rsidRDefault="00CF7ABE" w:rsidP="00050807">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-R$ 52.972,78</w:t>
            </w:r>
          </w:p>
        </w:tc>
        <w:tc>
          <w:tcPr>
            <w:tcW w:w="0" w:type="auto"/>
            <w:vAlign w:val="center"/>
            <w:hideMark/>
          </w:tcPr>
          <w:p w14:paraId="16A8D687" w14:textId="77777777" w:rsidR="00CF7ABE" w:rsidRPr="00B74E01" w:rsidRDefault="00CF7ABE" w:rsidP="00050807">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-R$ 635.673,37</w:t>
            </w:r>
          </w:p>
        </w:tc>
      </w:tr>
      <w:tr w:rsidR="00CF7ABE" w:rsidRPr="00B74E01" w14:paraId="50E275F5" w14:textId="77777777" w:rsidTr="009C2073">
        <w:trPr>
          <w:tblCellSpacing w:w="15" w:type="dxa"/>
        </w:trPr>
        <w:tc>
          <w:tcPr>
            <w:tcW w:w="0" w:type="auto"/>
            <w:vAlign w:val="center"/>
            <w:hideMark/>
          </w:tcPr>
          <w:p w14:paraId="745537D9" w14:textId="77777777" w:rsidR="00CF7ABE" w:rsidRPr="00B74E01" w:rsidRDefault="00CF7ABE" w:rsidP="00050807">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Receita operacional líquida principal</w:t>
            </w:r>
          </w:p>
        </w:tc>
        <w:tc>
          <w:tcPr>
            <w:tcW w:w="0" w:type="auto"/>
            <w:vAlign w:val="center"/>
            <w:hideMark/>
          </w:tcPr>
          <w:p w14:paraId="044C6ECE" w14:textId="77777777" w:rsidR="00CF7ABE" w:rsidRPr="00B74E01" w:rsidRDefault="00CF7ABE" w:rsidP="00050807">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R$ 633.102,77</w:t>
            </w:r>
          </w:p>
        </w:tc>
        <w:tc>
          <w:tcPr>
            <w:tcW w:w="0" w:type="auto"/>
            <w:vAlign w:val="center"/>
            <w:hideMark/>
          </w:tcPr>
          <w:p w14:paraId="034388C4" w14:textId="77777777" w:rsidR="00CF7ABE" w:rsidRPr="00B74E01" w:rsidRDefault="00CF7ABE" w:rsidP="00050807">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R$ 7.597.233,17</w:t>
            </w:r>
          </w:p>
        </w:tc>
      </w:tr>
    </w:tbl>
    <w:p w14:paraId="1AD41F09"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No cenário superior regional de </w:t>
      </w:r>
      <w:r w:rsidRPr="00B74E01">
        <w:rPr>
          <w:rFonts w:eastAsia="Times New Roman" w:cs="Arial"/>
          <w:b/>
          <w:bCs/>
          <w:kern w:val="0"/>
          <w:lang w:eastAsia="pt-BR"/>
          <w14:ligatures w14:val="none"/>
        </w:rPr>
        <w:t>R$ 140/t</w:t>
      </w:r>
      <w:r w:rsidRPr="00B74E01">
        <w:rPr>
          <w:rFonts w:eastAsia="Times New Roman" w:cs="Arial"/>
          <w:kern w:val="0"/>
          <w:lang w:eastAsia="pt-BR"/>
          <w14:ligatures w14:val="none"/>
        </w:rPr>
        <w:t>, a receita líquida operacional principal estimada é:</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270"/>
        <w:gridCol w:w="1655"/>
        <w:gridCol w:w="1870"/>
      </w:tblGrid>
      <w:tr w:rsidR="00CF7ABE" w:rsidRPr="00B74E01" w14:paraId="44BD073C" w14:textId="77777777" w:rsidTr="009C2073">
        <w:trPr>
          <w:tblHeader/>
          <w:tblCellSpacing w:w="15" w:type="dxa"/>
        </w:trPr>
        <w:tc>
          <w:tcPr>
            <w:tcW w:w="0" w:type="auto"/>
            <w:vAlign w:val="center"/>
            <w:hideMark/>
          </w:tcPr>
          <w:p w14:paraId="56B75D62" w14:textId="77777777" w:rsidR="00CF7ABE" w:rsidRPr="00B74E01" w:rsidRDefault="00CF7ABE" w:rsidP="00050807">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Item</w:t>
            </w:r>
          </w:p>
        </w:tc>
        <w:tc>
          <w:tcPr>
            <w:tcW w:w="0" w:type="auto"/>
            <w:vAlign w:val="center"/>
            <w:hideMark/>
          </w:tcPr>
          <w:p w14:paraId="53864C85" w14:textId="77777777" w:rsidR="00CF7ABE" w:rsidRPr="00B74E01" w:rsidRDefault="00CF7ABE" w:rsidP="00050807">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Valor mensal</w:t>
            </w:r>
          </w:p>
        </w:tc>
        <w:tc>
          <w:tcPr>
            <w:tcW w:w="0" w:type="auto"/>
            <w:vAlign w:val="center"/>
            <w:hideMark/>
          </w:tcPr>
          <w:p w14:paraId="623274F0" w14:textId="77777777" w:rsidR="00CF7ABE" w:rsidRPr="00B74E01" w:rsidRDefault="00CF7ABE" w:rsidP="00050807">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Valor anual</w:t>
            </w:r>
          </w:p>
        </w:tc>
      </w:tr>
      <w:tr w:rsidR="00CF7ABE" w:rsidRPr="00B74E01" w14:paraId="5C3A9927" w14:textId="77777777" w:rsidTr="009C2073">
        <w:trPr>
          <w:tblCellSpacing w:w="15" w:type="dxa"/>
        </w:trPr>
        <w:tc>
          <w:tcPr>
            <w:tcW w:w="0" w:type="auto"/>
            <w:vAlign w:val="center"/>
            <w:hideMark/>
          </w:tcPr>
          <w:p w14:paraId="22CB5FCA" w14:textId="77777777" w:rsidR="00CF7ABE" w:rsidRPr="00B74E01" w:rsidRDefault="00CF7ABE" w:rsidP="00050807">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Receita principal bruta</w:t>
            </w:r>
          </w:p>
        </w:tc>
        <w:tc>
          <w:tcPr>
            <w:tcW w:w="0" w:type="auto"/>
            <w:vAlign w:val="center"/>
            <w:hideMark/>
          </w:tcPr>
          <w:p w14:paraId="6F269DCC" w14:textId="77777777" w:rsidR="00CF7ABE" w:rsidRPr="00B74E01" w:rsidRDefault="00CF7ABE" w:rsidP="00050807">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R$ 809.577,09</w:t>
            </w:r>
          </w:p>
        </w:tc>
        <w:tc>
          <w:tcPr>
            <w:tcW w:w="0" w:type="auto"/>
            <w:vAlign w:val="center"/>
            <w:hideMark/>
          </w:tcPr>
          <w:p w14:paraId="37809E03" w14:textId="77777777" w:rsidR="00CF7ABE" w:rsidRPr="00B74E01" w:rsidRDefault="00CF7ABE" w:rsidP="00050807">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R$ 9.714.925,04</w:t>
            </w:r>
          </w:p>
        </w:tc>
      </w:tr>
      <w:tr w:rsidR="00CF7ABE" w:rsidRPr="00B74E01" w14:paraId="46DCBE11" w14:textId="77777777" w:rsidTr="009C2073">
        <w:trPr>
          <w:tblCellSpacing w:w="15" w:type="dxa"/>
        </w:trPr>
        <w:tc>
          <w:tcPr>
            <w:tcW w:w="0" w:type="auto"/>
            <w:vAlign w:val="center"/>
            <w:hideMark/>
          </w:tcPr>
          <w:p w14:paraId="4F12529F" w14:textId="77777777" w:rsidR="00CF7ABE" w:rsidRPr="00B74E01" w:rsidRDefault="00CF7ABE" w:rsidP="00050807">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ISS estimado — 2%</w:t>
            </w:r>
          </w:p>
        </w:tc>
        <w:tc>
          <w:tcPr>
            <w:tcW w:w="0" w:type="auto"/>
            <w:vAlign w:val="center"/>
            <w:hideMark/>
          </w:tcPr>
          <w:p w14:paraId="0CF8755B" w14:textId="77777777" w:rsidR="00CF7ABE" w:rsidRPr="00B74E01" w:rsidRDefault="00CF7ABE" w:rsidP="00050807">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-R$ 16.191,54</w:t>
            </w:r>
          </w:p>
        </w:tc>
        <w:tc>
          <w:tcPr>
            <w:tcW w:w="0" w:type="auto"/>
            <w:vAlign w:val="center"/>
            <w:hideMark/>
          </w:tcPr>
          <w:p w14:paraId="32BAE480" w14:textId="77777777" w:rsidR="00CF7ABE" w:rsidRPr="00B74E01" w:rsidRDefault="00CF7ABE" w:rsidP="00050807">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-R$ 194.298,50</w:t>
            </w:r>
          </w:p>
        </w:tc>
      </w:tr>
      <w:tr w:rsidR="00CF7ABE" w:rsidRPr="00B74E01" w14:paraId="3FD751A7" w14:textId="77777777" w:rsidTr="009C2073">
        <w:trPr>
          <w:tblCellSpacing w:w="15" w:type="dxa"/>
        </w:trPr>
        <w:tc>
          <w:tcPr>
            <w:tcW w:w="0" w:type="auto"/>
            <w:vAlign w:val="center"/>
            <w:hideMark/>
          </w:tcPr>
          <w:p w14:paraId="1D747B87" w14:textId="77777777" w:rsidR="00CF7ABE" w:rsidRPr="00B74E01" w:rsidRDefault="00CF7ABE" w:rsidP="00050807">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PIS/COFINS líquido estimado</w:t>
            </w:r>
          </w:p>
        </w:tc>
        <w:tc>
          <w:tcPr>
            <w:tcW w:w="0" w:type="auto"/>
            <w:vAlign w:val="center"/>
            <w:hideMark/>
          </w:tcPr>
          <w:p w14:paraId="18B3AC5B" w14:textId="77777777" w:rsidR="00CF7ABE" w:rsidRPr="00B74E01" w:rsidRDefault="00CF7ABE" w:rsidP="00050807">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-R$ 63.101,53</w:t>
            </w:r>
          </w:p>
        </w:tc>
        <w:tc>
          <w:tcPr>
            <w:tcW w:w="0" w:type="auto"/>
            <w:vAlign w:val="center"/>
            <w:hideMark/>
          </w:tcPr>
          <w:p w14:paraId="3FE7EF62" w14:textId="77777777" w:rsidR="00CF7ABE" w:rsidRPr="00B74E01" w:rsidRDefault="00CF7ABE" w:rsidP="00050807">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-R$ 757.218,30</w:t>
            </w:r>
          </w:p>
        </w:tc>
      </w:tr>
      <w:tr w:rsidR="00CF7ABE" w:rsidRPr="00B74E01" w14:paraId="097F18D2" w14:textId="77777777" w:rsidTr="009C2073">
        <w:trPr>
          <w:tblCellSpacing w:w="15" w:type="dxa"/>
        </w:trPr>
        <w:tc>
          <w:tcPr>
            <w:tcW w:w="0" w:type="auto"/>
            <w:vAlign w:val="center"/>
            <w:hideMark/>
          </w:tcPr>
          <w:p w14:paraId="42643F59" w14:textId="77777777" w:rsidR="00CF7ABE" w:rsidRPr="00B74E01" w:rsidRDefault="00CF7ABE" w:rsidP="00050807">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Receita operacional líquida principal</w:t>
            </w:r>
          </w:p>
        </w:tc>
        <w:tc>
          <w:tcPr>
            <w:tcW w:w="0" w:type="auto"/>
            <w:vAlign w:val="center"/>
            <w:hideMark/>
          </w:tcPr>
          <w:p w14:paraId="1ADEFE58" w14:textId="77777777" w:rsidR="00CF7ABE" w:rsidRPr="00B74E01" w:rsidRDefault="00CF7ABE" w:rsidP="00050807">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R$ 730.284,02</w:t>
            </w:r>
          </w:p>
        </w:tc>
        <w:tc>
          <w:tcPr>
            <w:tcW w:w="0" w:type="auto"/>
            <w:vAlign w:val="center"/>
            <w:hideMark/>
          </w:tcPr>
          <w:p w14:paraId="77D0349B" w14:textId="77777777" w:rsidR="00CF7ABE" w:rsidRPr="00B74E01" w:rsidRDefault="00CF7ABE" w:rsidP="00050807">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R$ 8.763.408,24</w:t>
            </w:r>
          </w:p>
        </w:tc>
      </w:tr>
    </w:tbl>
    <w:p w14:paraId="6BE7E32A"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apresentação dos dois cenários permite demonstrar como a tarifa de destinação impacta a receita líquida da SPE e a robustez da operação.</w:t>
      </w:r>
    </w:p>
    <w:p w14:paraId="1316C6CB" w14:textId="77777777" w:rsidR="00CF7ABE" w:rsidRPr="00B74E01" w:rsidRDefault="00CF7ABE" w:rsidP="00050807">
      <w:pPr>
        <w:pStyle w:val="Ttulo2"/>
        <w:rPr>
          <w:rFonts w:eastAsia="Times New Roman"/>
          <w:lang w:eastAsia="pt-BR"/>
        </w:rPr>
      </w:pPr>
      <w:bookmarkStart w:id="100" w:name="_Toc230204102"/>
      <w:r w:rsidRPr="00B74E01">
        <w:rPr>
          <w:rFonts w:eastAsia="Times New Roman"/>
          <w:lang w:eastAsia="pt-BR"/>
        </w:rPr>
        <w:lastRenderedPageBreak/>
        <w:t>9.10. Relação entre receitas principais e EBITDA</w:t>
      </w:r>
      <w:bookmarkEnd w:id="100"/>
    </w:p>
    <w:p w14:paraId="6BD50C8C"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No cenário-base, a receita operacional líquida principal é suficiente para cobrir o OPEX e gerar EBITDA positivo.</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098"/>
        <w:gridCol w:w="1735"/>
        <w:gridCol w:w="1950"/>
      </w:tblGrid>
      <w:tr w:rsidR="00CF7ABE" w:rsidRPr="00B74E01" w14:paraId="2FD4E0CE" w14:textId="77777777" w:rsidTr="009C2073">
        <w:trPr>
          <w:tblHeader/>
          <w:tblCellSpacing w:w="15" w:type="dxa"/>
        </w:trPr>
        <w:tc>
          <w:tcPr>
            <w:tcW w:w="0" w:type="auto"/>
            <w:vAlign w:val="center"/>
            <w:hideMark/>
          </w:tcPr>
          <w:p w14:paraId="674F368A" w14:textId="77777777" w:rsidR="00CF7ABE" w:rsidRPr="00B74E01" w:rsidRDefault="00CF7ABE" w:rsidP="00050807">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Item</w:t>
            </w:r>
          </w:p>
        </w:tc>
        <w:tc>
          <w:tcPr>
            <w:tcW w:w="0" w:type="auto"/>
            <w:vAlign w:val="center"/>
            <w:hideMark/>
          </w:tcPr>
          <w:p w14:paraId="64EC4AAF" w14:textId="77777777" w:rsidR="00CF7ABE" w:rsidRPr="00B74E01" w:rsidRDefault="00CF7ABE" w:rsidP="00050807">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 mensal</w:t>
            </w:r>
          </w:p>
        </w:tc>
        <w:tc>
          <w:tcPr>
            <w:tcW w:w="0" w:type="auto"/>
            <w:vAlign w:val="center"/>
            <w:hideMark/>
          </w:tcPr>
          <w:p w14:paraId="57FA13C2" w14:textId="77777777" w:rsidR="00CF7ABE" w:rsidRPr="00B74E01" w:rsidRDefault="00CF7ABE" w:rsidP="00050807">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 anual</w:t>
            </w:r>
          </w:p>
        </w:tc>
      </w:tr>
      <w:tr w:rsidR="00CF7ABE" w:rsidRPr="00B74E01" w14:paraId="21D1D940" w14:textId="77777777" w:rsidTr="009C2073">
        <w:trPr>
          <w:tblCellSpacing w:w="15" w:type="dxa"/>
        </w:trPr>
        <w:tc>
          <w:tcPr>
            <w:tcW w:w="0" w:type="auto"/>
            <w:vAlign w:val="center"/>
            <w:hideMark/>
          </w:tcPr>
          <w:p w14:paraId="14C104D2" w14:textId="77777777" w:rsidR="00CF7ABE" w:rsidRPr="00B74E01" w:rsidRDefault="00CF7ABE" w:rsidP="0005080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 operacional líquida principal — R$ 95/t</w:t>
            </w:r>
          </w:p>
        </w:tc>
        <w:tc>
          <w:tcPr>
            <w:tcW w:w="0" w:type="auto"/>
            <w:vAlign w:val="center"/>
            <w:hideMark/>
          </w:tcPr>
          <w:p w14:paraId="4BE2B8CA" w14:textId="77777777" w:rsidR="00CF7ABE" w:rsidRPr="00B74E01" w:rsidRDefault="00CF7ABE" w:rsidP="00050807">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R$ 633.102,77</w:t>
            </w:r>
          </w:p>
        </w:tc>
        <w:tc>
          <w:tcPr>
            <w:tcW w:w="0" w:type="auto"/>
            <w:vAlign w:val="center"/>
            <w:hideMark/>
          </w:tcPr>
          <w:p w14:paraId="53D808AE" w14:textId="77777777" w:rsidR="00CF7ABE" w:rsidRPr="00B74E01" w:rsidRDefault="00CF7ABE" w:rsidP="00050807">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R$ 7.597.233,17</w:t>
            </w:r>
          </w:p>
        </w:tc>
      </w:tr>
      <w:tr w:rsidR="00CF7ABE" w:rsidRPr="00B74E01" w14:paraId="7CAA95F9" w14:textId="77777777" w:rsidTr="009C2073">
        <w:trPr>
          <w:tblCellSpacing w:w="15" w:type="dxa"/>
        </w:trPr>
        <w:tc>
          <w:tcPr>
            <w:tcW w:w="0" w:type="auto"/>
            <w:vAlign w:val="center"/>
            <w:hideMark/>
          </w:tcPr>
          <w:p w14:paraId="0A881E28" w14:textId="77777777" w:rsidR="00CF7ABE" w:rsidRPr="00B74E01" w:rsidRDefault="00CF7ABE" w:rsidP="0005080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OPEX revisado</w:t>
            </w:r>
          </w:p>
        </w:tc>
        <w:tc>
          <w:tcPr>
            <w:tcW w:w="0" w:type="auto"/>
            <w:vAlign w:val="center"/>
            <w:hideMark/>
          </w:tcPr>
          <w:p w14:paraId="22F996F6" w14:textId="77777777" w:rsidR="00CF7ABE" w:rsidRPr="00B74E01" w:rsidRDefault="00CF7ABE" w:rsidP="00050807">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-R$ 318.496,07</w:t>
            </w:r>
          </w:p>
        </w:tc>
        <w:tc>
          <w:tcPr>
            <w:tcW w:w="0" w:type="auto"/>
            <w:vAlign w:val="center"/>
            <w:hideMark/>
          </w:tcPr>
          <w:p w14:paraId="5C211835" w14:textId="77777777" w:rsidR="00CF7ABE" w:rsidRPr="00B74E01" w:rsidRDefault="00CF7ABE" w:rsidP="00050807">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-R$ 3.821.952,88</w:t>
            </w:r>
          </w:p>
        </w:tc>
      </w:tr>
      <w:tr w:rsidR="00CF7ABE" w:rsidRPr="00B74E01" w14:paraId="1428D236" w14:textId="77777777" w:rsidTr="009C2073">
        <w:trPr>
          <w:tblCellSpacing w:w="15" w:type="dxa"/>
        </w:trPr>
        <w:tc>
          <w:tcPr>
            <w:tcW w:w="0" w:type="auto"/>
            <w:vAlign w:val="center"/>
            <w:hideMark/>
          </w:tcPr>
          <w:p w14:paraId="374860CD" w14:textId="77777777" w:rsidR="00CF7ABE" w:rsidRPr="00B74E01" w:rsidRDefault="00CF7ABE" w:rsidP="00050807">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EBITDA sem receitas acessórias — R$ 95/t</w:t>
            </w:r>
          </w:p>
        </w:tc>
        <w:tc>
          <w:tcPr>
            <w:tcW w:w="0" w:type="auto"/>
            <w:vAlign w:val="center"/>
            <w:hideMark/>
          </w:tcPr>
          <w:p w14:paraId="6EB66F50" w14:textId="77777777" w:rsidR="00CF7ABE" w:rsidRPr="00B74E01" w:rsidRDefault="00CF7ABE" w:rsidP="00050807">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R$ 314.606,70</w:t>
            </w:r>
          </w:p>
        </w:tc>
        <w:tc>
          <w:tcPr>
            <w:tcW w:w="0" w:type="auto"/>
            <w:vAlign w:val="center"/>
            <w:hideMark/>
          </w:tcPr>
          <w:p w14:paraId="67D93DE8" w14:textId="77777777" w:rsidR="00CF7ABE" w:rsidRPr="00B74E01" w:rsidRDefault="00CF7ABE" w:rsidP="00050807">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R$ 3.775.280,29</w:t>
            </w:r>
          </w:p>
        </w:tc>
      </w:tr>
    </w:tbl>
    <w:p w14:paraId="7D152ECA"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No cenário superior regional, o EBITDA sem receitas acessórias aumenta:</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232"/>
        <w:gridCol w:w="1735"/>
        <w:gridCol w:w="1950"/>
      </w:tblGrid>
      <w:tr w:rsidR="00CF7ABE" w:rsidRPr="00B74E01" w14:paraId="78CE28BF" w14:textId="77777777" w:rsidTr="009C2073">
        <w:trPr>
          <w:tblHeader/>
          <w:tblCellSpacing w:w="15" w:type="dxa"/>
        </w:trPr>
        <w:tc>
          <w:tcPr>
            <w:tcW w:w="0" w:type="auto"/>
            <w:vAlign w:val="center"/>
            <w:hideMark/>
          </w:tcPr>
          <w:p w14:paraId="30B0FF08" w14:textId="77777777" w:rsidR="00CF7ABE" w:rsidRPr="00B74E01" w:rsidRDefault="00CF7ABE" w:rsidP="00050807">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Item</w:t>
            </w:r>
          </w:p>
        </w:tc>
        <w:tc>
          <w:tcPr>
            <w:tcW w:w="0" w:type="auto"/>
            <w:vAlign w:val="center"/>
            <w:hideMark/>
          </w:tcPr>
          <w:p w14:paraId="1134B54B" w14:textId="77777777" w:rsidR="00CF7ABE" w:rsidRPr="00B74E01" w:rsidRDefault="00CF7ABE" w:rsidP="00050807">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Valor mensal</w:t>
            </w:r>
          </w:p>
        </w:tc>
        <w:tc>
          <w:tcPr>
            <w:tcW w:w="0" w:type="auto"/>
            <w:vAlign w:val="center"/>
            <w:hideMark/>
          </w:tcPr>
          <w:p w14:paraId="2E1BBA7D" w14:textId="77777777" w:rsidR="00CF7ABE" w:rsidRPr="00B74E01" w:rsidRDefault="00CF7ABE" w:rsidP="00050807">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Valor anual</w:t>
            </w:r>
          </w:p>
        </w:tc>
      </w:tr>
      <w:tr w:rsidR="00CF7ABE" w:rsidRPr="00B74E01" w14:paraId="1B8AC11D" w14:textId="77777777" w:rsidTr="009C2073">
        <w:trPr>
          <w:tblCellSpacing w:w="15" w:type="dxa"/>
        </w:trPr>
        <w:tc>
          <w:tcPr>
            <w:tcW w:w="0" w:type="auto"/>
            <w:vAlign w:val="center"/>
            <w:hideMark/>
          </w:tcPr>
          <w:p w14:paraId="17FE1157" w14:textId="77777777" w:rsidR="00CF7ABE" w:rsidRPr="00B74E01" w:rsidRDefault="00CF7ABE" w:rsidP="00050807">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Receita operacional líquida principal — R$ 140/t</w:t>
            </w:r>
          </w:p>
        </w:tc>
        <w:tc>
          <w:tcPr>
            <w:tcW w:w="0" w:type="auto"/>
            <w:vAlign w:val="center"/>
            <w:hideMark/>
          </w:tcPr>
          <w:p w14:paraId="08EBE417" w14:textId="77777777" w:rsidR="00CF7ABE" w:rsidRPr="00B74E01" w:rsidRDefault="00CF7ABE" w:rsidP="00050807">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R$ 730.284,02</w:t>
            </w:r>
          </w:p>
        </w:tc>
        <w:tc>
          <w:tcPr>
            <w:tcW w:w="0" w:type="auto"/>
            <w:vAlign w:val="center"/>
            <w:hideMark/>
          </w:tcPr>
          <w:p w14:paraId="5C9A03A5" w14:textId="77777777" w:rsidR="00CF7ABE" w:rsidRPr="00B74E01" w:rsidRDefault="00CF7ABE" w:rsidP="00050807">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R$ 8.763.408,24</w:t>
            </w:r>
          </w:p>
        </w:tc>
      </w:tr>
      <w:tr w:rsidR="00CF7ABE" w:rsidRPr="00B74E01" w14:paraId="1B7AE7F1" w14:textId="77777777" w:rsidTr="009C2073">
        <w:trPr>
          <w:tblCellSpacing w:w="15" w:type="dxa"/>
        </w:trPr>
        <w:tc>
          <w:tcPr>
            <w:tcW w:w="0" w:type="auto"/>
            <w:vAlign w:val="center"/>
            <w:hideMark/>
          </w:tcPr>
          <w:p w14:paraId="351F25CA" w14:textId="77777777" w:rsidR="00CF7ABE" w:rsidRPr="00B74E01" w:rsidRDefault="00CF7ABE" w:rsidP="00050807">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OPEX revisado</w:t>
            </w:r>
          </w:p>
        </w:tc>
        <w:tc>
          <w:tcPr>
            <w:tcW w:w="0" w:type="auto"/>
            <w:vAlign w:val="center"/>
            <w:hideMark/>
          </w:tcPr>
          <w:p w14:paraId="06F98F54" w14:textId="77777777" w:rsidR="00CF7ABE" w:rsidRPr="00B74E01" w:rsidRDefault="00CF7ABE" w:rsidP="00050807">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-R$ 318.496,07</w:t>
            </w:r>
          </w:p>
        </w:tc>
        <w:tc>
          <w:tcPr>
            <w:tcW w:w="0" w:type="auto"/>
            <w:vAlign w:val="center"/>
            <w:hideMark/>
          </w:tcPr>
          <w:p w14:paraId="2EFC2DEF" w14:textId="77777777" w:rsidR="00CF7ABE" w:rsidRPr="00B74E01" w:rsidRDefault="00CF7ABE" w:rsidP="00050807">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-R$ 3.821.952,88</w:t>
            </w:r>
          </w:p>
        </w:tc>
      </w:tr>
      <w:tr w:rsidR="00CF7ABE" w:rsidRPr="00B74E01" w14:paraId="34046BF6" w14:textId="77777777" w:rsidTr="009C2073">
        <w:trPr>
          <w:tblCellSpacing w:w="15" w:type="dxa"/>
        </w:trPr>
        <w:tc>
          <w:tcPr>
            <w:tcW w:w="0" w:type="auto"/>
            <w:vAlign w:val="center"/>
            <w:hideMark/>
          </w:tcPr>
          <w:p w14:paraId="5520D247" w14:textId="77777777" w:rsidR="00CF7ABE" w:rsidRPr="00B74E01" w:rsidRDefault="00CF7ABE" w:rsidP="00050807">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EBITDA sem receitas acessórias — R$ 140/t</w:t>
            </w:r>
          </w:p>
        </w:tc>
        <w:tc>
          <w:tcPr>
            <w:tcW w:w="0" w:type="auto"/>
            <w:vAlign w:val="center"/>
            <w:hideMark/>
          </w:tcPr>
          <w:p w14:paraId="672FE3CE" w14:textId="77777777" w:rsidR="00CF7ABE" w:rsidRPr="00B74E01" w:rsidRDefault="00CF7ABE" w:rsidP="00050807">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R$ 411.787,95</w:t>
            </w:r>
          </w:p>
        </w:tc>
        <w:tc>
          <w:tcPr>
            <w:tcW w:w="0" w:type="auto"/>
            <w:vAlign w:val="center"/>
            <w:hideMark/>
          </w:tcPr>
          <w:p w14:paraId="334332E6" w14:textId="77777777" w:rsidR="00CF7ABE" w:rsidRPr="00B74E01" w:rsidRDefault="00CF7ABE" w:rsidP="00050807">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R$ 4.941.455,40</w:t>
            </w:r>
          </w:p>
        </w:tc>
      </w:tr>
    </w:tbl>
    <w:p w14:paraId="28AE7E02"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Essa comparação demonstra que a tarifa de destinação tem impacto direto na margem operacional da SPE. No cenário-base, a operação fecha, mas com margem restrita. No cenário superior, a margem se torna mais confortável.</w:t>
      </w:r>
    </w:p>
    <w:p w14:paraId="238102CE" w14:textId="77777777" w:rsidR="00CF7ABE" w:rsidRPr="00B74E01" w:rsidRDefault="00CF7ABE" w:rsidP="00050807">
      <w:pPr>
        <w:pStyle w:val="Ttulo2"/>
        <w:rPr>
          <w:rFonts w:eastAsia="Times New Roman"/>
          <w:lang w:eastAsia="pt-BR"/>
        </w:rPr>
      </w:pPr>
      <w:bookmarkStart w:id="101" w:name="_Toc230204103"/>
      <w:r w:rsidRPr="00B74E01">
        <w:rPr>
          <w:rFonts w:eastAsia="Times New Roman"/>
          <w:lang w:eastAsia="pt-BR"/>
        </w:rPr>
        <w:t>9.11. Receita principal e cobertura da dívida</w:t>
      </w:r>
      <w:bookmarkEnd w:id="101"/>
    </w:p>
    <w:p w14:paraId="27556125"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 cobertura da dívida com base apenas nas receitas principais é um dos indicadores mais importantes da </w:t>
      </w:r>
      <w:proofErr w:type="spellStart"/>
      <w:r w:rsidRPr="00B74E01">
        <w:rPr>
          <w:rFonts w:eastAsia="Times New Roman" w:cs="Arial"/>
          <w:kern w:val="0"/>
          <w:lang w:eastAsia="pt-BR"/>
          <w14:ligatures w14:val="none"/>
        </w:rPr>
        <w:t>bancabilidade</w:t>
      </w:r>
      <w:proofErr w:type="spellEnd"/>
      <w:r w:rsidRPr="00B74E01">
        <w:rPr>
          <w:rFonts w:eastAsia="Times New Roman" w:cs="Arial"/>
          <w:kern w:val="0"/>
          <w:lang w:eastAsia="pt-BR"/>
          <w14:ligatures w14:val="none"/>
        </w:rPr>
        <w:t>.</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423"/>
        <w:gridCol w:w="2289"/>
        <w:gridCol w:w="3349"/>
      </w:tblGrid>
      <w:tr w:rsidR="00CF7ABE" w:rsidRPr="00B74E01" w14:paraId="7355ACBD" w14:textId="77777777" w:rsidTr="009C2073">
        <w:trPr>
          <w:tblHeader/>
          <w:tblCellSpacing w:w="15" w:type="dxa"/>
        </w:trPr>
        <w:tc>
          <w:tcPr>
            <w:tcW w:w="0" w:type="auto"/>
            <w:vAlign w:val="center"/>
            <w:hideMark/>
          </w:tcPr>
          <w:p w14:paraId="117C86C9" w14:textId="77777777" w:rsidR="00CF7ABE" w:rsidRPr="00B74E01" w:rsidRDefault="00CF7ABE" w:rsidP="00050807">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Indicador</w:t>
            </w:r>
          </w:p>
        </w:tc>
        <w:tc>
          <w:tcPr>
            <w:tcW w:w="0" w:type="auto"/>
            <w:vAlign w:val="center"/>
            <w:hideMark/>
          </w:tcPr>
          <w:p w14:paraId="714B854A" w14:textId="77777777" w:rsidR="00CF7ABE" w:rsidRPr="00B74E01" w:rsidRDefault="00CF7ABE" w:rsidP="00050807">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Cenário-base — R$ 95/t</w:t>
            </w:r>
          </w:p>
        </w:tc>
        <w:tc>
          <w:tcPr>
            <w:tcW w:w="0" w:type="auto"/>
            <w:vAlign w:val="center"/>
            <w:hideMark/>
          </w:tcPr>
          <w:p w14:paraId="79455187" w14:textId="77777777" w:rsidR="00CF7ABE" w:rsidRPr="00B74E01" w:rsidRDefault="00CF7ABE" w:rsidP="00050807">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Cenário superior regional — R$ 140/t</w:t>
            </w:r>
          </w:p>
        </w:tc>
      </w:tr>
      <w:tr w:rsidR="00CF7ABE" w:rsidRPr="00B74E01" w14:paraId="4E99375D" w14:textId="77777777" w:rsidTr="009C2073">
        <w:trPr>
          <w:tblCellSpacing w:w="15" w:type="dxa"/>
        </w:trPr>
        <w:tc>
          <w:tcPr>
            <w:tcW w:w="0" w:type="auto"/>
            <w:vAlign w:val="center"/>
            <w:hideMark/>
          </w:tcPr>
          <w:p w14:paraId="38D0C2E0" w14:textId="77777777" w:rsidR="00CF7ABE" w:rsidRPr="00B74E01" w:rsidRDefault="00CF7ABE" w:rsidP="0005080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EBITDA mensal sem receitas acessórias</w:t>
            </w:r>
          </w:p>
        </w:tc>
        <w:tc>
          <w:tcPr>
            <w:tcW w:w="0" w:type="auto"/>
            <w:vAlign w:val="center"/>
            <w:hideMark/>
          </w:tcPr>
          <w:p w14:paraId="3BD0DABA" w14:textId="77777777" w:rsidR="00CF7ABE" w:rsidRPr="00B74E01" w:rsidRDefault="00CF7ABE" w:rsidP="00050807">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R$ 314.606,70</w:t>
            </w:r>
          </w:p>
        </w:tc>
        <w:tc>
          <w:tcPr>
            <w:tcW w:w="0" w:type="auto"/>
            <w:vAlign w:val="center"/>
            <w:hideMark/>
          </w:tcPr>
          <w:p w14:paraId="5663D2C2" w14:textId="77777777" w:rsidR="00CF7ABE" w:rsidRPr="00B74E01" w:rsidRDefault="00CF7ABE" w:rsidP="00050807">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R$ 411.787,95</w:t>
            </w:r>
          </w:p>
        </w:tc>
      </w:tr>
      <w:tr w:rsidR="00CF7ABE" w:rsidRPr="00B74E01" w14:paraId="57B004FE" w14:textId="77777777" w:rsidTr="009C2073">
        <w:trPr>
          <w:tblCellSpacing w:w="15" w:type="dxa"/>
        </w:trPr>
        <w:tc>
          <w:tcPr>
            <w:tcW w:w="0" w:type="auto"/>
            <w:vAlign w:val="center"/>
            <w:hideMark/>
          </w:tcPr>
          <w:p w14:paraId="66EDD149" w14:textId="77777777" w:rsidR="00CF7ABE" w:rsidRPr="00B74E01" w:rsidRDefault="00CF7ABE" w:rsidP="0005080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Serviço mensal da dívida após carência</w:t>
            </w:r>
          </w:p>
        </w:tc>
        <w:tc>
          <w:tcPr>
            <w:tcW w:w="0" w:type="auto"/>
            <w:vAlign w:val="center"/>
            <w:hideMark/>
          </w:tcPr>
          <w:p w14:paraId="4C82C9F1" w14:textId="77777777" w:rsidR="00CF7ABE" w:rsidRPr="00B74E01" w:rsidRDefault="00CF7ABE" w:rsidP="00050807">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R$ 280.892,95</w:t>
            </w:r>
          </w:p>
        </w:tc>
        <w:tc>
          <w:tcPr>
            <w:tcW w:w="0" w:type="auto"/>
            <w:vAlign w:val="center"/>
            <w:hideMark/>
          </w:tcPr>
          <w:p w14:paraId="5089F605" w14:textId="77777777" w:rsidR="00CF7ABE" w:rsidRPr="00B74E01" w:rsidRDefault="00CF7ABE" w:rsidP="00050807">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R$ 280.892,95</w:t>
            </w:r>
          </w:p>
        </w:tc>
      </w:tr>
      <w:tr w:rsidR="00CF7ABE" w:rsidRPr="00B74E01" w14:paraId="2877D689" w14:textId="77777777" w:rsidTr="009C2073">
        <w:trPr>
          <w:tblCellSpacing w:w="15" w:type="dxa"/>
        </w:trPr>
        <w:tc>
          <w:tcPr>
            <w:tcW w:w="0" w:type="auto"/>
            <w:vAlign w:val="center"/>
            <w:hideMark/>
          </w:tcPr>
          <w:p w14:paraId="16BC62B0" w14:textId="77777777" w:rsidR="00CF7ABE" w:rsidRPr="00B74E01" w:rsidRDefault="00CF7ABE" w:rsidP="0005080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Sobra mensal após dívida</w:t>
            </w:r>
          </w:p>
        </w:tc>
        <w:tc>
          <w:tcPr>
            <w:tcW w:w="0" w:type="auto"/>
            <w:vAlign w:val="center"/>
            <w:hideMark/>
          </w:tcPr>
          <w:p w14:paraId="5422A851" w14:textId="77777777" w:rsidR="00CF7ABE" w:rsidRPr="00B74E01" w:rsidRDefault="00CF7ABE" w:rsidP="00050807">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R$ 33.713,75</w:t>
            </w:r>
          </w:p>
        </w:tc>
        <w:tc>
          <w:tcPr>
            <w:tcW w:w="0" w:type="auto"/>
            <w:vAlign w:val="center"/>
            <w:hideMark/>
          </w:tcPr>
          <w:p w14:paraId="50A015F9" w14:textId="77777777" w:rsidR="00CF7ABE" w:rsidRPr="00B74E01" w:rsidRDefault="00CF7ABE" w:rsidP="00050807">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R$ 130.895,00</w:t>
            </w:r>
          </w:p>
        </w:tc>
      </w:tr>
      <w:tr w:rsidR="00CF7ABE" w:rsidRPr="00B74E01" w14:paraId="6EAB0D17" w14:textId="77777777" w:rsidTr="009C2073">
        <w:trPr>
          <w:tblCellSpacing w:w="15" w:type="dxa"/>
        </w:trPr>
        <w:tc>
          <w:tcPr>
            <w:tcW w:w="0" w:type="auto"/>
            <w:vAlign w:val="center"/>
            <w:hideMark/>
          </w:tcPr>
          <w:p w14:paraId="186E20E3" w14:textId="77777777" w:rsidR="00CF7ABE" w:rsidRPr="00B74E01" w:rsidRDefault="00CF7ABE" w:rsidP="0005080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lastRenderedPageBreak/>
              <w:t>DSCR após carência</w:t>
            </w:r>
          </w:p>
        </w:tc>
        <w:tc>
          <w:tcPr>
            <w:tcW w:w="0" w:type="auto"/>
            <w:vAlign w:val="center"/>
            <w:hideMark/>
          </w:tcPr>
          <w:p w14:paraId="53F05325" w14:textId="77777777" w:rsidR="00CF7ABE" w:rsidRPr="00B74E01" w:rsidRDefault="00CF7ABE" w:rsidP="00050807">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1,12x</w:t>
            </w:r>
          </w:p>
        </w:tc>
        <w:tc>
          <w:tcPr>
            <w:tcW w:w="0" w:type="auto"/>
            <w:vAlign w:val="center"/>
            <w:hideMark/>
          </w:tcPr>
          <w:p w14:paraId="45B29280" w14:textId="77777777" w:rsidR="00CF7ABE" w:rsidRPr="00B74E01" w:rsidRDefault="00CF7ABE" w:rsidP="00050807">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1,47x</w:t>
            </w:r>
          </w:p>
        </w:tc>
      </w:tr>
    </w:tbl>
    <w:p w14:paraId="33222E55"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 leitura é clara: a operação é positiva nos dois cenários, mas o cenário de </w:t>
      </w:r>
      <w:r w:rsidRPr="00B74E01">
        <w:rPr>
          <w:rFonts w:eastAsia="Times New Roman" w:cs="Arial"/>
          <w:b/>
          <w:bCs/>
          <w:kern w:val="0"/>
          <w:lang w:eastAsia="pt-BR"/>
          <w14:ligatures w14:val="none"/>
        </w:rPr>
        <w:t>R$ 95/t</w:t>
      </w:r>
      <w:r w:rsidRPr="00B74E01">
        <w:rPr>
          <w:rFonts w:eastAsia="Times New Roman" w:cs="Arial"/>
          <w:kern w:val="0"/>
          <w:lang w:eastAsia="pt-BR"/>
          <w14:ligatures w14:val="none"/>
        </w:rPr>
        <w:t xml:space="preserve"> exige maior proteção contratual das receitas principais, por apresentar margem mais estreita.</w:t>
      </w:r>
    </w:p>
    <w:p w14:paraId="415839D6"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No cenário de </w:t>
      </w:r>
      <w:r w:rsidRPr="00B74E01">
        <w:rPr>
          <w:rFonts w:eastAsia="Times New Roman" w:cs="Arial"/>
          <w:b/>
          <w:bCs/>
          <w:kern w:val="0"/>
          <w:lang w:eastAsia="pt-BR"/>
          <w14:ligatures w14:val="none"/>
        </w:rPr>
        <w:t>R$ 140/t</w:t>
      </w:r>
      <w:r w:rsidRPr="00B74E01">
        <w:rPr>
          <w:rFonts w:eastAsia="Times New Roman" w:cs="Arial"/>
          <w:kern w:val="0"/>
          <w:lang w:eastAsia="pt-BR"/>
          <w14:ligatures w14:val="none"/>
        </w:rPr>
        <w:t>, a cobertura da dívida fica mais confortável, aproximando-se de patamar mais robusto para financiadores. Entretanto, esse patamar superior deve ser tratado como referência de sensibilidade, e não como premissa única da modelagem.</w:t>
      </w:r>
    </w:p>
    <w:p w14:paraId="1CC464E6" w14:textId="77777777" w:rsidR="00CF7ABE" w:rsidRPr="00B74E01" w:rsidRDefault="00CF7ABE" w:rsidP="00D77146">
      <w:pPr>
        <w:pStyle w:val="Ttulo2"/>
        <w:rPr>
          <w:rFonts w:eastAsia="Times New Roman"/>
          <w:lang w:eastAsia="pt-BR"/>
        </w:rPr>
      </w:pPr>
      <w:bookmarkStart w:id="102" w:name="_Toc230204104"/>
      <w:r w:rsidRPr="00B74E01">
        <w:rPr>
          <w:rFonts w:eastAsia="Times New Roman"/>
          <w:lang w:eastAsia="pt-BR"/>
        </w:rPr>
        <w:t>9.12. Receita principal e garantia de pagamento</w:t>
      </w:r>
      <w:bookmarkEnd w:id="102"/>
    </w:p>
    <w:p w14:paraId="355F882C"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As receitas principais deverão ser protegidas por mecanismo de garantia de pagamento. No cenário-base, o valor mensal </w:t>
      </w:r>
      <w:proofErr w:type="spellStart"/>
      <w:r w:rsidRPr="00B74E01">
        <w:rPr>
          <w:rFonts w:eastAsia="Times New Roman" w:cs="Arial"/>
          <w:kern w:val="0"/>
          <w:lang w:eastAsia="pt-BR"/>
          <w14:ligatures w14:val="none"/>
        </w:rPr>
        <w:t>garantível</w:t>
      </w:r>
      <w:proofErr w:type="spellEnd"/>
      <w:r w:rsidRPr="00B74E01">
        <w:rPr>
          <w:rFonts w:eastAsia="Times New Roman" w:cs="Arial"/>
          <w:kern w:val="0"/>
          <w:lang w:eastAsia="pt-BR"/>
          <w14:ligatures w14:val="none"/>
        </w:rPr>
        <w:t xml:space="preserve"> é de </w:t>
      </w:r>
      <w:r w:rsidRPr="00B74E01">
        <w:rPr>
          <w:rFonts w:eastAsia="Times New Roman" w:cs="Arial"/>
          <w:b/>
          <w:bCs/>
          <w:kern w:val="0"/>
          <w:lang w:eastAsia="pt-BR"/>
          <w14:ligatures w14:val="none"/>
        </w:rPr>
        <w:t>R$ 700.077,09</w:t>
      </w:r>
      <w:r w:rsidRPr="00B74E01">
        <w:rPr>
          <w:rFonts w:eastAsia="Times New Roman" w:cs="Arial"/>
          <w:kern w:val="0"/>
          <w:lang w:eastAsia="pt-BR"/>
          <w14:ligatures w14:val="none"/>
        </w:rPr>
        <w:t>.</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550"/>
        <w:gridCol w:w="1895"/>
        <w:gridCol w:w="2777"/>
      </w:tblGrid>
      <w:tr w:rsidR="00CF7ABE" w:rsidRPr="00B74E01" w14:paraId="6D0DDF3E" w14:textId="77777777" w:rsidTr="009C2073">
        <w:trPr>
          <w:tblHeader/>
          <w:tblCellSpacing w:w="15" w:type="dxa"/>
        </w:trPr>
        <w:tc>
          <w:tcPr>
            <w:tcW w:w="0" w:type="auto"/>
            <w:vAlign w:val="center"/>
            <w:hideMark/>
          </w:tcPr>
          <w:p w14:paraId="2CF7D7CD" w14:textId="77777777" w:rsidR="00CF7ABE" w:rsidRPr="00B74E01" w:rsidRDefault="00CF7ABE" w:rsidP="00D77146">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Nível de garantia</w:t>
            </w:r>
          </w:p>
        </w:tc>
        <w:tc>
          <w:tcPr>
            <w:tcW w:w="0" w:type="auto"/>
            <w:vAlign w:val="center"/>
            <w:hideMark/>
          </w:tcPr>
          <w:p w14:paraId="3B1EA8D1" w14:textId="77777777" w:rsidR="00CF7ABE" w:rsidRPr="00B74E01" w:rsidRDefault="00CF7ABE" w:rsidP="00D77146">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Meses cobertos</w:t>
            </w:r>
          </w:p>
        </w:tc>
        <w:tc>
          <w:tcPr>
            <w:tcW w:w="0" w:type="auto"/>
            <w:vAlign w:val="center"/>
            <w:hideMark/>
          </w:tcPr>
          <w:p w14:paraId="223F2F7F" w14:textId="77777777" w:rsidR="00CF7ABE" w:rsidRPr="00B74E01" w:rsidRDefault="00CF7ABE" w:rsidP="00D77146">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Valor — cenário R$ 95/t</w:t>
            </w:r>
          </w:p>
        </w:tc>
      </w:tr>
      <w:tr w:rsidR="00CF7ABE" w:rsidRPr="00B74E01" w14:paraId="5055EBCB" w14:textId="77777777" w:rsidTr="009C2073">
        <w:trPr>
          <w:tblCellSpacing w:w="15" w:type="dxa"/>
        </w:trPr>
        <w:tc>
          <w:tcPr>
            <w:tcW w:w="0" w:type="auto"/>
            <w:vAlign w:val="center"/>
            <w:hideMark/>
          </w:tcPr>
          <w:p w14:paraId="483A51FF" w14:textId="77777777" w:rsidR="00CF7ABE" w:rsidRPr="00B74E01" w:rsidRDefault="00CF7ABE" w:rsidP="00D77146">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Garantia mínima</w:t>
            </w:r>
          </w:p>
        </w:tc>
        <w:tc>
          <w:tcPr>
            <w:tcW w:w="0" w:type="auto"/>
            <w:vAlign w:val="center"/>
            <w:hideMark/>
          </w:tcPr>
          <w:p w14:paraId="006882E0" w14:textId="77777777" w:rsidR="00CF7ABE" w:rsidRPr="00B74E01" w:rsidRDefault="00CF7ABE" w:rsidP="00D77146">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3 meses</w:t>
            </w:r>
          </w:p>
        </w:tc>
        <w:tc>
          <w:tcPr>
            <w:tcW w:w="0" w:type="auto"/>
            <w:vAlign w:val="center"/>
            <w:hideMark/>
          </w:tcPr>
          <w:p w14:paraId="447179AE" w14:textId="77777777" w:rsidR="00CF7ABE" w:rsidRPr="00B74E01" w:rsidRDefault="00CF7ABE" w:rsidP="00D77146">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R$ 2.100.231,27</w:t>
            </w:r>
          </w:p>
        </w:tc>
      </w:tr>
      <w:tr w:rsidR="00CF7ABE" w:rsidRPr="00B74E01" w14:paraId="1B6E9B37" w14:textId="77777777" w:rsidTr="009C2073">
        <w:trPr>
          <w:tblCellSpacing w:w="15" w:type="dxa"/>
        </w:trPr>
        <w:tc>
          <w:tcPr>
            <w:tcW w:w="0" w:type="auto"/>
            <w:vAlign w:val="center"/>
            <w:hideMark/>
          </w:tcPr>
          <w:p w14:paraId="0B439BF9" w14:textId="77777777" w:rsidR="00CF7ABE" w:rsidRPr="00B74E01" w:rsidRDefault="00CF7ABE" w:rsidP="00D77146">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Garantia recomendada</w:t>
            </w:r>
          </w:p>
        </w:tc>
        <w:tc>
          <w:tcPr>
            <w:tcW w:w="0" w:type="auto"/>
            <w:vAlign w:val="center"/>
            <w:hideMark/>
          </w:tcPr>
          <w:p w14:paraId="3BC34F09" w14:textId="77777777" w:rsidR="00CF7ABE" w:rsidRPr="00B74E01" w:rsidRDefault="00CF7ABE" w:rsidP="00D77146">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6 meses</w:t>
            </w:r>
          </w:p>
        </w:tc>
        <w:tc>
          <w:tcPr>
            <w:tcW w:w="0" w:type="auto"/>
            <w:vAlign w:val="center"/>
            <w:hideMark/>
          </w:tcPr>
          <w:p w14:paraId="4EBBF338" w14:textId="77777777" w:rsidR="00CF7ABE" w:rsidRPr="00B74E01" w:rsidRDefault="00CF7ABE" w:rsidP="00D77146">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R$ 4.200.462,54</w:t>
            </w:r>
          </w:p>
        </w:tc>
      </w:tr>
      <w:tr w:rsidR="00CF7ABE" w:rsidRPr="00B74E01" w14:paraId="3F3F296D" w14:textId="77777777" w:rsidTr="009C2073">
        <w:trPr>
          <w:tblCellSpacing w:w="15" w:type="dxa"/>
        </w:trPr>
        <w:tc>
          <w:tcPr>
            <w:tcW w:w="0" w:type="auto"/>
            <w:vAlign w:val="center"/>
            <w:hideMark/>
          </w:tcPr>
          <w:p w14:paraId="7D4547B9" w14:textId="77777777" w:rsidR="00CF7ABE" w:rsidRPr="00B74E01" w:rsidRDefault="00CF7ABE" w:rsidP="00D77146">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Garantia robusta</w:t>
            </w:r>
          </w:p>
        </w:tc>
        <w:tc>
          <w:tcPr>
            <w:tcW w:w="0" w:type="auto"/>
            <w:vAlign w:val="center"/>
            <w:hideMark/>
          </w:tcPr>
          <w:p w14:paraId="65DD6DA1" w14:textId="77777777" w:rsidR="00CF7ABE" w:rsidRPr="00B74E01" w:rsidRDefault="00CF7ABE" w:rsidP="00D77146">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12 meses</w:t>
            </w:r>
          </w:p>
        </w:tc>
        <w:tc>
          <w:tcPr>
            <w:tcW w:w="0" w:type="auto"/>
            <w:vAlign w:val="center"/>
            <w:hideMark/>
          </w:tcPr>
          <w:p w14:paraId="7AC3A934" w14:textId="77777777" w:rsidR="00CF7ABE" w:rsidRPr="00B74E01" w:rsidRDefault="00CF7ABE" w:rsidP="00D77146">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R$ 8.400.925,08</w:t>
            </w:r>
          </w:p>
        </w:tc>
      </w:tr>
    </w:tbl>
    <w:p w14:paraId="7525060C"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Caso a licitação adote tarifa próxima ao cenário superior regional de </w:t>
      </w:r>
      <w:r w:rsidRPr="00B74E01">
        <w:rPr>
          <w:rFonts w:eastAsia="Times New Roman" w:cs="Arial"/>
          <w:b/>
          <w:bCs/>
          <w:kern w:val="0"/>
          <w:lang w:eastAsia="pt-BR"/>
          <w14:ligatures w14:val="none"/>
        </w:rPr>
        <w:t>R$ 140/t</w:t>
      </w:r>
      <w:r w:rsidRPr="00B74E01">
        <w:rPr>
          <w:rFonts w:eastAsia="Times New Roman" w:cs="Arial"/>
          <w:kern w:val="0"/>
          <w:lang w:eastAsia="pt-BR"/>
          <w14:ligatures w14:val="none"/>
        </w:rPr>
        <w:t xml:space="preserve">, a base </w:t>
      </w:r>
      <w:proofErr w:type="spellStart"/>
      <w:r w:rsidRPr="00B74E01">
        <w:rPr>
          <w:rFonts w:eastAsia="Times New Roman" w:cs="Arial"/>
          <w:kern w:val="0"/>
          <w:lang w:eastAsia="pt-BR"/>
          <w14:ligatures w14:val="none"/>
        </w:rPr>
        <w:t>garantível</w:t>
      </w:r>
      <w:proofErr w:type="spellEnd"/>
      <w:r w:rsidRPr="00B74E01">
        <w:rPr>
          <w:rFonts w:eastAsia="Times New Roman" w:cs="Arial"/>
          <w:kern w:val="0"/>
          <w:lang w:eastAsia="pt-BR"/>
          <w14:ligatures w14:val="none"/>
        </w:rPr>
        <w:t xml:space="preserve"> deverá ser recalculada:</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550"/>
        <w:gridCol w:w="1895"/>
        <w:gridCol w:w="2910"/>
      </w:tblGrid>
      <w:tr w:rsidR="00CF7ABE" w:rsidRPr="00B74E01" w14:paraId="58BE5B38" w14:textId="77777777" w:rsidTr="009C2073">
        <w:trPr>
          <w:tblHeader/>
          <w:tblCellSpacing w:w="15" w:type="dxa"/>
        </w:trPr>
        <w:tc>
          <w:tcPr>
            <w:tcW w:w="0" w:type="auto"/>
            <w:vAlign w:val="center"/>
            <w:hideMark/>
          </w:tcPr>
          <w:p w14:paraId="2865F731" w14:textId="77777777" w:rsidR="00CF7ABE" w:rsidRPr="00B74E01" w:rsidRDefault="00CF7ABE" w:rsidP="00D77146">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Nível de garantia</w:t>
            </w:r>
          </w:p>
        </w:tc>
        <w:tc>
          <w:tcPr>
            <w:tcW w:w="0" w:type="auto"/>
            <w:vAlign w:val="center"/>
            <w:hideMark/>
          </w:tcPr>
          <w:p w14:paraId="6AC8DDF4" w14:textId="77777777" w:rsidR="00CF7ABE" w:rsidRPr="00B74E01" w:rsidRDefault="00CF7ABE" w:rsidP="00D77146">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Meses cobertos</w:t>
            </w:r>
          </w:p>
        </w:tc>
        <w:tc>
          <w:tcPr>
            <w:tcW w:w="0" w:type="auto"/>
            <w:vAlign w:val="center"/>
            <w:hideMark/>
          </w:tcPr>
          <w:p w14:paraId="36F7BA99" w14:textId="77777777" w:rsidR="00CF7ABE" w:rsidRPr="00B74E01" w:rsidRDefault="00CF7ABE" w:rsidP="00D77146">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Valor — cenário R$ 140/t</w:t>
            </w:r>
          </w:p>
        </w:tc>
      </w:tr>
      <w:tr w:rsidR="00CF7ABE" w:rsidRPr="00B74E01" w14:paraId="4C49F4BA" w14:textId="77777777" w:rsidTr="009C2073">
        <w:trPr>
          <w:tblCellSpacing w:w="15" w:type="dxa"/>
        </w:trPr>
        <w:tc>
          <w:tcPr>
            <w:tcW w:w="0" w:type="auto"/>
            <w:vAlign w:val="center"/>
            <w:hideMark/>
          </w:tcPr>
          <w:p w14:paraId="19BE52CE" w14:textId="77777777" w:rsidR="00CF7ABE" w:rsidRPr="00B74E01" w:rsidRDefault="00CF7ABE" w:rsidP="00D77146">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Garantia mínima</w:t>
            </w:r>
          </w:p>
        </w:tc>
        <w:tc>
          <w:tcPr>
            <w:tcW w:w="0" w:type="auto"/>
            <w:vAlign w:val="center"/>
            <w:hideMark/>
          </w:tcPr>
          <w:p w14:paraId="357B6C0C" w14:textId="77777777" w:rsidR="00CF7ABE" w:rsidRPr="00B74E01" w:rsidRDefault="00CF7ABE" w:rsidP="00D77146">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3 meses</w:t>
            </w:r>
          </w:p>
        </w:tc>
        <w:tc>
          <w:tcPr>
            <w:tcW w:w="0" w:type="auto"/>
            <w:vAlign w:val="center"/>
            <w:hideMark/>
          </w:tcPr>
          <w:p w14:paraId="5AECDF93" w14:textId="77777777" w:rsidR="00CF7ABE" w:rsidRPr="00B74E01" w:rsidRDefault="00CF7ABE" w:rsidP="00D77146">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R$ 2.428.731,27</w:t>
            </w:r>
          </w:p>
        </w:tc>
      </w:tr>
      <w:tr w:rsidR="00CF7ABE" w:rsidRPr="00B74E01" w14:paraId="4C75AC7E" w14:textId="77777777" w:rsidTr="009C2073">
        <w:trPr>
          <w:tblCellSpacing w:w="15" w:type="dxa"/>
        </w:trPr>
        <w:tc>
          <w:tcPr>
            <w:tcW w:w="0" w:type="auto"/>
            <w:vAlign w:val="center"/>
            <w:hideMark/>
          </w:tcPr>
          <w:p w14:paraId="4C3E53BE" w14:textId="77777777" w:rsidR="00CF7ABE" w:rsidRPr="00B74E01" w:rsidRDefault="00CF7ABE" w:rsidP="00D77146">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Garantia recomendada</w:t>
            </w:r>
          </w:p>
        </w:tc>
        <w:tc>
          <w:tcPr>
            <w:tcW w:w="0" w:type="auto"/>
            <w:vAlign w:val="center"/>
            <w:hideMark/>
          </w:tcPr>
          <w:p w14:paraId="0E1F8781" w14:textId="77777777" w:rsidR="00CF7ABE" w:rsidRPr="00B74E01" w:rsidRDefault="00CF7ABE" w:rsidP="00D77146">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6 meses</w:t>
            </w:r>
          </w:p>
        </w:tc>
        <w:tc>
          <w:tcPr>
            <w:tcW w:w="0" w:type="auto"/>
            <w:vAlign w:val="center"/>
            <w:hideMark/>
          </w:tcPr>
          <w:p w14:paraId="6A9E0D6B" w14:textId="77777777" w:rsidR="00CF7ABE" w:rsidRPr="00B74E01" w:rsidRDefault="00CF7ABE" w:rsidP="00D77146">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R$ 4.857.462,54</w:t>
            </w:r>
          </w:p>
        </w:tc>
      </w:tr>
      <w:tr w:rsidR="00CF7ABE" w:rsidRPr="00B74E01" w14:paraId="0C7B1AF1" w14:textId="77777777" w:rsidTr="009C2073">
        <w:trPr>
          <w:tblCellSpacing w:w="15" w:type="dxa"/>
        </w:trPr>
        <w:tc>
          <w:tcPr>
            <w:tcW w:w="0" w:type="auto"/>
            <w:vAlign w:val="center"/>
            <w:hideMark/>
          </w:tcPr>
          <w:p w14:paraId="596749D2" w14:textId="77777777" w:rsidR="00CF7ABE" w:rsidRPr="00B74E01" w:rsidRDefault="00CF7ABE" w:rsidP="00D77146">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Garantia robusta</w:t>
            </w:r>
          </w:p>
        </w:tc>
        <w:tc>
          <w:tcPr>
            <w:tcW w:w="0" w:type="auto"/>
            <w:vAlign w:val="center"/>
            <w:hideMark/>
          </w:tcPr>
          <w:p w14:paraId="6A87D447" w14:textId="77777777" w:rsidR="00CF7ABE" w:rsidRPr="00B74E01" w:rsidRDefault="00CF7ABE" w:rsidP="00D77146">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12 meses</w:t>
            </w:r>
          </w:p>
        </w:tc>
        <w:tc>
          <w:tcPr>
            <w:tcW w:w="0" w:type="auto"/>
            <w:vAlign w:val="center"/>
            <w:hideMark/>
          </w:tcPr>
          <w:p w14:paraId="77E7A392" w14:textId="77777777" w:rsidR="00CF7ABE" w:rsidRPr="00B74E01" w:rsidRDefault="00CF7ABE" w:rsidP="00D77146">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R$ 9.714.925,08</w:t>
            </w:r>
          </w:p>
        </w:tc>
      </w:tr>
    </w:tbl>
    <w:p w14:paraId="69C54F9D"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 garantia recomendada de </w:t>
      </w:r>
      <w:r w:rsidRPr="00B74E01">
        <w:rPr>
          <w:rFonts w:eastAsia="Times New Roman" w:cs="Arial"/>
          <w:b/>
          <w:bCs/>
          <w:kern w:val="0"/>
          <w:lang w:eastAsia="pt-BR"/>
          <w14:ligatures w14:val="none"/>
        </w:rPr>
        <w:t>6 meses</w:t>
      </w:r>
      <w:r w:rsidRPr="00B74E01">
        <w:rPr>
          <w:rFonts w:eastAsia="Times New Roman" w:cs="Arial"/>
          <w:kern w:val="0"/>
          <w:lang w:eastAsia="pt-BR"/>
          <w14:ligatures w14:val="none"/>
        </w:rPr>
        <w:t xml:space="preserve"> busca equilibrar segurança para a SPE e financiadores com responsabilidade fiscal do Município.</w:t>
      </w:r>
    </w:p>
    <w:p w14:paraId="07A0D601" w14:textId="117318AE" w:rsidR="00CF7ABE" w:rsidRPr="00B74E01" w:rsidRDefault="00CF7ABE" w:rsidP="00D77146">
      <w:pPr>
        <w:pStyle w:val="Ttulo2"/>
        <w:rPr>
          <w:rFonts w:eastAsia="Times New Roman"/>
          <w:lang w:eastAsia="pt-BR"/>
        </w:rPr>
      </w:pPr>
      <w:bookmarkStart w:id="103" w:name="_Toc230204105"/>
      <w:r w:rsidRPr="00B74E01">
        <w:rPr>
          <w:rFonts w:eastAsia="Times New Roman"/>
          <w:lang w:eastAsia="pt-BR"/>
        </w:rPr>
        <w:lastRenderedPageBreak/>
        <w:t>9.13. Tratamento contratual das receitas principais</w:t>
      </w:r>
      <w:bookmarkEnd w:id="103"/>
    </w:p>
    <w:p w14:paraId="403EA4CD"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O edital e o contrato deverão prever, de forma objetiva, os critérios de apuração, faturamento, pagamento e eventual glosa das receitas principais.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855"/>
        <w:gridCol w:w="6206"/>
      </w:tblGrid>
      <w:tr w:rsidR="00CF7ABE" w:rsidRPr="00B74E01" w14:paraId="72CD5DE0" w14:textId="77777777" w:rsidTr="009C2073">
        <w:trPr>
          <w:tblHeader/>
          <w:tblCellSpacing w:w="15" w:type="dxa"/>
        </w:trPr>
        <w:tc>
          <w:tcPr>
            <w:tcW w:w="0" w:type="auto"/>
            <w:vAlign w:val="center"/>
            <w:hideMark/>
          </w:tcPr>
          <w:p w14:paraId="3E452E68" w14:textId="77777777" w:rsidR="00CF7ABE" w:rsidRPr="00B74E01" w:rsidRDefault="00CF7ABE" w:rsidP="00D77146">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Elemento contratual</w:t>
            </w:r>
          </w:p>
        </w:tc>
        <w:tc>
          <w:tcPr>
            <w:tcW w:w="0" w:type="auto"/>
            <w:vAlign w:val="center"/>
            <w:hideMark/>
          </w:tcPr>
          <w:p w14:paraId="7F120EC3" w14:textId="77777777" w:rsidR="00CF7ABE" w:rsidRPr="00B74E01" w:rsidRDefault="00CF7ABE" w:rsidP="00D77146">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Diretriz</w:t>
            </w:r>
          </w:p>
        </w:tc>
      </w:tr>
      <w:tr w:rsidR="00CF7ABE" w:rsidRPr="00B74E01" w14:paraId="1F50B0BA" w14:textId="77777777" w:rsidTr="009C2073">
        <w:trPr>
          <w:tblCellSpacing w:w="15" w:type="dxa"/>
        </w:trPr>
        <w:tc>
          <w:tcPr>
            <w:tcW w:w="0" w:type="auto"/>
            <w:vAlign w:val="center"/>
            <w:hideMark/>
          </w:tcPr>
          <w:p w14:paraId="4B975123" w14:textId="77777777" w:rsidR="00CF7ABE" w:rsidRPr="00B74E01" w:rsidRDefault="00CF7ABE" w:rsidP="00D771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Periodicidade de faturamento</w:t>
            </w:r>
          </w:p>
        </w:tc>
        <w:tc>
          <w:tcPr>
            <w:tcW w:w="0" w:type="auto"/>
            <w:vAlign w:val="center"/>
            <w:hideMark/>
          </w:tcPr>
          <w:p w14:paraId="071081D0" w14:textId="77777777" w:rsidR="00CF7ABE" w:rsidRPr="00B74E01" w:rsidRDefault="00CF7ABE" w:rsidP="00D771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Mensal</w:t>
            </w:r>
          </w:p>
        </w:tc>
      </w:tr>
      <w:tr w:rsidR="00CF7ABE" w:rsidRPr="00B74E01" w14:paraId="07E36955" w14:textId="77777777" w:rsidTr="009C2073">
        <w:trPr>
          <w:tblCellSpacing w:w="15" w:type="dxa"/>
        </w:trPr>
        <w:tc>
          <w:tcPr>
            <w:tcW w:w="0" w:type="auto"/>
            <w:vAlign w:val="center"/>
            <w:hideMark/>
          </w:tcPr>
          <w:p w14:paraId="759890D4" w14:textId="77777777" w:rsidR="00CF7ABE" w:rsidRPr="00B74E01" w:rsidRDefault="00CF7ABE" w:rsidP="00D771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Base de cálculo da destinação</w:t>
            </w:r>
          </w:p>
        </w:tc>
        <w:tc>
          <w:tcPr>
            <w:tcW w:w="0" w:type="auto"/>
            <w:vAlign w:val="center"/>
            <w:hideMark/>
          </w:tcPr>
          <w:p w14:paraId="78F91D3B" w14:textId="77777777" w:rsidR="00CF7ABE" w:rsidRPr="00B74E01" w:rsidRDefault="00CF7ABE" w:rsidP="00D771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Quantidade mínima contratada de 80 t/dia</w:t>
            </w:r>
          </w:p>
        </w:tc>
      </w:tr>
      <w:tr w:rsidR="00CF7ABE" w:rsidRPr="00B74E01" w14:paraId="58513832" w14:textId="77777777" w:rsidTr="009C2073">
        <w:trPr>
          <w:tblCellSpacing w:w="15" w:type="dxa"/>
        </w:trPr>
        <w:tc>
          <w:tcPr>
            <w:tcW w:w="0" w:type="auto"/>
            <w:vAlign w:val="center"/>
            <w:hideMark/>
          </w:tcPr>
          <w:p w14:paraId="3A4C8FF6" w14:textId="77777777" w:rsidR="00CF7ABE" w:rsidRPr="00B74E01" w:rsidRDefault="00CF7ABE" w:rsidP="00D771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Medição de RSU</w:t>
            </w:r>
          </w:p>
        </w:tc>
        <w:tc>
          <w:tcPr>
            <w:tcW w:w="0" w:type="auto"/>
            <w:vAlign w:val="center"/>
            <w:hideMark/>
          </w:tcPr>
          <w:p w14:paraId="263B9F0B" w14:textId="77777777" w:rsidR="00CF7ABE" w:rsidRPr="00B74E01" w:rsidRDefault="00CF7ABE" w:rsidP="00D771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Pesagem e registros operacionais</w:t>
            </w:r>
          </w:p>
        </w:tc>
      </w:tr>
      <w:tr w:rsidR="00CF7ABE" w:rsidRPr="00B74E01" w14:paraId="56083CFC" w14:textId="77777777" w:rsidTr="009C2073">
        <w:trPr>
          <w:tblCellSpacing w:w="15" w:type="dxa"/>
        </w:trPr>
        <w:tc>
          <w:tcPr>
            <w:tcW w:w="0" w:type="auto"/>
            <w:vAlign w:val="center"/>
            <w:hideMark/>
          </w:tcPr>
          <w:p w14:paraId="3EE5AFC7" w14:textId="77777777" w:rsidR="00CF7ABE" w:rsidRPr="00B74E01" w:rsidRDefault="00CF7ABE" w:rsidP="00D771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Remuneração energética</w:t>
            </w:r>
          </w:p>
        </w:tc>
        <w:tc>
          <w:tcPr>
            <w:tcW w:w="0" w:type="auto"/>
            <w:vAlign w:val="center"/>
            <w:hideMark/>
          </w:tcPr>
          <w:p w14:paraId="0C95486D" w14:textId="77777777" w:rsidR="00CF7ABE" w:rsidRPr="00B74E01" w:rsidRDefault="00CF7ABE" w:rsidP="00D771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Disponibilização de capacidade energética, conforme critérios contratuais</w:t>
            </w:r>
          </w:p>
        </w:tc>
      </w:tr>
      <w:tr w:rsidR="00CF7ABE" w:rsidRPr="00B74E01" w14:paraId="4DBBD936" w14:textId="77777777" w:rsidTr="009C2073">
        <w:trPr>
          <w:tblCellSpacing w:w="15" w:type="dxa"/>
        </w:trPr>
        <w:tc>
          <w:tcPr>
            <w:tcW w:w="0" w:type="auto"/>
            <w:vAlign w:val="center"/>
            <w:hideMark/>
          </w:tcPr>
          <w:p w14:paraId="15188304" w14:textId="77777777" w:rsidR="00CF7ABE" w:rsidRPr="00B74E01" w:rsidRDefault="00CF7ABE" w:rsidP="00D771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Reajuste</w:t>
            </w:r>
          </w:p>
        </w:tc>
        <w:tc>
          <w:tcPr>
            <w:tcW w:w="0" w:type="auto"/>
            <w:vAlign w:val="center"/>
            <w:hideMark/>
          </w:tcPr>
          <w:p w14:paraId="6866E068" w14:textId="77777777" w:rsidR="00CF7ABE" w:rsidRPr="00B74E01" w:rsidRDefault="00CF7ABE" w:rsidP="00D771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IPCA/IBGE ou fórmula paramétrica definida</w:t>
            </w:r>
          </w:p>
        </w:tc>
      </w:tr>
      <w:tr w:rsidR="00CF7ABE" w:rsidRPr="00B74E01" w14:paraId="4F419BA9" w14:textId="77777777" w:rsidTr="009C2073">
        <w:trPr>
          <w:tblCellSpacing w:w="15" w:type="dxa"/>
        </w:trPr>
        <w:tc>
          <w:tcPr>
            <w:tcW w:w="0" w:type="auto"/>
            <w:vAlign w:val="center"/>
            <w:hideMark/>
          </w:tcPr>
          <w:p w14:paraId="3A88C7E1" w14:textId="77777777" w:rsidR="00CF7ABE" w:rsidRPr="00B74E01" w:rsidRDefault="00CF7ABE" w:rsidP="00D771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Glosa</w:t>
            </w:r>
          </w:p>
        </w:tc>
        <w:tc>
          <w:tcPr>
            <w:tcW w:w="0" w:type="auto"/>
            <w:vAlign w:val="center"/>
            <w:hideMark/>
          </w:tcPr>
          <w:p w14:paraId="2C68E5B8" w14:textId="77777777" w:rsidR="00CF7ABE" w:rsidRPr="00B74E01" w:rsidRDefault="00CF7ABE" w:rsidP="00D771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Apenas por hipóteses objetivas de descumprimento</w:t>
            </w:r>
          </w:p>
        </w:tc>
      </w:tr>
      <w:tr w:rsidR="00CF7ABE" w:rsidRPr="00B74E01" w14:paraId="77D6928A" w14:textId="77777777" w:rsidTr="009C2073">
        <w:trPr>
          <w:tblCellSpacing w:w="15" w:type="dxa"/>
        </w:trPr>
        <w:tc>
          <w:tcPr>
            <w:tcW w:w="0" w:type="auto"/>
            <w:vAlign w:val="center"/>
            <w:hideMark/>
          </w:tcPr>
          <w:p w14:paraId="22FD77BD" w14:textId="77777777" w:rsidR="00CF7ABE" w:rsidRPr="00B74E01" w:rsidRDefault="00CF7ABE" w:rsidP="00D771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Garantia</w:t>
            </w:r>
          </w:p>
        </w:tc>
        <w:tc>
          <w:tcPr>
            <w:tcW w:w="0" w:type="auto"/>
            <w:vAlign w:val="center"/>
            <w:hideMark/>
          </w:tcPr>
          <w:p w14:paraId="70E7633A" w14:textId="77777777" w:rsidR="00CF7ABE" w:rsidRPr="00B74E01" w:rsidRDefault="00CF7ABE" w:rsidP="00D771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Fundo Garantidor, conta vinculada ou instrumento equivalente</w:t>
            </w:r>
          </w:p>
        </w:tc>
      </w:tr>
      <w:tr w:rsidR="00CF7ABE" w:rsidRPr="00B74E01" w14:paraId="0C5DA401" w14:textId="77777777" w:rsidTr="009C2073">
        <w:trPr>
          <w:tblCellSpacing w:w="15" w:type="dxa"/>
        </w:trPr>
        <w:tc>
          <w:tcPr>
            <w:tcW w:w="0" w:type="auto"/>
            <w:vAlign w:val="center"/>
            <w:hideMark/>
          </w:tcPr>
          <w:p w14:paraId="7DC0BCAD" w14:textId="77777777" w:rsidR="00CF7ABE" w:rsidRPr="00B74E01" w:rsidRDefault="00CF7ABE" w:rsidP="00D771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Fiscalização</w:t>
            </w:r>
          </w:p>
        </w:tc>
        <w:tc>
          <w:tcPr>
            <w:tcW w:w="0" w:type="auto"/>
            <w:vAlign w:val="center"/>
            <w:hideMark/>
          </w:tcPr>
          <w:p w14:paraId="6613457C" w14:textId="77777777" w:rsidR="00CF7ABE" w:rsidRPr="00B74E01" w:rsidRDefault="00CF7ABE" w:rsidP="00D771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Município, verificador independente ou estrutura definida</w:t>
            </w:r>
          </w:p>
        </w:tc>
      </w:tr>
      <w:tr w:rsidR="00CF7ABE" w:rsidRPr="00B74E01" w14:paraId="61B214D7" w14:textId="77777777" w:rsidTr="009C2073">
        <w:trPr>
          <w:tblCellSpacing w:w="15" w:type="dxa"/>
        </w:trPr>
        <w:tc>
          <w:tcPr>
            <w:tcW w:w="0" w:type="auto"/>
            <w:vAlign w:val="center"/>
            <w:hideMark/>
          </w:tcPr>
          <w:p w14:paraId="7F697ACC" w14:textId="77777777" w:rsidR="00CF7ABE" w:rsidRPr="00B74E01" w:rsidRDefault="00CF7ABE" w:rsidP="00D771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Reequilíbrio</w:t>
            </w:r>
          </w:p>
        </w:tc>
        <w:tc>
          <w:tcPr>
            <w:tcW w:w="0" w:type="auto"/>
            <w:vAlign w:val="center"/>
            <w:hideMark/>
          </w:tcPr>
          <w:p w14:paraId="0C98EC68" w14:textId="77777777" w:rsidR="00CF7ABE" w:rsidRPr="00B74E01" w:rsidRDefault="00CF7ABE" w:rsidP="00D771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Conforme matriz de riscos</w:t>
            </w:r>
          </w:p>
        </w:tc>
      </w:tr>
    </w:tbl>
    <w:p w14:paraId="07D66BC1"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clareza contratual sobre essas receitas é essencial para evitar disputas futuras. A SPE, o Município, os financiadores e os órgãos de controle precisam saber exatamente como a remuneração será medida, devida, faturada, paga, reajustada e eventualmente reduzida.</w:t>
      </w:r>
    </w:p>
    <w:p w14:paraId="6E2A1010" w14:textId="77777777" w:rsidR="00CF7ABE" w:rsidRPr="00B74E01" w:rsidRDefault="00CF7ABE" w:rsidP="00D77146">
      <w:pPr>
        <w:pStyle w:val="Ttulo2"/>
        <w:rPr>
          <w:rFonts w:eastAsia="Times New Roman"/>
          <w:lang w:eastAsia="pt-BR"/>
        </w:rPr>
      </w:pPr>
      <w:bookmarkStart w:id="104" w:name="_Toc230204106"/>
      <w:r w:rsidRPr="00B74E01">
        <w:rPr>
          <w:rFonts w:eastAsia="Times New Roman"/>
          <w:lang w:eastAsia="pt-BR"/>
        </w:rPr>
        <w:t>9.14. Relação entre receitas principais e receitas acessórias</w:t>
      </w:r>
      <w:bookmarkEnd w:id="104"/>
    </w:p>
    <w:p w14:paraId="5EB72455"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As receitas principais não devem ser confundidas com as receitas acessórias.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234"/>
        <w:gridCol w:w="3072"/>
        <w:gridCol w:w="3755"/>
      </w:tblGrid>
      <w:tr w:rsidR="00CF7ABE" w:rsidRPr="00B74E01" w14:paraId="3428C916" w14:textId="77777777" w:rsidTr="009C2073">
        <w:trPr>
          <w:tblHeader/>
          <w:tblCellSpacing w:w="15" w:type="dxa"/>
        </w:trPr>
        <w:tc>
          <w:tcPr>
            <w:tcW w:w="0" w:type="auto"/>
            <w:vAlign w:val="center"/>
            <w:hideMark/>
          </w:tcPr>
          <w:p w14:paraId="32F9A7B9" w14:textId="77777777" w:rsidR="00CF7ABE" w:rsidRPr="00B74E01" w:rsidRDefault="00CF7ABE" w:rsidP="00D77146">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Critério</w:t>
            </w:r>
          </w:p>
        </w:tc>
        <w:tc>
          <w:tcPr>
            <w:tcW w:w="0" w:type="auto"/>
            <w:vAlign w:val="center"/>
            <w:hideMark/>
          </w:tcPr>
          <w:p w14:paraId="2EA42BB1" w14:textId="77777777" w:rsidR="00CF7ABE" w:rsidRPr="00B74E01" w:rsidRDefault="00CF7ABE" w:rsidP="00D77146">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Receitas principais</w:t>
            </w:r>
          </w:p>
        </w:tc>
        <w:tc>
          <w:tcPr>
            <w:tcW w:w="0" w:type="auto"/>
            <w:vAlign w:val="center"/>
            <w:hideMark/>
          </w:tcPr>
          <w:p w14:paraId="6B2CE3B7" w14:textId="77777777" w:rsidR="00CF7ABE" w:rsidRPr="00B74E01" w:rsidRDefault="00CF7ABE" w:rsidP="00D77146">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Receitas acessórias</w:t>
            </w:r>
          </w:p>
        </w:tc>
      </w:tr>
      <w:tr w:rsidR="00CF7ABE" w:rsidRPr="00B74E01" w14:paraId="2DA6F194" w14:textId="77777777" w:rsidTr="009C2073">
        <w:trPr>
          <w:tblCellSpacing w:w="15" w:type="dxa"/>
        </w:trPr>
        <w:tc>
          <w:tcPr>
            <w:tcW w:w="0" w:type="auto"/>
            <w:vAlign w:val="center"/>
            <w:hideMark/>
          </w:tcPr>
          <w:p w14:paraId="1BB71029" w14:textId="77777777" w:rsidR="00CF7ABE" w:rsidRPr="00B74E01" w:rsidRDefault="00CF7ABE" w:rsidP="00D771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Natureza</w:t>
            </w:r>
          </w:p>
        </w:tc>
        <w:tc>
          <w:tcPr>
            <w:tcW w:w="0" w:type="auto"/>
            <w:vAlign w:val="center"/>
            <w:hideMark/>
          </w:tcPr>
          <w:p w14:paraId="58F3AD17" w14:textId="77777777" w:rsidR="00CF7ABE" w:rsidRPr="00B74E01" w:rsidRDefault="00CF7ABE" w:rsidP="00D771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Contratual</w:t>
            </w:r>
          </w:p>
        </w:tc>
        <w:tc>
          <w:tcPr>
            <w:tcW w:w="0" w:type="auto"/>
            <w:vAlign w:val="center"/>
            <w:hideMark/>
          </w:tcPr>
          <w:p w14:paraId="17442E0A" w14:textId="77777777" w:rsidR="00CF7ABE" w:rsidRPr="00B74E01" w:rsidRDefault="00CF7ABE" w:rsidP="00D771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Comercial/potencial</w:t>
            </w:r>
          </w:p>
        </w:tc>
      </w:tr>
      <w:tr w:rsidR="00CF7ABE" w:rsidRPr="00B74E01" w14:paraId="4BE7B2FF" w14:textId="77777777" w:rsidTr="009C2073">
        <w:trPr>
          <w:tblCellSpacing w:w="15" w:type="dxa"/>
        </w:trPr>
        <w:tc>
          <w:tcPr>
            <w:tcW w:w="0" w:type="auto"/>
            <w:vAlign w:val="center"/>
            <w:hideMark/>
          </w:tcPr>
          <w:p w14:paraId="788E7A3A" w14:textId="77777777" w:rsidR="00CF7ABE" w:rsidRPr="00B74E01" w:rsidRDefault="00CF7ABE" w:rsidP="00D771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lastRenderedPageBreak/>
              <w:t>Exemplos</w:t>
            </w:r>
          </w:p>
        </w:tc>
        <w:tc>
          <w:tcPr>
            <w:tcW w:w="0" w:type="auto"/>
            <w:vAlign w:val="center"/>
            <w:hideMark/>
          </w:tcPr>
          <w:p w14:paraId="0CF3FD82" w14:textId="77777777" w:rsidR="00CF7ABE" w:rsidRPr="00B74E01" w:rsidRDefault="00CF7ABE" w:rsidP="00D771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RSU e disponibilização energética</w:t>
            </w:r>
          </w:p>
        </w:tc>
        <w:tc>
          <w:tcPr>
            <w:tcW w:w="0" w:type="auto"/>
            <w:vAlign w:val="center"/>
            <w:hideMark/>
          </w:tcPr>
          <w:p w14:paraId="07511037" w14:textId="77777777" w:rsidR="00CF7ABE" w:rsidRPr="00B74E01" w:rsidRDefault="00CF7ABE" w:rsidP="00D77146">
            <w:pPr>
              <w:spacing w:after="0" w:line="360" w:lineRule="auto"/>
              <w:rPr>
                <w:rFonts w:eastAsia="Times New Roman" w:cs="Arial"/>
                <w:kern w:val="0"/>
                <w:lang w:eastAsia="pt-BR"/>
                <w14:ligatures w14:val="none"/>
              </w:rPr>
            </w:pPr>
            <w:proofErr w:type="spellStart"/>
            <w:r w:rsidRPr="00B74E01">
              <w:rPr>
                <w:rFonts w:eastAsia="Times New Roman" w:cs="Arial"/>
                <w:kern w:val="0"/>
                <w:lang w:eastAsia="pt-BR"/>
                <w14:ligatures w14:val="none"/>
              </w:rPr>
              <w:t>Biochar</w:t>
            </w:r>
            <w:proofErr w:type="spellEnd"/>
            <w:r w:rsidRPr="00B74E01">
              <w:rPr>
                <w:rFonts w:eastAsia="Times New Roman" w:cs="Arial"/>
                <w:kern w:val="0"/>
                <w:lang w:eastAsia="pt-BR"/>
                <w14:ligatures w14:val="none"/>
              </w:rPr>
              <w:t>, óleo/extrato, carbono, recicláveis</w:t>
            </w:r>
          </w:p>
        </w:tc>
      </w:tr>
      <w:tr w:rsidR="00CF7ABE" w:rsidRPr="00B74E01" w14:paraId="393CF400" w14:textId="77777777" w:rsidTr="009C2073">
        <w:trPr>
          <w:tblCellSpacing w:w="15" w:type="dxa"/>
        </w:trPr>
        <w:tc>
          <w:tcPr>
            <w:tcW w:w="0" w:type="auto"/>
            <w:vAlign w:val="center"/>
            <w:hideMark/>
          </w:tcPr>
          <w:p w14:paraId="12CAB024" w14:textId="77777777" w:rsidR="00CF7ABE" w:rsidRPr="00B74E01" w:rsidRDefault="00CF7ABE" w:rsidP="00D771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Previsibilidade</w:t>
            </w:r>
          </w:p>
        </w:tc>
        <w:tc>
          <w:tcPr>
            <w:tcW w:w="0" w:type="auto"/>
            <w:vAlign w:val="center"/>
            <w:hideMark/>
          </w:tcPr>
          <w:p w14:paraId="04D3FDD8" w14:textId="77777777" w:rsidR="00CF7ABE" w:rsidRPr="00B74E01" w:rsidRDefault="00CF7ABE" w:rsidP="00D771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Maior</w:t>
            </w:r>
          </w:p>
        </w:tc>
        <w:tc>
          <w:tcPr>
            <w:tcW w:w="0" w:type="auto"/>
            <w:vAlign w:val="center"/>
            <w:hideMark/>
          </w:tcPr>
          <w:p w14:paraId="53BDF3C0" w14:textId="77777777" w:rsidR="00CF7ABE" w:rsidRPr="00B74E01" w:rsidRDefault="00CF7ABE" w:rsidP="00D771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Menor</w:t>
            </w:r>
          </w:p>
        </w:tc>
      </w:tr>
      <w:tr w:rsidR="00CF7ABE" w:rsidRPr="00B74E01" w14:paraId="44A9E807" w14:textId="77777777" w:rsidTr="009C2073">
        <w:trPr>
          <w:tblCellSpacing w:w="15" w:type="dxa"/>
        </w:trPr>
        <w:tc>
          <w:tcPr>
            <w:tcW w:w="0" w:type="auto"/>
            <w:vAlign w:val="center"/>
            <w:hideMark/>
          </w:tcPr>
          <w:p w14:paraId="72698960" w14:textId="77777777" w:rsidR="00CF7ABE" w:rsidRPr="00B74E01" w:rsidRDefault="00CF7ABE" w:rsidP="00D771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Garantia pública</w:t>
            </w:r>
          </w:p>
        </w:tc>
        <w:tc>
          <w:tcPr>
            <w:tcW w:w="0" w:type="auto"/>
            <w:vAlign w:val="center"/>
            <w:hideMark/>
          </w:tcPr>
          <w:p w14:paraId="55C81EDC" w14:textId="77777777" w:rsidR="00CF7ABE" w:rsidRPr="00B74E01" w:rsidRDefault="00CF7ABE" w:rsidP="00D771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Sim, recomendada</w:t>
            </w:r>
          </w:p>
        </w:tc>
        <w:tc>
          <w:tcPr>
            <w:tcW w:w="0" w:type="auto"/>
            <w:vAlign w:val="center"/>
            <w:hideMark/>
          </w:tcPr>
          <w:p w14:paraId="7954C8D7" w14:textId="77777777" w:rsidR="00CF7ABE" w:rsidRPr="00B74E01" w:rsidRDefault="00CF7ABE" w:rsidP="00D771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Não recomendada</w:t>
            </w:r>
          </w:p>
        </w:tc>
      </w:tr>
      <w:tr w:rsidR="00CF7ABE" w:rsidRPr="00B74E01" w14:paraId="52F37FAE" w14:textId="77777777" w:rsidTr="009C2073">
        <w:trPr>
          <w:tblCellSpacing w:w="15" w:type="dxa"/>
        </w:trPr>
        <w:tc>
          <w:tcPr>
            <w:tcW w:w="0" w:type="auto"/>
            <w:vAlign w:val="center"/>
            <w:hideMark/>
          </w:tcPr>
          <w:p w14:paraId="45371B33" w14:textId="77777777" w:rsidR="00CF7ABE" w:rsidRPr="00B74E01" w:rsidRDefault="00CF7ABE" w:rsidP="00D771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Base de financiamento</w:t>
            </w:r>
          </w:p>
        </w:tc>
        <w:tc>
          <w:tcPr>
            <w:tcW w:w="0" w:type="auto"/>
            <w:vAlign w:val="center"/>
            <w:hideMark/>
          </w:tcPr>
          <w:p w14:paraId="6E1B5861" w14:textId="77777777" w:rsidR="00CF7ABE" w:rsidRPr="00B74E01" w:rsidRDefault="00CF7ABE" w:rsidP="00D771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Principal</w:t>
            </w:r>
          </w:p>
        </w:tc>
        <w:tc>
          <w:tcPr>
            <w:tcW w:w="0" w:type="auto"/>
            <w:vAlign w:val="center"/>
            <w:hideMark/>
          </w:tcPr>
          <w:p w14:paraId="2A1A6DD0" w14:textId="77777777" w:rsidR="00CF7ABE" w:rsidRPr="00B74E01" w:rsidRDefault="00CF7ABE" w:rsidP="00D771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Complementar</w:t>
            </w:r>
          </w:p>
        </w:tc>
      </w:tr>
      <w:tr w:rsidR="00CF7ABE" w:rsidRPr="00B74E01" w14:paraId="68BB247F" w14:textId="77777777" w:rsidTr="009C2073">
        <w:trPr>
          <w:tblCellSpacing w:w="15" w:type="dxa"/>
        </w:trPr>
        <w:tc>
          <w:tcPr>
            <w:tcW w:w="0" w:type="auto"/>
            <w:vAlign w:val="center"/>
            <w:hideMark/>
          </w:tcPr>
          <w:p w14:paraId="62761C1D" w14:textId="77777777" w:rsidR="00CF7ABE" w:rsidRPr="00B74E01" w:rsidRDefault="00CF7ABE" w:rsidP="00D771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Risco de realização</w:t>
            </w:r>
          </w:p>
        </w:tc>
        <w:tc>
          <w:tcPr>
            <w:tcW w:w="0" w:type="auto"/>
            <w:vAlign w:val="center"/>
            <w:hideMark/>
          </w:tcPr>
          <w:p w14:paraId="68215F92" w14:textId="77777777" w:rsidR="00CF7ABE" w:rsidRPr="00B74E01" w:rsidRDefault="00CF7ABE" w:rsidP="00D771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Menor, se garantida</w:t>
            </w:r>
          </w:p>
        </w:tc>
        <w:tc>
          <w:tcPr>
            <w:tcW w:w="0" w:type="auto"/>
            <w:vAlign w:val="center"/>
            <w:hideMark/>
          </w:tcPr>
          <w:p w14:paraId="635C587A" w14:textId="77777777" w:rsidR="00CF7ABE" w:rsidRPr="00B74E01" w:rsidRDefault="00CF7ABE" w:rsidP="00D771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SPE</w:t>
            </w:r>
          </w:p>
        </w:tc>
      </w:tr>
      <w:tr w:rsidR="00CF7ABE" w:rsidRPr="00B74E01" w14:paraId="2CF2220A" w14:textId="77777777" w:rsidTr="009C2073">
        <w:trPr>
          <w:tblCellSpacing w:w="15" w:type="dxa"/>
        </w:trPr>
        <w:tc>
          <w:tcPr>
            <w:tcW w:w="0" w:type="auto"/>
            <w:vAlign w:val="center"/>
            <w:hideMark/>
          </w:tcPr>
          <w:p w14:paraId="6E7416B8" w14:textId="77777777" w:rsidR="00CF7ABE" w:rsidRPr="00B74E01" w:rsidRDefault="00CF7ABE" w:rsidP="00D771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Reequilíbrio</w:t>
            </w:r>
          </w:p>
        </w:tc>
        <w:tc>
          <w:tcPr>
            <w:tcW w:w="0" w:type="auto"/>
            <w:vAlign w:val="center"/>
            <w:hideMark/>
          </w:tcPr>
          <w:p w14:paraId="769870F9" w14:textId="77777777" w:rsidR="00CF7ABE" w:rsidRPr="00B74E01" w:rsidRDefault="00CF7ABE" w:rsidP="00D771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Conforme matriz de riscos</w:t>
            </w:r>
          </w:p>
        </w:tc>
        <w:tc>
          <w:tcPr>
            <w:tcW w:w="0" w:type="auto"/>
            <w:vAlign w:val="center"/>
            <w:hideMark/>
          </w:tcPr>
          <w:p w14:paraId="51330275" w14:textId="77777777" w:rsidR="00CF7ABE" w:rsidRPr="00B74E01" w:rsidRDefault="00CF7ABE" w:rsidP="00D771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Não automático</w:t>
            </w:r>
          </w:p>
        </w:tc>
      </w:tr>
    </w:tbl>
    <w:p w14:paraId="6010A3CF"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Essa distinção protege o Município, melhora a leitura bancária e reduz risco de questionamento por órgãos de controle.</w:t>
      </w:r>
    </w:p>
    <w:p w14:paraId="543C58BA" w14:textId="77777777" w:rsidR="00CF7ABE" w:rsidRPr="00B74E01" w:rsidRDefault="00CF7ABE" w:rsidP="00D77146">
      <w:pPr>
        <w:pStyle w:val="Ttulo2"/>
        <w:rPr>
          <w:rFonts w:eastAsia="Times New Roman"/>
          <w:lang w:eastAsia="pt-BR"/>
        </w:rPr>
      </w:pPr>
      <w:bookmarkStart w:id="105" w:name="_Toc230204107"/>
      <w:r w:rsidRPr="00B74E01">
        <w:rPr>
          <w:rFonts w:eastAsia="Times New Roman"/>
          <w:lang w:eastAsia="pt-BR"/>
        </w:rPr>
        <w:t>9.15. Conclusão do tópico</w:t>
      </w:r>
      <w:bookmarkEnd w:id="105"/>
    </w:p>
    <w:p w14:paraId="2A24CA96"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As receitas principais da PPP são a base mínima de sustentação econômico-financeira do projeto. Elas decorrem da destinação/tratamento de RSU e da disponibilização de capacidade energética renovável ao Município.</w:t>
      </w:r>
    </w:p>
    <w:p w14:paraId="607CAF5C"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No cenário-base, com tarifa de </w:t>
      </w:r>
      <w:r w:rsidRPr="00B74E01">
        <w:rPr>
          <w:rFonts w:eastAsia="Times New Roman" w:cs="Arial"/>
          <w:b/>
          <w:bCs/>
          <w:kern w:val="0"/>
          <w:lang w:eastAsia="pt-BR"/>
          <w14:ligatures w14:val="none"/>
        </w:rPr>
        <w:t>R$ 95/t</w:t>
      </w:r>
      <w:r w:rsidRPr="00B74E01">
        <w:rPr>
          <w:rFonts w:eastAsia="Times New Roman" w:cs="Arial"/>
          <w:kern w:val="0"/>
          <w:lang w:eastAsia="pt-BR"/>
          <w14:ligatures w14:val="none"/>
        </w:rPr>
        <w:t xml:space="preserve">, a receita principal bruta mensal é de </w:t>
      </w:r>
      <w:r w:rsidRPr="00B74E01">
        <w:rPr>
          <w:rFonts w:eastAsia="Times New Roman" w:cs="Arial"/>
          <w:b/>
          <w:bCs/>
          <w:kern w:val="0"/>
          <w:lang w:eastAsia="pt-BR"/>
          <w14:ligatures w14:val="none"/>
        </w:rPr>
        <w:t>R$ 700.077,09</w:t>
      </w:r>
      <w:r w:rsidRPr="00B74E01">
        <w:rPr>
          <w:rFonts w:eastAsia="Times New Roman" w:cs="Arial"/>
          <w:kern w:val="0"/>
          <w:lang w:eastAsia="pt-BR"/>
          <w14:ligatures w14:val="none"/>
        </w:rPr>
        <w:t xml:space="preserve">, equivalente a </w:t>
      </w:r>
      <w:r w:rsidRPr="00B74E01">
        <w:rPr>
          <w:rFonts w:eastAsia="Times New Roman" w:cs="Arial"/>
          <w:b/>
          <w:bCs/>
          <w:kern w:val="0"/>
          <w:lang w:eastAsia="pt-BR"/>
          <w14:ligatures w14:val="none"/>
        </w:rPr>
        <w:t>R$ 8.400.925,04/ano</w:t>
      </w:r>
      <w:r w:rsidRPr="00B74E01">
        <w:rPr>
          <w:rFonts w:eastAsia="Times New Roman" w:cs="Arial"/>
          <w:kern w:val="0"/>
          <w:lang w:eastAsia="pt-BR"/>
          <w14:ligatures w14:val="none"/>
        </w:rPr>
        <w:t xml:space="preserve">. Esse cenário gera EBITDA positivo sem receitas acessórias, mas com margem restrita, apresentando DSCR após carência de </w:t>
      </w:r>
      <w:r w:rsidRPr="00B74E01">
        <w:rPr>
          <w:rFonts w:eastAsia="Times New Roman" w:cs="Arial"/>
          <w:b/>
          <w:bCs/>
          <w:kern w:val="0"/>
          <w:lang w:eastAsia="pt-BR"/>
          <w14:ligatures w14:val="none"/>
        </w:rPr>
        <w:t>1,12x</w:t>
      </w:r>
      <w:r w:rsidRPr="00B74E01">
        <w:rPr>
          <w:rFonts w:eastAsia="Times New Roman" w:cs="Arial"/>
          <w:kern w:val="0"/>
          <w:lang w:eastAsia="pt-BR"/>
          <w14:ligatures w14:val="none"/>
        </w:rPr>
        <w:t>.</w:t>
      </w:r>
    </w:p>
    <w:p w14:paraId="2A605894"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No cenário superior regional de </w:t>
      </w:r>
      <w:r w:rsidRPr="00B74E01">
        <w:rPr>
          <w:rFonts w:eastAsia="Times New Roman" w:cs="Arial"/>
          <w:b/>
          <w:bCs/>
          <w:kern w:val="0"/>
          <w:lang w:eastAsia="pt-BR"/>
          <w14:ligatures w14:val="none"/>
        </w:rPr>
        <w:t>R$ 140/t</w:t>
      </w:r>
      <w:r w:rsidRPr="00B74E01">
        <w:rPr>
          <w:rFonts w:eastAsia="Times New Roman" w:cs="Arial"/>
          <w:kern w:val="0"/>
          <w:lang w:eastAsia="pt-BR"/>
          <w14:ligatures w14:val="none"/>
        </w:rPr>
        <w:t xml:space="preserve">, a receita principal mensal sobe para </w:t>
      </w:r>
      <w:r w:rsidRPr="00B74E01">
        <w:rPr>
          <w:rFonts w:eastAsia="Times New Roman" w:cs="Arial"/>
          <w:b/>
          <w:bCs/>
          <w:kern w:val="0"/>
          <w:lang w:eastAsia="pt-BR"/>
          <w14:ligatures w14:val="none"/>
        </w:rPr>
        <w:t>R$ 809.577,09</w:t>
      </w:r>
      <w:r w:rsidRPr="00B74E01">
        <w:rPr>
          <w:rFonts w:eastAsia="Times New Roman" w:cs="Arial"/>
          <w:kern w:val="0"/>
          <w:lang w:eastAsia="pt-BR"/>
          <w14:ligatures w14:val="none"/>
        </w:rPr>
        <w:t xml:space="preserve">, equivalente a </w:t>
      </w:r>
      <w:r w:rsidRPr="00B74E01">
        <w:rPr>
          <w:rFonts w:eastAsia="Times New Roman" w:cs="Arial"/>
          <w:b/>
          <w:bCs/>
          <w:kern w:val="0"/>
          <w:lang w:eastAsia="pt-BR"/>
          <w14:ligatures w14:val="none"/>
        </w:rPr>
        <w:t>R$ 9.714.925,04/ano</w:t>
      </w:r>
      <w:r w:rsidRPr="00B74E01">
        <w:rPr>
          <w:rFonts w:eastAsia="Times New Roman" w:cs="Arial"/>
          <w:kern w:val="0"/>
          <w:lang w:eastAsia="pt-BR"/>
          <w14:ligatures w14:val="none"/>
        </w:rPr>
        <w:t xml:space="preserve">, elevando o DSCR após carência para </w:t>
      </w:r>
      <w:r w:rsidRPr="00B74E01">
        <w:rPr>
          <w:rFonts w:eastAsia="Times New Roman" w:cs="Arial"/>
          <w:b/>
          <w:bCs/>
          <w:kern w:val="0"/>
          <w:lang w:eastAsia="pt-BR"/>
          <w14:ligatures w14:val="none"/>
        </w:rPr>
        <w:t>1,47x</w:t>
      </w:r>
      <w:r w:rsidRPr="00B74E01">
        <w:rPr>
          <w:rFonts w:eastAsia="Times New Roman" w:cs="Arial"/>
          <w:kern w:val="0"/>
          <w:lang w:eastAsia="pt-BR"/>
          <w14:ligatures w14:val="none"/>
        </w:rPr>
        <w:t>.</w:t>
      </w:r>
    </w:p>
    <w:p w14:paraId="4D32FEC8"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 correta estruturação dessas receitas é decisiva para a </w:t>
      </w:r>
      <w:proofErr w:type="spellStart"/>
      <w:r w:rsidRPr="00B74E01">
        <w:rPr>
          <w:rFonts w:eastAsia="Times New Roman" w:cs="Arial"/>
          <w:kern w:val="0"/>
          <w:lang w:eastAsia="pt-BR"/>
          <w14:ligatures w14:val="none"/>
        </w:rPr>
        <w:t>bancabilidade</w:t>
      </w:r>
      <w:proofErr w:type="spellEnd"/>
      <w:r w:rsidRPr="00B74E01">
        <w:rPr>
          <w:rFonts w:eastAsia="Times New Roman" w:cs="Arial"/>
          <w:kern w:val="0"/>
          <w:lang w:eastAsia="pt-BR"/>
          <w14:ligatures w14:val="none"/>
        </w:rPr>
        <w:t xml:space="preserve"> da PPP. Elas deverão estar expressamente previstas no contrato, possuir critérios objetivos de apuração e pagamento, ser protegidas por garantia adequada e manter distinção clara em relação às receitas acessórias.</w:t>
      </w:r>
    </w:p>
    <w:p w14:paraId="38651067"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lastRenderedPageBreak/>
        <w:t xml:space="preserve">Esse tratamento fortalece o projeto perante investidores, financiadores, banca avaliadora, Tribunal de Contas e Ministério Público, pois demonstra que a PPP possui base contratual identificável, mensurável, </w:t>
      </w:r>
      <w:proofErr w:type="spellStart"/>
      <w:r w:rsidRPr="00B74E01">
        <w:rPr>
          <w:rFonts w:eastAsia="Times New Roman" w:cs="Arial"/>
          <w:kern w:val="0"/>
          <w:lang w:eastAsia="pt-BR"/>
          <w14:ligatures w14:val="none"/>
        </w:rPr>
        <w:t>garantível</w:t>
      </w:r>
      <w:proofErr w:type="spellEnd"/>
      <w:r w:rsidRPr="00B74E01">
        <w:rPr>
          <w:rFonts w:eastAsia="Times New Roman" w:cs="Arial"/>
          <w:kern w:val="0"/>
          <w:lang w:eastAsia="pt-BR"/>
          <w14:ligatures w14:val="none"/>
        </w:rPr>
        <w:t xml:space="preserve"> e auditável.</w:t>
      </w:r>
    </w:p>
    <w:p w14:paraId="18331FC7" w14:textId="1D246D48" w:rsidR="00CF7ABE" w:rsidRDefault="00CF7ABE" w:rsidP="00B74E01">
      <w:pPr>
        <w:spacing w:after="0" w:line="360" w:lineRule="auto"/>
        <w:ind w:firstLine="709"/>
        <w:jc w:val="both"/>
        <w:rPr>
          <w:rFonts w:eastAsia="Times New Roman" w:cs="Arial"/>
          <w:kern w:val="0"/>
          <w:lang w:eastAsia="pt-BR"/>
          <w14:ligatures w14:val="none"/>
        </w:rPr>
      </w:pPr>
    </w:p>
    <w:p w14:paraId="0B08971A" w14:textId="77777777" w:rsidR="00D77146" w:rsidRDefault="00D77146" w:rsidP="00B74E01">
      <w:pPr>
        <w:spacing w:after="0" w:line="360" w:lineRule="auto"/>
        <w:ind w:firstLine="709"/>
        <w:jc w:val="both"/>
        <w:rPr>
          <w:rFonts w:eastAsia="Times New Roman" w:cs="Arial"/>
          <w:kern w:val="0"/>
          <w:lang w:eastAsia="pt-BR"/>
          <w14:ligatures w14:val="none"/>
        </w:rPr>
      </w:pPr>
    </w:p>
    <w:p w14:paraId="10575E0A" w14:textId="77777777" w:rsidR="00D77146" w:rsidRDefault="00D77146" w:rsidP="00B74E01">
      <w:pPr>
        <w:spacing w:after="0" w:line="360" w:lineRule="auto"/>
        <w:ind w:firstLine="709"/>
        <w:jc w:val="both"/>
        <w:rPr>
          <w:rFonts w:eastAsia="Times New Roman" w:cs="Arial"/>
          <w:kern w:val="0"/>
          <w:lang w:eastAsia="pt-BR"/>
          <w14:ligatures w14:val="none"/>
        </w:rPr>
      </w:pPr>
    </w:p>
    <w:p w14:paraId="03AA6340" w14:textId="77777777" w:rsidR="00D77146" w:rsidRDefault="00D77146" w:rsidP="00B74E01">
      <w:pPr>
        <w:spacing w:after="0" w:line="360" w:lineRule="auto"/>
        <w:ind w:firstLine="709"/>
        <w:jc w:val="both"/>
        <w:rPr>
          <w:rFonts w:eastAsia="Times New Roman" w:cs="Arial"/>
          <w:kern w:val="0"/>
          <w:lang w:eastAsia="pt-BR"/>
          <w14:ligatures w14:val="none"/>
        </w:rPr>
      </w:pPr>
    </w:p>
    <w:p w14:paraId="4A644201" w14:textId="77777777" w:rsidR="00D77146" w:rsidRDefault="00D77146" w:rsidP="00B74E01">
      <w:pPr>
        <w:spacing w:after="0" w:line="360" w:lineRule="auto"/>
        <w:ind w:firstLine="709"/>
        <w:jc w:val="both"/>
        <w:rPr>
          <w:rFonts w:eastAsia="Times New Roman" w:cs="Arial"/>
          <w:kern w:val="0"/>
          <w:lang w:eastAsia="pt-BR"/>
          <w14:ligatures w14:val="none"/>
        </w:rPr>
      </w:pPr>
    </w:p>
    <w:p w14:paraId="0656C48D" w14:textId="77777777" w:rsidR="00D77146" w:rsidRDefault="00D77146" w:rsidP="00B74E01">
      <w:pPr>
        <w:spacing w:after="0" w:line="360" w:lineRule="auto"/>
        <w:ind w:firstLine="709"/>
        <w:jc w:val="both"/>
        <w:rPr>
          <w:rFonts w:eastAsia="Times New Roman" w:cs="Arial"/>
          <w:kern w:val="0"/>
          <w:lang w:eastAsia="pt-BR"/>
          <w14:ligatures w14:val="none"/>
        </w:rPr>
      </w:pPr>
    </w:p>
    <w:p w14:paraId="422D9324" w14:textId="77777777" w:rsidR="00D77146" w:rsidRDefault="00D77146" w:rsidP="00B74E01">
      <w:pPr>
        <w:spacing w:after="0" w:line="360" w:lineRule="auto"/>
        <w:ind w:firstLine="709"/>
        <w:jc w:val="both"/>
        <w:rPr>
          <w:rFonts w:eastAsia="Times New Roman" w:cs="Arial"/>
          <w:kern w:val="0"/>
          <w:lang w:eastAsia="pt-BR"/>
          <w14:ligatures w14:val="none"/>
        </w:rPr>
      </w:pPr>
    </w:p>
    <w:p w14:paraId="6C0C744B" w14:textId="77777777" w:rsidR="00D77146" w:rsidRDefault="00D77146" w:rsidP="00B74E01">
      <w:pPr>
        <w:spacing w:after="0" w:line="360" w:lineRule="auto"/>
        <w:ind w:firstLine="709"/>
        <w:jc w:val="both"/>
        <w:rPr>
          <w:rFonts w:eastAsia="Times New Roman" w:cs="Arial"/>
          <w:kern w:val="0"/>
          <w:lang w:eastAsia="pt-BR"/>
          <w14:ligatures w14:val="none"/>
        </w:rPr>
      </w:pPr>
    </w:p>
    <w:p w14:paraId="1E37782E" w14:textId="77777777" w:rsidR="00D77146" w:rsidRDefault="00D77146" w:rsidP="00B74E01">
      <w:pPr>
        <w:spacing w:after="0" w:line="360" w:lineRule="auto"/>
        <w:ind w:firstLine="709"/>
        <w:jc w:val="both"/>
        <w:rPr>
          <w:rFonts w:eastAsia="Times New Roman" w:cs="Arial"/>
          <w:kern w:val="0"/>
          <w:lang w:eastAsia="pt-BR"/>
          <w14:ligatures w14:val="none"/>
        </w:rPr>
      </w:pPr>
    </w:p>
    <w:p w14:paraId="1287E957" w14:textId="77777777" w:rsidR="00D77146" w:rsidRDefault="00D77146" w:rsidP="00B74E01">
      <w:pPr>
        <w:spacing w:after="0" w:line="360" w:lineRule="auto"/>
        <w:ind w:firstLine="709"/>
        <w:jc w:val="both"/>
        <w:rPr>
          <w:rFonts w:eastAsia="Times New Roman" w:cs="Arial"/>
          <w:kern w:val="0"/>
          <w:lang w:eastAsia="pt-BR"/>
          <w14:ligatures w14:val="none"/>
        </w:rPr>
      </w:pPr>
    </w:p>
    <w:p w14:paraId="01DEDE09" w14:textId="77777777" w:rsidR="00D77146" w:rsidRDefault="00D77146" w:rsidP="00B74E01">
      <w:pPr>
        <w:spacing w:after="0" w:line="360" w:lineRule="auto"/>
        <w:ind w:firstLine="709"/>
        <w:jc w:val="both"/>
        <w:rPr>
          <w:rFonts w:eastAsia="Times New Roman" w:cs="Arial"/>
          <w:kern w:val="0"/>
          <w:lang w:eastAsia="pt-BR"/>
          <w14:ligatures w14:val="none"/>
        </w:rPr>
      </w:pPr>
    </w:p>
    <w:p w14:paraId="28D45339" w14:textId="77777777" w:rsidR="00D77146" w:rsidRDefault="00D77146" w:rsidP="00B74E01">
      <w:pPr>
        <w:spacing w:after="0" w:line="360" w:lineRule="auto"/>
        <w:ind w:firstLine="709"/>
        <w:jc w:val="both"/>
        <w:rPr>
          <w:rFonts w:eastAsia="Times New Roman" w:cs="Arial"/>
          <w:kern w:val="0"/>
          <w:lang w:eastAsia="pt-BR"/>
          <w14:ligatures w14:val="none"/>
        </w:rPr>
      </w:pPr>
    </w:p>
    <w:p w14:paraId="58F82B58" w14:textId="77777777" w:rsidR="00D77146" w:rsidRDefault="00D77146" w:rsidP="00B74E01">
      <w:pPr>
        <w:spacing w:after="0" w:line="360" w:lineRule="auto"/>
        <w:ind w:firstLine="709"/>
        <w:jc w:val="both"/>
        <w:rPr>
          <w:rFonts w:eastAsia="Times New Roman" w:cs="Arial"/>
          <w:kern w:val="0"/>
          <w:lang w:eastAsia="pt-BR"/>
          <w14:ligatures w14:val="none"/>
        </w:rPr>
      </w:pPr>
    </w:p>
    <w:p w14:paraId="7AF14373" w14:textId="77777777" w:rsidR="00D77146" w:rsidRDefault="00D77146" w:rsidP="00B74E01">
      <w:pPr>
        <w:spacing w:after="0" w:line="360" w:lineRule="auto"/>
        <w:ind w:firstLine="709"/>
        <w:jc w:val="both"/>
        <w:rPr>
          <w:rFonts w:eastAsia="Times New Roman" w:cs="Arial"/>
          <w:kern w:val="0"/>
          <w:lang w:eastAsia="pt-BR"/>
          <w14:ligatures w14:val="none"/>
        </w:rPr>
      </w:pPr>
    </w:p>
    <w:p w14:paraId="1610AAB5" w14:textId="77777777" w:rsidR="00D77146" w:rsidRDefault="00D77146" w:rsidP="00B74E01">
      <w:pPr>
        <w:spacing w:after="0" w:line="360" w:lineRule="auto"/>
        <w:ind w:firstLine="709"/>
        <w:jc w:val="both"/>
        <w:rPr>
          <w:rFonts w:eastAsia="Times New Roman" w:cs="Arial"/>
          <w:kern w:val="0"/>
          <w:lang w:eastAsia="pt-BR"/>
          <w14:ligatures w14:val="none"/>
        </w:rPr>
      </w:pPr>
    </w:p>
    <w:p w14:paraId="5A7F12B2" w14:textId="77777777" w:rsidR="00D77146" w:rsidRDefault="00D77146" w:rsidP="00B74E01">
      <w:pPr>
        <w:spacing w:after="0" w:line="360" w:lineRule="auto"/>
        <w:ind w:firstLine="709"/>
        <w:jc w:val="both"/>
        <w:rPr>
          <w:rFonts w:eastAsia="Times New Roman" w:cs="Arial"/>
          <w:kern w:val="0"/>
          <w:lang w:eastAsia="pt-BR"/>
          <w14:ligatures w14:val="none"/>
        </w:rPr>
      </w:pPr>
    </w:p>
    <w:p w14:paraId="2590F275" w14:textId="77777777" w:rsidR="00D77146" w:rsidRDefault="00D77146" w:rsidP="00B74E01">
      <w:pPr>
        <w:spacing w:after="0" w:line="360" w:lineRule="auto"/>
        <w:ind w:firstLine="709"/>
        <w:jc w:val="both"/>
        <w:rPr>
          <w:rFonts w:eastAsia="Times New Roman" w:cs="Arial"/>
          <w:kern w:val="0"/>
          <w:lang w:eastAsia="pt-BR"/>
          <w14:ligatures w14:val="none"/>
        </w:rPr>
      </w:pPr>
    </w:p>
    <w:p w14:paraId="0181BEB2" w14:textId="77777777" w:rsidR="00D77146" w:rsidRDefault="00D77146" w:rsidP="00B74E01">
      <w:pPr>
        <w:spacing w:after="0" w:line="360" w:lineRule="auto"/>
        <w:ind w:firstLine="709"/>
        <w:jc w:val="both"/>
        <w:rPr>
          <w:rFonts w:eastAsia="Times New Roman" w:cs="Arial"/>
          <w:kern w:val="0"/>
          <w:lang w:eastAsia="pt-BR"/>
          <w14:ligatures w14:val="none"/>
        </w:rPr>
      </w:pPr>
    </w:p>
    <w:p w14:paraId="0AE3E355" w14:textId="77777777" w:rsidR="00D77146" w:rsidRDefault="00D77146" w:rsidP="00B74E01">
      <w:pPr>
        <w:spacing w:after="0" w:line="360" w:lineRule="auto"/>
        <w:ind w:firstLine="709"/>
        <w:jc w:val="both"/>
        <w:rPr>
          <w:rFonts w:eastAsia="Times New Roman" w:cs="Arial"/>
          <w:kern w:val="0"/>
          <w:lang w:eastAsia="pt-BR"/>
          <w14:ligatures w14:val="none"/>
        </w:rPr>
      </w:pPr>
    </w:p>
    <w:p w14:paraId="631798BF" w14:textId="77777777" w:rsidR="00D77146" w:rsidRDefault="00D77146" w:rsidP="00B74E01">
      <w:pPr>
        <w:spacing w:after="0" w:line="360" w:lineRule="auto"/>
        <w:ind w:firstLine="709"/>
        <w:jc w:val="both"/>
        <w:rPr>
          <w:rFonts w:eastAsia="Times New Roman" w:cs="Arial"/>
          <w:kern w:val="0"/>
          <w:lang w:eastAsia="pt-BR"/>
          <w14:ligatures w14:val="none"/>
        </w:rPr>
      </w:pPr>
    </w:p>
    <w:p w14:paraId="42EEC354" w14:textId="77777777" w:rsidR="00D77146" w:rsidRDefault="00D77146" w:rsidP="00B74E01">
      <w:pPr>
        <w:spacing w:after="0" w:line="360" w:lineRule="auto"/>
        <w:ind w:firstLine="709"/>
        <w:jc w:val="both"/>
        <w:rPr>
          <w:rFonts w:eastAsia="Times New Roman" w:cs="Arial"/>
          <w:kern w:val="0"/>
          <w:lang w:eastAsia="pt-BR"/>
          <w14:ligatures w14:val="none"/>
        </w:rPr>
      </w:pPr>
    </w:p>
    <w:p w14:paraId="08891534" w14:textId="77777777" w:rsidR="00D77146" w:rsidRDefault="00D77146" w:rsidP="00B74E01">
      <w:pPr>
        <w:spacing w:after="0" w:line="360" w:lineRule="auto"/>
        <w:ind w:firstLine="709"/>
        <w:jc w:val="both"/>
        <w:rPr>
          <w:rFonts w:eastAsia="Times New Roman" w:cs="Arial"/>
          <w:kern w:val="0"/>
          <w:lang w:eastAsia="pt-BR"/>
          <w14:ligatures w14:val="none"/>
        </w:rPr>
      </w:pPr>
    </w:p>
    <w:p w14:paraId="0E5AB6B9" w14:textId="77777777" w:rsidR="00D77146" w:rsidRDefault="00D77146" w:rsidP="00B74E01">
      <w:pPr>
        <w:spacing w:after="0" w:line="360" w:lineRule="auto"/>
        <w:ind w:firstLine="709"/>
        <w:jc w:val="both"/>
        <w:rPr>
          <w:rFonts w:eastAsia="Times New Roman" w:cs="Arial"/>
          <w:kern w:val="0"/>
          <w:lang w:eastAsia="pt-BR"/>
          <w14:ligatures w14:val="none"/>
        </w:rPr>
      </w:pPr>
    </w:p>
    <w:p w14:paraId="7FB775C7" w14:textId="77777777" w:rsidR="00D77146" w:rsidRDefault="00D77146" w:rsidP="00B74E01">
      <w:pPr>
        <w:spacing w:after="0" w:line="360" w:lineRule="auto"/>
        <w:ind w:firstLine="709"/>
        <w:jc w:val="both"/>
        <w:rPr>
          <w:rFonts w:eastAsia="Times New Roman" w:cs="Arial"/>
          <w:kern w:val="0"/>
          <w:lang w:eastAsia="pt-BR"/>
          <w14:ligatures w14:val="none"/>
        </w:rPr>
      </w:pPr>
    </w:p>
    <w:p w14:paraId="58B8FBB6" w14:textId="77777777" w:rsidR="00D77146" w:rsidRDefault="00D77146" w:rsidP="00B74E01">
      <w:pPr>
        <w:spacing w:after="0" w:line="360" w:lineRule="auto"/>
        <w:ind w:firstLine="709"/>
        <w:jc w:val="both"/>
        <w:rPr>
          <w:rFonts w:eastAsia="Times New Roman" w:cs="Arial"/>
          <w:kern w:val="0"/>
          <w:lang w:eastAsia="pt-BR"/>
          <w14:ligatures w14:val="none"/>
        </w:rPr>
      </w:pPr>
    </w:p>
    <w:p w14:paraId="6C300714" w14:textId="77777777" w:rsidR="00D77146" w:rsidRDefault="00D77146" w:rsidP="00B74E01">
      <w:pPr>
        <w:spacing w:after="0" w:line="360" w:lineRule="auto"/>
        <w:ind w:firstLine="709"/>
        <w:jc w:val="both"/>
        <w:rPr>
          <w:rFonts w:eastAsia="Times New Roman" w:cs="Arial"/>
          <w:kern w:val="0"/>
          <w:lang w:eastAsia="pt-BR"/>
          <w14:ligatures w14:val="none"/>
        </w:rPr>
      </w:pPr>
    </w:p>
    <w:p w14:paraId="6F7DD134" w14:textId="77777777" w:rsidR="00D77146" w:rsidRDefault="00D77146" w:rsidP="00B74E01">
      <w:pPr>
        <w:spacing w:after="0" w:line="360" w:lineRule="auto"/>
        <w:ind w:firstLine="709"/>
        <w:jc w:val="both"/>
        <w:rPr>
          <w:rFonts w:eastAsia="Times New Roman" w:cs="Arial"/>
          <w:kern w:val="0"/>
          <w:lang w:eastAsia="pt-BR"/>
          <w14:ligatures w14:val="none"/>
        </w:rPr>
      </w:pPr>
    </w:p>
    <w:p w14:paraId="6188FD0D" w14:textId="77777777" w:rsidR="00D77146" w:rsidRDefault="00D77146" w:rsidP="00B74E01">
      <w:pPr>
        <w:spacing w:after="0" w:line="360" w:lineRule="auto"/>
        <w:ind w:firstLine="709"/>
        <w:jc w:val="both"/>
        <w:rPr>
          <w:rFonts w:eastAsia="Times New Roman" w:cs="Arial"/>
          <w:kern w:val="0"/>
          <w:lang w:eastAsia="pt-BR"/>
          <w14:ligatures w14:val="none"/>
        </w:rPr>
      </w:pPr>
    </w:p>
    <w:p w14:paraId="1E472E49" w14:textId="77777777" w:rsidR="00D77146" w:rsidRPr="00B74E01" w:rsidRDefault="00D77146" w:rsidP="00B74E01">
      <w:pPr>
        <w:spacing w:after="0" w:line="360" w:lineRule="auto"/>
        <w:ind w:firstLine="709"/>
        <w:jc w:val="both"/>
        <w:rPr>
          <w:rFonts w:eastAsia="Times New Roman" w:cs="Arial"/>
          <w:kern w:val="0"/>
          <w:lang w:eastAsia="pt-BR"/>
          <w14:ligatures w14:val="none"/>
        </w:rPr>
      </w:pPr>
    </w:p>
    <w:p w14:paraId="7C56DF65" w14:textId="77777777" w:rsidR="00CF7ABE" w:rsidRPr="00B74E01" w:rsidRDefault="00CF7ABE" w:rsidP="00D77146">
      <w:pPr>
        <w:pStyle w:val="Ttulo1"/>
        <w:rPr>
          <w:rFonts w:eastAsia="Times New Roman"/>
          <w:lang w:eastAsia="pt-BR"/>
        </w:rPr>
      </w:pPr>
      <w:bookmarkStart w:id="106" w:name="_Toc230204108"/>
      <w:r w:rsidRPr="00B74E01">
        <w:rPr>
          <w:rFonts w:eastAsia="Times New Roman"/>
          <w:lang w:eastAsia="pt-BR"/>
        </w:rPr>
        <w:lastRenderedPageBreak/>
        <w:t>10. Energia Elétrica Municipal e Vantajosidade Econômica</w:t>
      </w:r>
      <w:bookmarkEnd w:id="106"/>
    </w:p>
    <w:p w14:paraId="2BC5182F"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despesa municipal com energia elétrica é um dos elementos centrais da modelagem econômico-financeira da PPP. No presente projeto, a energia não aparece apenas como custo público existente, mas como vetor econômico para reorganização das despesas municipais e demonstração de vantajosidade.</w:t>
      </w:r>
    </w:p>
    <w:p w14:paraId="433D8B88"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lógica adotada é simples: o Município atualmente suporta despesa relevante com energia elétrica perante a distribuidora. A PPP propõe que parte dessa despesa seja substituída por uma remuneração à SPE pela disponibilização de capacidade energética renovável, em valor inferior ao desembolso atual. A diferença entre o valor atualmente pago e a remuneração projetada à SPE representa a economia energética estimada.</w:t>
      </w:r>
    </w:p>
    <w:p w14:paraId="2B1EACAF"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No cenário-base, essa economia é suficiente para custear integralmente a destinação/tratamento do RSU a </w:t>
      </w:r>
      <w:r w:rsidRPr="00B74E01">
        <w:rPr>
          <w:rFonts w:eastAsia="Times New Roman" w:cs="Arial"/>
          <w:b/>
          <w:bCs/>
          <w:kern w:val="0"/>
          <w:lang w:eastAsia="pt-BR"/>
          <w14:ligatures w14:val="none"/>
        </w:rPr>
        <w:t>R$ 95/t</w:t>
      </w:r>
      <w:r w:rsidRPr="00B74E01">
        <w:rPr>
          <w:rFonts w:eastAsia="Times New Roman" w:cs="Arial"/>
          <w:kern w:val="0"/>
          <w:lang w:eastAsia="pt-BR"/>
          <w14:ligatures w14:val="none"/>
        </w:rPr>
        <w:t>, gerando ainda saldo positivo ao Município.</w:t>
      </w:r>
    </w:p>
    <w:p w14:paraId="18AD6D22" w14:textId="77777777" w:rsidR="00CF7ABE" w:rsidRPr="00B74E01" w:rsidRDefault="00CF7ABE" w:rsidP="00D77146">
      <w:pPr>
        <w:pStyle w:val="Ttulo2"/>
        <w:rPr>
          <w:rFonts w:eastAsia="Times New Roman"/>
          <w:lang w:eastAsia="pt-BR"/>
        </w:rPr>
      </w:pPr>
      <w:bookmarkStart w:id="107" w:name="_Toc230204109"/>
      <w:r w:rsidRPr="00B74E01">
        <w:rPr>
          <w:rFonts w:eastAsia="Times New Roman"/>
          <w:lang w:eastAsia="pt-BR"/>
        </w:rPr>
        <w:t>10.1. Finalidade da análise energética</w:t>
      </w:r>
      <w:bookmarkEnd w:id="107"/>
    </w:p>
    <w:p w14:paraId="50406221"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análise energética tem quatro finalidades principais: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638"/>
        <w:gridCol w:w="6423"/>
      </w:tblGrid>
      <w:tr w:rsidR="00CF7ABE" w:rsidRPr="00B74E01" w14:paraId="4A358C71" w14:textId="77777777" w:rsidTr="009C2073">
        <w:trPr>
          <w:tblHeader/>
          <w:tblCellSpacing w:w="15" w:type="dxa"/>
        </w:trPr>
        <w:tc>
          <w:tcPr>
            <w:tcW w:w="0" w:type="auto"/>
            <w:vAlign w:val="center"/>
            <w:hideMark/>
          </w:tcPr>
          <w:p w14:paraId="51016F58" w14:textId="77777777" w:rsidR="00CF7ABE" w:rsidRPr="00B74E01" w:rsidRDefault="00CF7ABE" w:rsidP="00D77146">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Finalidade</w:t>
            </w:r>
          </w:p>
        </w:tc>
        <w:tc>
          <w:tcPr>
            <w:tcW w:w="0" w:type="auto"/>
            <w:vAlign w:val="center"/>
            <w:hideMark/>
          </w:tcPr>
          <w:p w14:paraId="3F195743" w14:textId="77777777" w:rsidR="00CF7ABE" w:rsidRPr="00B74E01" w:rsidRDefault="00CF7ABE" w:rsidP="00D77146">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Descrição</w:t>
            </w:r>
          </w:p>
        </w:tc>
      </w:tr>
      <w:tr w:rsidR="00CF7ABE" w:rsidRPr="00B74E01" w14:paraId="57421B63" w14:textId="77777777" w:rsidTr="009C2073">
        <w:trPr>
          <w:tblCellSpacing w:w="15" w:type="dxa"/>
        </w:trPr>
        <w:tc>
          <w:tcPr>
            <w:tcW w:w="0" w:type="auto"/>
            <w:vAlign w:val="center"/>
            <w:hideMark/>
          </w:tcPr>
          <w:p w14:paraId="0359A27F" w14:textId="77777777" w:rsidR="00CF7ABE" w:rsidRPr="00B74E01" w:rsidRDefault="00CF7ABE" w:rsidP="00D771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Demonstrar a despesa atual</w:t>
            </w:r>
          </w:p>
        </w:tc>
        <w:tc>
          <w:tcPr>
            <w:tcW w:w="0" w:type="auto"/>
            <w:vAlign w:val="center"/>
            <w:hideMark/>
          </w:tcPr>
          <w:p w14:paraId="20BB94A4" w14:textId="77777777" w:rsidR="00CF7ABE" w:rsidRPr="00B74E01" w:rsidRDefault="00CF7ABE" w:rsidP="00D771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Identificar o valor atualmente suportado pelo Município com energia elétrica</w:t>
            </w:r>
          </w:p>
        </w:tc>
      </w:tr>
      <w:tr w:rsidR="00CF7ABE" w:rsidRPr="00B74E01" w14:paraId="36A0AF14" w14:textId="77777777" w:rsidTr="009C2073">
        <w:trPr>
          <w:tblCellSpacing w:w="15" w:type="dxa"/>
        </w:trPr>
        <w:tc>
          <w:tcPr>
            <w:tcW w:w="0" w:type="auto"/>
            <w:vAlign w:val="center"/>
            <w:hideMark/>
          </w:tcPr>
          <w:p w14:paraId="1E218D91" w14:textId="77777777" w:rsidR="00CF7ABE" w:rsidRPr="00B74E01" w:rsidRDefault="00CF7ABE" w:rsidP="00D771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Medir o consumo considerado</w:t>
            </w:r>
          </w:p>
        </w:tc>
        <w:tc>
          <w:tcPr>
            <w:tcW w:w="0" w:type="auto"/>
            <w:vAlign w:val="center"/>
            <w:hideMark/>
          </w:tcPr>
          <w:p w14:paraId="0840BD09" w14:textId="77777777" w:rsidR="00CF7ABE" w:rsidRPr="00B74E01" w:rsidRDefault="00CF7ABE" w:rsidP="00D771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Apresentar o consumo consolidado em kWh</w:t>
            </w:r>
          </w:p>
        </w:tc>
      </w:tr>
      <w:tr w:rsidR="00CF7ABE" w:rsidRPr="00B74E01" w14:paraId="10331E4A" w14:textId="77777777" w:rsidTr="009C2073">
        <w:trPr>
          <w:tblCellSpacing w:w="15" w:type="dxa"/>
        </w:trPr>
        <w:tc>
          <w:tcPr>
            <w:tcW w:w="0" w:type="auto"/>
            <w:vAlign w:val="center"/>
            <w:hideMark/>
          </w:tcPr>
          <w:p w14:paraId="4D695D91" w14:textId="77777777" w:rsidR="00CF7ABE" w:rsidRPr="00B74E01" w:rsidRDefault="00CF7ABE" w:rsidP="00D771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Calcular a economia estimada</w:t>
            </w:r>
          </w:p>
        </w:tc>
        <w:tc>
          <w:tcPr>
            <w:tcW w:w="0" w:type="auto"/>
            <w:vAlign w:val="center"/>
            <w:hideMark/>
          </w:tcPr>
          <w:p w14:paraId="5E377291" w14:textId="77777777" w:rsidR="00CF7ABE" w:rsidRPr="00B74E01" w:rsidRDefault="00CF7ABE" w:rsidP="00D771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Comparar o custo atual com a remuneração proposta à SPE</w:t>
            </w:r>
          </w:p>
        </w:tc>
      </w:tr>
      <w:tr w:rsidR="00CF7ABE" w:rsidRPr="00B74E01" w14:paraId="6B342A26" w14:textId="77777777" w:rsidTr="009C2073">
        <w:trPr>
          <w:tblCellSpacing w:w="15" w:type="dxa"/>
        </w:trPr>
        <w:tc>
          <w:tcPr>
            <w:tcW w:w="0" w:type="auto"/>
            <w:vAlign w:val="center"/>
            <w:hideMark/>
          </w:tcPr>
          <w:p w14:paraId="141DA8CB" w14:textId="77777777" w:rsidR="00CF7ABE" w:rsidRPr="00B74E01" w:rsidRDefault="00CF7ABE" w:rsidP="00D771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Demonstrar a vantajosidade</w:t>
            </w:r>
          </w:p>
        </w:tc>
        <w:tc>
          <w:tcPr>
            <w:tcW w:w="0" w:type="auto"/>
            <w:vAlign w:val="center"/>
            <w:hideMark/>
          </w:tcPr>
          <w:p w14:paraId="50E13828" w14:textId="77777777" w:rsidR="00CF7ABE" w:rsidRPr="00B74E01" w:rsidRDefault="00CF7ABE" w:rsidP="00D771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Verificar se a economia energética cobre o custo da destinação/tratamento do RSU</w:t>
            </w:r>
          </w:p>
        </w:tc>
      </w:tr>
    </w:tbl>
    <w:p w14:paraId="4B41E8EB"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Essa análise é essencial para a defesa econômico-financeira da PPP, pois permite demonstrar que o projeto não </w:t>
      </w:r>
      <w:proofErr w:type="gramStart"/>
      <w:r w:rsidRPr="00B74E01">
        <w:rPr>
          <w:rFonts w:eastAsia="Times New Roman" w:cs="Arial"/>
          <w:kern w:val="0"/>
          <w:lang w:eastAsia="pt-BR"/>
          <w14:ligatures w14:val="none"/>
        </w:rPr>
        <w:t>cria apenas uma nova</w:t>
      </w:r>
      <w:proofErr w:type="gramEnd"/>
      <w:r w:rsidRPr="00B74E01">
        <w:rPr>
          <w:rFonts w:eastAsia="Times New Roman" w:cs="Arial"/>
          <w:kern w:val="0"/>
          <w:lang w:eastAsia="pt-BR"/>
          <w14:ligatures w14:val="none"/>
        </w:rPr>
        <w:t xml:space="preserve"> despesa pública. Ele </w:t>
      </w:r>
      <w:r w:rsidRPr="00B74E01">
        <w:rPr>
          <w:rFonts w:eastAsia="Times New Roman" w:cs="Arial"/>
          <w:kern w:val="0"/>
          <w:lang w:eastAsia="pt-BR"/>
          <w14:ligatures w14:val="none"/>
        </w:rPr>
        <w:lastRenderedPageBreak/>
        <w:t>reorganiza uma despesa já existente, vinculando a economia obtida à solução ambiental do RSU.</w:t>
      </w:r>
    </w:p>
    <w:p w14:paraId="748E447E" w14:textId="77777777" w:rsidR="00CF7ABE" w:rsidRPr="00DC5B93" w:rsidRDefault="00CF7ABE" w:rsidP="00DC5B93">
      <w:pPr>
        <w:pStyle w:val="Ttulo2"/>
      </w:pPr>
      <w:bookmarkStart w:id="108" w:name="_Toc230204110"/>
      <w:r w:rsidRPr="00DC5B93">
        <w:t>10.2. Base documental considerada</w:t>
      </w:r>
      <w:bookmarkEnd w:id="108"/>
    </w:p>
    <w:p w14:paraId="10E69B86"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Para fins da modelagem, foram consideradas as contas/faturas da </w:t>
      </w:r>
      <w:r w:rsidRPr="00B74E01">
        <w:rPr>
          <w:rFonts w:eastAsia="Times New Roman" w:cs="Arial"/>
          <w:b/>
          <w:bCs/>
          <w:kern w:val="0"/>
          <w:lang w:eastAsia="pt-BR"/>
          <w14:ligatures w14:val="none"/>
        </w:rPr>
        <w:t>Neoenergia Coelba</w:t>
      </w:r>
      <w:r w:rsidRPr="00B74E01">
        <w:rPr>
          <w:rFonts w:eastAsia="Times New Roman" w:cs="Arial"/>
          <w:kern w:val="0"/>
          <w:lang w:eastAsia="pt-BR"/>
          <w14:ligatures w14:val="none"/>
        </w:rPr>
        <w:t xml:space="preserve">, competência </w:t>
      </w:r>
      <w:r w:rsidRPr="00B74E01">
        <w:rPr>
          <w:rFonts w:eastAsia="Times New Roman" w:cs="Arial"/>
          <w:b/>
          <w:bCs/>
          <w:kern w:val="0"/>
          <w:lang w:eastAsia="pt-BR"/>
          <w14:ligatures w14:val="none"/>
        </w:rPr>
        <w:t>março/2026</w:t>
      </w:r>
      <w:r w:rsidRPr="00B74E01">
        <w:rPr>
          <w:rFonts w:eastAsia="Times New Roman" w:cs="Arial"/>
          <w:kern w:val="0"/>
          <w:lang w:eastAsia="pt-BR"/>
          <w14:ligatures w14:val="none"/>
        </w:rPr>
        <w:t>, agrupadas por contas coletivas e unidades consumidoras municipais.</w:t>
      </w:r>
    </w:p>
    <w:p w14:paraId="79E91FFE"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O valor adotado corresponde ao </w:t>
      </w:r>
      <w:r w:rsidRPr="00B74E01">
        <w:rPr>
          <w:rFonts w:eastAsia="Times New Roman" w:cs="Arial"/>
          <w:b/>
          <w:bCs/>
          <w:kern w:val="0"/>
          <w:lang w:eastAsia="pt-BR"/>
          <w14:ligatures w14:val="none"/>
        </w:rPr>
        <w:t>total efetivamente indicado para pagamento</w:t>
      </w:r>
      <w:r w:rsidRPr="00B74E01">
        <w:rPr>
          <w:rFonts w:eastAsia="Times New Roman" w:cs="Arial"/>
          <w:kern w:val="0"/>
          <w:lang w:eastAsia="pt-BR"/>
          <w14:ligatures w14:val="none"/>
        </w:rPr>
        <w:t xml:space="preserve"> nas faturas analisadas, sem reclassificação externa ou dedução não comprovada.</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106"/>
        <w:gridCol w:w="1554"/>
        <w:gridCol w:w="1810"/>
        <w:gridCol w:w="1588"/>
        <w:gridCol w:w="2003"/>
      </w:tblGrid>
      <w:tr w:rsidR="00CF7ABE" w:rsidRPr="00B74E01" w14:paraId="1D0BAD95" w14:textId="77777777" w:rsidTr="009C2073">
        <w:trPr>
          <w:tblHeader/>
          <w:tblCellSpacing w:w="15" w:type="dxa"/>
        </w:trPr>
        <w:tc>
          <w:tcPr>
            <w:tcW w:w="0" w:type="auto"/>
            <w:vAlign w:val="center"/>
            <w:hideMark/>
          </w:tcPr>
          <w:p w14:paraId="7F7D5BF0" w14:textId="77777777" w:rsidR="00CF7ABE" w:rsidRPr="00B74E01" w:rsidRDefault="00CF7ABE" w:rsidP="00DC5B93">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Grupo / Conta Coletiva</w:t>
            </w:r>
          </w:p>
        </w:tc>
        <w:tc>
          <w:tcPr>
            <w:tcW w:w="0" w:type="auto"/>
            <w:vAlign w:val="center"/>
            <w:hideMark/>
          </w:tcPr>
          <w:p w14:paraId="073D1262" w14:textId="77777777" w:rsidR="00CF7ABE" w:rsidRPr="00B74E01" w:rsidRDefault="00CF7ABE" w:rsidP="00DC5B93">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Conta Contrato</w:t>
            </w:r>
          </w:p>
        </w:tc>
        <w:tc>
          <w:tcPr>
            <w:tcW w:w="0" w:type="auto"/>
            <w:vAlign w:val="center"/>
            <w:hideMark/>
          </w:tcPr>
          <w:p w14:paraId="4CF6E762" w14:textId="77777777" w:rsidR="00CF7ABE" w:rsidRPr="00B74E01" w:rsidRDefault="00CF7ABE" w:rsidP="00DC5B93">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Quantidade de faturas</w:t>
            </w:r>
          </w:p>
        </w:tc>
        <w:tc>
          <w:tcPr>
            <w:tcW w:w="0" w:type="auto"/>
            <w:vAlign w:val="center"/>
            <w:hideMark/>
          </w:tcPr>
          <w:p w14:paraId="371773C4" w14:textId="77777777" w:rsidR="00CF7ABE" w:rsidRPr="00B74E01" w:rsidRDefault="00CF7ABE" w:rsidP="00DC5B93">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Competência</w:t>
            </w:r>
          </w:p>
        </w:tc>
        <w:tc>
          <w:tcPr>
            <w:tcW w:w="0" w:type="auto"/>
            <w:vAlign w:val="center"/>
            <w:hideMark/>
          </w:tcPr>
          <w:p w14:paraId="19C105E4" w14:textId="77777777" w:rsidR="00CF7ABE" w:rsidRPr="00B74E01" w:rsidRDefault="00CF7ABE" w:rsidP="00DC5B93">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 efetivamente pago</w:t>
            </w:r>
          </w:p>
        </w:tc>
      </w:tr>
      <w:tr w:rsidR="00CF7ABE" w:rsidRPr="00B74E01" w14:paraId="2D0F4350" w14:textId="77777777" w:rsidTr="009C2073">
        <w:trPr>
          <w:tblCellSpacing w:w="15" w:type="dxa"/>
        </w:trPr>
        <w:tc>
          <w:tcPr>
            <w:tcW w:w="0" w:type="auto"/>
            <w:vAlign w:val="center"/>
            <w:hideMark/>
          </w:tcPr>
          <w:p w14:paraId="640EF7FB" w14:textId="77777777" w:rsidR="00CF7ABE" w:rsidRPr="00B74E01" w:rsidRDefault="00CF7ABE" w:rsidP="00DC5B93">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Iluminação Pública — lote 1</w:t>
            </w:r>
          </w:p>
        </w:tc>
        <w:tc>
          <w:tcPr>
            <w:tcW w:w="0" w:type="auto"/>
            <w:vAlign w:val="center"/>
            <w:hideMark/>
          </w:tcPr>
          <w:p w14:paraId="2D4C43A2" w14:textId="77777777" w:rsidR="00CF7ABE" w:rsidRPr="00B74E01" w:rsidRDefault="00CF7ABE" w:rsidP="00DC5B93">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6552000011</w:t>
            </w:r>
          </w:p>
        </w:tc>
        <w:tc>
          <w:tcPr>
            <w:tcW w:w="0" w:type="auto"/>
            <w:vAlign w:val="center"/>
            <w:hideMark/>
          </w:tcPr>
          <w:p w14:paraId="61CB6375" w14:textId="77777777" w:rsidR="00CF7ABE" w:rsidRPr="00B74E01" w:rsidRDefault="00CF7ABE" w:rsidP="00DC5B93">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11 faturas</w:t>
            </w:r>
          </w:p>
        </w:tc>
        <w:tc>
          <w:tcPr>
            <w:tcW w:w="0" w:type="auto"/>
            <w:vAlign w:val="center"/>
            <w:hideMark/>
          </w:tcPr>
          <w:p w14:paraId="52B375E4" w14:textId="77777777" w:rsidR="00CF7ABE" w:rsidRPr="00B74E01" w:rsidRDefault="00CF7ABE" w:rsidP="00DC5B93">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03/2026</w:t>
            </w:r>
          </w:p>
        </w:tc>
        <w:tc>
          <w:tcPr>
            <w:tcW w:w="0" w:type="auto"/>
            <w:vAlign w:val="center"/>
            <w:hideMark/>
          </w:tcPr>
          <w:p w14:paraId="49BE855E" w14:textId="77777777" w:rsidR="00CF7ABE" w:rsidRPr="00B74E01" w:rsidRDefault="00CF7ABE" w:rsidP="00DC5B93">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R$ 245.997,80</w:t>
            </w:r>
          </w:p>
        </w:tc>
      </w:tr>
      <w:tr w:rsidR="00CF7ABE" w:rsidRPr="00B74E01" w14:paraId="3E17F57C" w14:textId="77777777" w:rsidTr="009C2073">
        <w:trPr>
          <w:tblCellSpacing w:w="15" w:type="dxa"/>
        </w:trPr>
        <w:tc>
          <w:tcPr>
            <w:tcW w:w="0" w:type="auto"/>
            <w:vAlign w:val="center"/>
            <w:hideMark/>
          </w:tcPr>
          <w:p w14:paraId="3D961793" w14:textId="77777777" w:rsidR="00CF7ABE" w:rsidRPr="00B74E01" w:rsidRDefault="00CF7ABE" w:rsidP="00DC5B93">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Iluminação Pública — lote 2</w:t>
            </w:r>
          </w:p>
        </w:tc>
        <w:tc>
          <w:tcPr>
            <w:tcW w:w="0" w:type="auto"/>
            <w:vAlign w:val="center"/>
            <w:hideMark/>
          </w:tcPr>
          <w:p w14:paraId="42132F21" w14:textId="77777777" w:rsidR="00CF7ABE" w:rsidRPr="00B74E01" w:rsidRDefault="00CF7ABE" w:rsidP="00DC5B93">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6552000011</w:t>
            </w:r>
          </w:p>
        </w:tc>
        <w:tc>
          <w:tcPr>
            <w:tcW w:w="0" w:type="auto"/>
            <w:vAlign w:val="center"/>
            <w:hideMark/>
          </w:tcPr>
          <w:p w14:paraId="7503DED3" w14:textId="77777777" w:rsidR="00CF7ABE" w:rsidRPr="00B74E01" w:rsidRDefault="00CF7ABE" w:rsidP="00DC5B93">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20 faturas</w:t>
            </w:r>
          </w:p>
        </w:tc>
        <w:tc>
          <w:tcPr>
            <w:tcW w:w="0" w:type="auto"/>
            <w:vAlign w:val="center"/>
            <w:hideMark/>
          </w:tcPr>
          <w:p w14:paraId="30883CB0" w14:textId="77777777" w:rsidR="00CF7ABE" w:rsidRPr="00B74E01" w:rsidRDefault="00CF7ABE" w:rsidP="00DC5B93">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03/2026</w:t>
            </w:r>
          </w:p>
        </w:tc>
        <w:tc>
          <w:tcPr>
            <w:tcW w:w="0" w:type="auto"/>
            <w:vAlign w:val="center"/>
            <w:hideMark/>
          </w:tcPr>
          <w:p w14:paraId="758D0579" w14:textId="77777777" w:rsidR="00CF7ABE" w:rsidRPr="00B74E01" w:rsidRDefault="00CF7ABE" w:rsidP="00DC5B93">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R$ 11.389,56</w:t>
            </w:r>
          </w:p>
        </w:tc>
      </w:tr>
      <w:tr w:rsidR="00CF7ABE" w:rsidRPr="00B74E01" w14:paraId="2A57E1DA" w14:textId="77777777" w:rsidTr="009C2073">
        <w:trPr>
          <w:tblCellSpacing w:w="15" w:type="dxa"/>
        </w:trPr>
        <w:tc>
          <w:tcPr>
            <w:tcW w:w="0" w:type="auto"/>
            <w:vAlign w:val="center"/>
            <w:hideMark/>
          </w:tcPr>
          <w:p w14:paraId="383159B5" w14:textId="77777777" w:rsidR="00CF7ABE" w:rsidRPr="00B74E01" w:rsidRDefault="00CF7ABE" w:rsidP="00DC5B93">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Administração Municipal</w:t>
            </w:r>
          </w:p>
        </w:tc>
        <w:tc>
          <w:tcPr>
            <w:tcW w:w="0" w:type="auto"/>
            <w:vAlign w:val="center"/>
            <w:hideMark/>
          </w:tcPr>
          <w:p w14:paraId="584B4F6A" w14:textId="77777777" w:rsidR="00CF7ABE" w:rsidRPr="00B74E01" w:rsidRDefault="00CF7ABE" w:rsidP="00DC5B93">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6552000020</w:t>
            </w:r>
          </w:p>
        </w:tc>
        <w:tc>
          <w:tcPr>
            <w:tcW w:w="0" w:type="auto"/>
            <w:vAlign w:val="center"/>
            <w:hideMark/>
          </w:tcPr>
          <w:p w14:paraId="5C328D77" w14:textId="77777777" w:rsidR="00CF7ABE" w:rsidRPr="00B74E01" w:rsidRDefault="00CF7ABE" w:rsidP="00DC5B93">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103 faturas</w:t>
            </w:r>
          </w:p>
        </w:tc>
        <w:tc>
          <w:tcPr>
            <w:tcW w:w="0" w:type="auto"/>
            <w:vAlign w:val="center"/>
            <w:hideMark/>
          </w:tcPr>
          <w:p w14:paraId="1A6A0704" w14:textId="77777777" w:rsidR="00CF7ABE" w:rsidRPr="00B74E01" w:rsidRDefault="00CF7ABE" w:rsidP="00DC5B93">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03/2026</w:t>
            </w:r>
          </w:p>
        </w:tc>
        <w:tc>
          <w:tcPr>
            <w:tcW w:w="0" w:type="auto"/>
            <w:vAlign w:val="center"/>
            <w:hideMark/>
          </w:tcPr>
          <w:p w14:paraId="709BF6CC" w14:textId="77777777" w:rsidR="00CF7ABE" w:rsidRPr="00B74E01" w:rsidRDefault="00CF7ABE" w:rsidP="00DC5B93">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R$ 330.621,88</w:t>
            </w:r>
          </w:p>
        </w:tc>
      </w:tr>
      <w:tr w:rsidR="00CF7ABE" w:rsidRPr="00B74E01" w14:paraId="21622810" w14:textId="77777777" w:rsidTr="009C2073">
        <w:trPr>
          <w:tblCellSpacing w:w="15" w:type="dxa"/>
        </w:trPr>
        <w:tc>
          <w:tcPr>
            <w:tcW w:w="0" w:type="auto"/>
            <w:vAlign w:val="center"/>
            <w:hideMark/>
          </w:tcPr>
          <w:p w14:paraId="088037D9" w14:textId="77777777" w:rsidR="00CF7ABE" w:rsidRPr="00B74E01" w:rsidRDefault="00CF7ABE" w:rsidP="00DC5B93">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Educação</w:t>
            </w:r>
          </w:p>
        </w:tc>
        <w:tc>
          <w:tcPr>
            <w:tcW w:w="0" w:type="auto"/>
            <w:vAlign w:val="center"/>
            <w:hideMark/>
          </w:tcPr>
          <w:p w14:paraId="39EB3688" w14:textId="77777777" w:rsidR="00CF7ABE" w:rsidRPr="00B74E01" w:rsidRDefault="00CF7ABE" w:rsidP="00DC5B93">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6552000038</w:t>
            </w:r>
          </w:p>
        </w:tc>
        <w:tc>
          <w:tcPr>
            <w:tcW w:w="0" w:type="auto"/>
            <w:vAlign w:val="center"/>
            <w:hideMark/>
          </w:tcPr>
          <w:p w14:paraId="0F97C9D0" w14:textId="77777777" w:rsidR="00CF7ABE" w:rsidRPr="00B74E01" w:rsidRDefault="00CF7ABE" w:rsidP="00DC5B93">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57 faturas</w:t>
            </w:r>
          </w:p>
        </w:tc>
        <w:tc>
          <w:tcPr>
            <w:tcW w:w="0" w:type="auto"/>
            <w:vAlign w:val="center"/>
            <w:hideMark/>
          </w:tcPr>
          <w:p w14:paraId="4D25F233" w14:textId="77777777" w:rsidR="00CF7ABE" w:rsidRPr="00B74E01" w:rsidRDefault="00CF7ABE" w:rsidP="00DC5B93">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03/2026</w:t>
            </w:r>
          </w:p>
        </w:tc>
        <w:tc>
          <w:tcPr>
            <w:tcW w:w="0" w:type="auto"/>
            <w:vAlign w:val="center"/>
            <w:hideMark/>
          </w:tcPr>
          <w:p w14:paraId="43C96CDD" w14:textId="77777777" w:rsidR="00CF7ABE" w:rsidRPr="00B74E01" w:rsidRDefault="00CF7ABE" w:rsidP="00DC5B93">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R$ 92.965,18</w:t>
            </w:r>
          </w:p>
        </w:tc>
      </w:tr>
      <w:tr w:rsidR="00CF7ABE" w:rsidRPr="00B74E01" w14:paraId="65574680" w14:textId="77777777" w:rsidTr="009C2073">
        <w:trPr>
          <w:tblCellSpacing w:w="15" w:type="dxa"/>
        </w:trPr>
        <w:tc>
          <w:tcPr>
            <w:tcW w:w="0" w:type="auto"/>
            <w:vAlign w:val="center"/>
            <w:hideMark/>
          </w:tcPr>
          <w:p w14:paraId="4DA7B61E" w14:textId="77777777" w:rsidR="00CF7ABE" w:rsidRPr="00B74E01" w:rsidRDefault="00CF7ABE" w:rsidP="00DC5B93">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Saúde</w:t>
            </w:r>
          </w:p>
        </w:tc>
        <w:tc>
          <w:tcPr>
            <w:tcW w:w="0" w:type="auto"/>
            <w:vAlign w:val="center"/>
            <w:hideMark/>
          </w:tcPr>
          <w:p w14:paraId="3602819A" w14:textId="77777777" w:rsidR="00CF7ABE" w:rsidRPr="00B74E01" w:rsidRDefault="00CF7ABE" w:rsidP="00DC5B93">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6552000046</w:t>
            </w:r>
          </w:p>
        </w:tc>
        <w:tc>
          <w:tcPr>
            <w:tcW w:w="0" w:type="auto"/>
            <w:vAlign w:val="center"/>
            <w:hideMark/>
          </w:tcPr>
          <w:p w14:paraId="1932CF95" w14:textId="77777777" w:rsidR="00CF7ABE" w:rsidRPr="00B74E01" w:rsidRDefault="00CF7ABE" w:rsidP="00DC5B93">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26 faturas</w:t>
            </w:r>
          </w:p>
        </w:tc>
        <w:tc>
          <w:tcPr>
            <w:tcW w:w="0" w:type="auto"/>
            <w:vAlign w:val="center"/>
            <w:hideMark/>
          </w:tcPr>
          <w:p w14:paraId="4D524A6A" w14:textId="77777777" w:rsidR="00CF7ABE" w:rsidRPr="00B74E01" w:rsidRDefault="00CF7ABE" w:rsidP="00DC5B93">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03/2026</w:t>
            </w:r>
          </w:p>
        </w:tc>
        <w:tc>
          <w:tcPr>
            <w:tcW w:w="0" w:type="auto"/>
            <w:vAlign w:val="center"/>
            <w:hideMark/>
          </w:tcPr>
          <w:p w14:paraId="68FDA2B1" w14:textId="77777777" w:rsidR="00CF7ABE" w:rsidRPr="00B74E01" w:rsidRDefault="00CF7ABE" w:rsidP="00DC5B93">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R$ 43.771,21</w:t>
            </w:r>
          </w:p>
        </w:tc>
      </w:tr>
      <w:tr w:rsidR="00CF7ABE" w:rsidRPr="00B74E01" w14:paraId="17EF3924" w14:textId="77777777" w:rsidTr="009C2073">
        <w:trPr>
          <w:tblCellSpacing w:w="15" w:type="dxa"/>
        </w:trPr>
        <w:tc>
          <w:tcPr>
            <w:tcW w:w="0" w:type="auto"/>
            <w:vAlign w:val="center"/>
            <w:hideMark/>
          </w:tcPr>
          <w:p w14:paraId="60389369" w14:textId="77777777" w:rsidR="00CF7ABE" w:rsidRPr="00B74E01" w:rsidRDefault="00CF7ABE" w:rsidP="00DC5B93">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Total geral considerado</w:t>
            </w:r>
          </w:p>
        </w:tc>
        <w:tc>
          <w:tcPr>
            <w:tcW w:w="0" w:type="auto"/>
            <w:vAlign w:val="center"/>
            <w:hideMark/>
          </w:tcPr>
          <w:p w14:paraId="757C0719" w14:textId="77777777" w:rsidR="00CF7ABE" w:rsidRPr="00B74E01" w:rsidRDefault="00CF7ABE" w:rsidP="00DC5B93">
            <w:pPr>
              <w:spacing w:after="0" w:line="360" w:lineRule="auto"/>
              <w:rPr>
                <w:rFonts w:eastAsia="Times New Roman" w:cs="Arial"/>
                <w:kern w:val="0"/>
                <w:lang w:eastAsia="pt-BR"/>
                <w14:ligatures w14:val="none"/>
              </w:rPr>
            </w:pPr>
          </w:p>
        </w:tc>
        <w:tc>
          <w:tcPr>
            <w:tcW w:w="0" w:type="auto"/>
            <w:vAlign w:val="center"/>
            <w:hideMark/>
          </w:tcPr>
          <w:p w14:paraId="32292FC3" w14:textId="77777777" w:rsidR="00CF7ABE" w:rsidRPr="00B74E01" w:rsidRDefault="00CF7ABE" w:rsidP="00DC5B93">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217 faturas</w:t>
            </w:r>
          </w:p>
        </w:tc>
        <w:tc>
          <w:tcPr>
            <w:tcW w:w="0" w:type="auto"/>
            <w:vAlign w:val="center"/>
            <w:hideMark/>
          </w:tcPr>
          <w:p w14:paraId="711A120C" w14:textId="77777777" w:rsidR="00CF7ABE" w:rsidRPr="00B74E01" w:rsidRDefault="00CF7ABE" w:rsidP="00DC5B93">
            <w:pPr>
              <w:spacing w:after="0" w:line="360" w:lineRule="auto"/>
              <w:rPr>
                <w:rFonts w:eastAsia="Times New Roman" w:cs="Arial"/>
                <w:kern w:val="0"/>
                <w:lang w:eastAsia="pt-BR"/>
                <w14:ligatures w14:val="none"/>
              </w:rPr>
            </w:pPr>
          </w:p>
        </w:tc>
        <w:tc>
          <w:tcPr>
            <w:tcW w:w="0" w:type="auto"/>
            <w:vAlign w:val="center"/>
            <w:hideMark/>
          </w:tcPr>
          <w:p w14:paraId="103337C5" w14:textId="77777777" w:rsidR="00CF7ABE" w:rsidRPr="00B74E01" w:rsidRDefault="00CF7ABE" w:rsidP="00DC5B93">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R$ 724.745,63</w:t>
            </w:r>
          </w:p>
        </w:tc>
      </w:tr>
    </w:tbl>
    <w:p w14:paraId="58D1C203" w14:textId="77777777" w:rsidR="00646F43" w:rsidRDefault="00646F43" w:rsidP="00646F43">
      <w:pPr>
        <w:ind w:firstLine="708"/>
        <w:rPr>
          <w:lang w:eastAsia="pt-BR"/>
        </w:rPr>
      </w:pPr>
    </w:p>
    <w:p w14:paraId="4F6FD2E0" w14:textId="65390DC2" w:rsidR="00CF7ABE" w:rsidRPr="00646F43" w:rsidRDefault="00CF7ABE" w:rsidP="00646F43">
      <w:pPr>
        <w:ind w:firstLine="708"/>
        <w:rPr>
          <w:b/>
          <w:bCs/>
          <w:lang w:eastAsia="pt-BR"/>
        </w:rPr>
      </w:pPr>
      <w:r w:rsidRPr="00646F43">
        <w:rPr>
          <w:b/>
          <w:bCs/>
          <w:lang w:eastAsia="pt-BR"/>
        </w:rPr>
        <w:t>Memória de cálculo</w:t>
      </w:r>
    </w:p>
    <w:p w14:paraId="0FF9A914" w14:textId="34FAD884"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[R$ 245.997,80 + R$ 11.389,56 + R$ 330.621,88 + R$ 92.965,18 + R$ 43.771,21 = R$ 724.745,63]</w:t>
      </w:r>
    </w:p>
    <w:p w14:paraId="77D8259A"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lastRenderedPageBreak/>
        <w:t xml:space="preserve">O valor de </w:t>
      </w:r>
      <w:r w:rsidRPr="00B74E01">
        <w:rPr>
          <w:rFonts w:eastAsia="Times New Roman" w:cs="Arial"/>
          <w:b/>
          <w:bCs/>
          <w:kern w:val="0"/>
          <w:lang w:eastAsia="pt-BR"/>
          <w14:ligatures w14:val="none"/>
        </w:rPr>
        <w:t>R$ 724.745,63/mês</w:t>
      </w:r>
      <w:r w:rsidRPr="00B74E01">
        <w:rPr>
          <w:rFonts w:eastAsia="Times New Roman" w:cs="Arial"/>
          <w:kern w:val="0"/>
          <w:lang w:eastAsia="pt-BR"/>
          <w14:ligatures w14:val="none"/>
        </w:rPr>
        <w:t xml:space="preserve"> representa a base de comparação da despesa energética municipal atualmente suportada, conforme os dados consolidados das faturas analisadas.</w:t>
      </w:r>
    </w:p>
    <w:p w14:paraId="15AAFCE7" w14:textId="77777777" w:rsidR="00CF7ABE" w:rsidRPr="00B74E01" w:rsidRDefault="00CF7ABE" w:rsidP="00DC5B93">
      <w:pPr>
        <w:pStyle w:val="Ttulo2"/>
        <w:rPr>
          <w:rFonts w:eastAsia="Times New Roman"/>
          <w:lang w:eastAsia="pt-BR"/>
        </w:rPr>
      </w:pPr>
      <w:bookmarkStart w:id="109" w:name="_Toc230204111"/>
      <w:r w:rsidRPr="00B74E01">
        <w:rPr>
          <w:rFonts w:eastAsia="Times New Roman"/>
          <w:lang w:eastAsia="pt-BR"/>
        </w:rPr>
        <w:t>10.3. Consumo energético considerado</w:t>
      </w:r>
      <w:bookmarkEnd w:id="109"/>
    </w:p>
    <w:p w14:paraId="5BB4F7B1"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Além do valor financeiro, a modelagem considera o consumo mensal consolidado de </w:t>
      </w:r>
      <w:r w:rsidRPr="00B74E01">
        <w:rPr>
          <w:rFonts w:eastAsia="Times New Roman" w:cs="Arial"/>
          <w:b/>
          <w:bCs/>
          <w:kern w:val="0"/>
          <w:lang w:eastAsia="pt-BR"/>
          <w14:ligatures w14:val="none"/>
        </w:rPr>
        <w:t>1.059.797 kWh/mês</w:t>
      </w:r>
      <w:r w:rsidRPr="00B74E01">
        <w:rPr>
          <w:rFonts w:eastAsia="Times New Roman" w:cs="Arial"/>
          <w:kern w:val="0"/>
          <w:lang w:eastAsia="pt-BR"/>
          <w14:ligatures w14:val="none"/>
        </w:rPr>
        <w:t>.</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697"/>
        <w:gridCol w:w="2284"/>
      </w:tblGrid>
      <w:tr w:rsidR="00CF7ABE" w:rsidRPr="00B74E01" w14:paraId="298D6DBF" w14:textId="77777777" w:rsidTr="009C2073">
        <w:trPr>
          <w:tblHeader/>
          <w:tblCellSpacing w:w="15" w:type="dxa"/>
        </w:trPr>
        <w:tc>
          <w:tcPr>
            <w:tcW w:w="0" w:type="auto"/>
            <w:vAlign w:val="center"/>
            <w:hideMark/>
          </w:tcPr>
          <w:p w14:paraId="488F2FF8" w14:textId="77777777" w:rsidR="00CF7ABE" w:rsidRPr="00B74E01" w:rsidRDefault="00CF7ABE" w:rsidP="00DC5B93">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Grupo</w:t>
            </w:r>
          </w:p>
        </w:tc>
        <w:tc>
          <w:tcPr>
            <w:tcW w:w="0" w:type="auto"/>
            <w:vAlign w:val="center"/>
            <w:hideMark/>
          </w:tcPr>
          <w:p w14:paraId="383021CC" w14:textId="77777777" w:rsidR="00CF7ABE" w:rsidRPr="00B74E01" w:rsidRDefault="00CF7ABE" w:rsidP="00DC5B93">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Consumo mensal</w:t>
            </w:r>
          </w:p>
        </w:tc>
      </w:tr>
      <w:tr w:rsidR="00CF7ABE" w:rsidRPr="00B74E01" w14:paraId="574B2D52" w14:textId="77777777" w:rsidTr="009C2073">
        <w:trPr>
          <w:tblCellSpacing w:w="15" w:type="dxa"/>
        </w:trPr>
        <w:tc>
          <w:tcPr>
            <w:tcW w:w="0" w:type="auto"/>
            <w:vAlign w:val="center"/>
            <w:hideMark/>
          </w:tcPr>
          <w:p w14:paraId="31B7FBAC" w14:textId="77777777" w:rsidR="00CF7ABE" w:rsidRPr="00B74E01" w:rsidRDefault="00CF7ABE" w:rsidP="00DC5B93">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Iluminação Pública</w:t>
            </w:r>
          </w:p>
        </w:tc>
        <w:tc>
          <w:tcPr>
            <w:tcW w:w="0" w:type="auto"/>
            <w:vAlign w:val="center"/>
            <w:hideMark/>
          </w:tcPr>
          <w:p w14:paraId="7A3ED3AA" w14:textId="77777777" w:rsidR="00CF7ABE" w:rsidRPr="00B74E01" w:rsidRDefault="00CF7ABE" w:rsidP="00DC5B93">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528.336 kWh/mês</w:t>
            </w:r>
          </w:p>
        </w:tc>
      </w:tr>
      <w:tr w:rsidR="00CF7ABE" w:rsidRPr="00B74E01" w14:paraId="0F56C204" w14:textId="77777777" w:rsidTr="009C2073">
        <w:trPr>
          <w:tblCellSpacing w:w="15" w:type="dxa"/>
        </w:trPr>
        <w:tc>
          <w:tcPr>
            <w:tcW w:w="0" w:type="auto"/>
            <w:vAlign w:val="center"/>
            <w:hideMark/>
          </w:tcPr>
          <w:p w14:paraId="7A1699B2" w14:textId="77777777" w:rsidR="00CF7ABE" w:rsidRPr="00B74E01" w:rsidRDefault="00CF7ABE" w:rsidP="00DC5B93">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Administração Municipal</w:t>
            </w:r>
          </w:p>
        </w:tc>
        <w:tc>
          <w:tcPr>
            <w:tcW w:w="0" w:type="auto"/>
            <w:vAlign w:val="center"/>
            <w:hideMark/>
          </w:tcPr>
          <w:p w14:paraId="50134BFB" w14:textId="77777777" w:rsidR="00CF7ABE" w:rsidRPr="00B74E01" w:rsidRDefault="00CF7ABE" w:rsidP="00DC5B93">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377.420 kWh/mês</w:t>
            </w:r>
          </w:p>
        </w:tc>
      </w:tr>
      <w:tr w:rsidR="00CF7ABE" w:rsidRPr="00B74E01" w14:paraId="3FB79A29" w14:textId="77777777" w:rsidTr="009C2073">
        <w:trPr>
          <w:tblCellSpacing w:w="15" w:type="dxa"/>
        </w:trPr>
        <w:tc>
          <w:tcPr>
            <w:tcW w:w="0" w:type="auto"/>
            <w:vAlign w:val="center"/>
            <w:hideMark/>
          </w:tcPr>
          <w:p w14:paraId="0E5DC12A" w14:textId="77777777" w:rsidR="00CF7ABE" w:rsidRPr="00B74E01" w:rsidRDefault="00CF7ABE" w:rsidP="00DC5B93">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Educação</w:t>
            </w:r>
          </w:p>
        </w:tc>
        <w:tc>
          <w:tcPr>
            <w:tcW w:w="0" w:type="auto"/>
            <w:vAlign w:val="center"/>
            <w:hideMark/>
          </w:tcPr>
          <w:p w14:paraId="3DC81417" w14:textId="77777777" w:rsidR="00CF7ABE" w:rsidRPr="00B74E01" w:rsidRDefault="00CF7ABE" w:rsidP="00DC5B93">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104.388 kWh/mês</w:t>
            </w:r>
          </w:p>
        </w:tc>
      </w:tr>
      <w:tr w:rsidR="00CF7ABE" w:rsidRPr="00B74E01" w14:paraId="6545C78B" w14:textId="77777777" w:rsidTr="009C2073">
        <w:trPr>
          <w:tblCellSpacing w:w="15" w:type="dxa"/>
        </w:trPr>
        <w:tc>
          <w:tcPr>
            <w:tcW w:w="0" w:type="auto"/>
            <w:vAlign w:val="center"/>
            <w:hideMark/>
          </w:tcPr>
          <w:p w14:paraId="01A1EEA4" w14:textId="77777777" w:rsidR="00CF7ABE" w:rsidRPr="00B74E01" w:rsidRDefault="00CF7ABE" w:rsidP="00DC5B93">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Saúde</w:t>
            </w:r>
          </w:p>
        </w:tc>
        <w:tc>
          <w:tcPr>
            <w:tcW w:w="0" w:type="auto"/>
            <w:vAlign w:val="center"/>
            <w:hideMark/>
          </w:tcPr>
          <w:p w14:paraId="3C4CB197" w14:textId="77777777" w:rsidR="00CF7ABE" w:rsidRPr="00B74E01" w:rsidRDefault="00CF7ABE" w:rsidP="00DC5B93">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49.653 kWh/mês</w:t>
            </w:r>
          </w:p>
        </w:tc>
      </w:tr>
      <w:tr w:rsidR="00CF7ABE" w:rsidRPr="00B74E01" w14:paraId="25BFDAF2" w14:textId="77777777" w:rsidTr="009C2073">
        <w:trPr>
          <w:tblCellSpacing w:w="15" w:type="dxa"/>
        </w:trPr>
        <w:tc>
          <w:tcPr>
            <w:tcW w:w="0" w:type="auto"/>
            <w:vAlign w:val="center"/>
            <w:hideMark/>
          </w:tcPr>
          <w:p w14:paraId="4105150F" w14:textId="77777777" w:rsidR="00CF7ABE" w:rsidRPr="00B74E01" w:rsidRDefault="00CF7ABE" w:rsidP="00DC5B93">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Total consolidado</w:t>
            </w:r>
          </w:p>
        </w:tc>
        <w:tc>
          <w:tcPr>
            <w:tcW w:w="0" w:type="auto"/>
            <w:vAlign w:val="center"/>
            <w:hideMark/>
          </w:tcPr>
          <w:p w14:paraId="7B05BA0F" w14:textId="77777777" w:rsidR="00CF7ABE" w:rsidRPr="00B74E01" w:rsidRDefault="00CF7ABE" w:rsidP="00DC5B93">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1.059.797 kWh/mês</w:t>
            </w:r>
          </w:p>
        </w:tc>
      </w:tr>
    </w:tbl>
    <w:p w14:paraId="52422A27" w14:textId="77777777" w:rsidR="00646F43" w:rsidRDefault="00646F43" w:rsidP="00646F43">
      <w:pPr>
        <w:ind w:firstLine="708"/>
        <w:rPr>
          <w:b/>
          <w:bCs/>
          <w:lang w:eastAsia="pt-BR"/>
        </w:rPr>
      </w:pPr>
    </w:p>
    <w:p w14:paraId="4C3F3561" w14:textId="585BBBD8" w:rsidR="00CF7ABE" w:rsidRPr="00646F43" w:rsidRDefault="00CF7ABE" w:rsidP="00646F43">
      <w:pPr>
        <w:ind w:firstLine="708"/>
        <w:rPr>
          <w:b/>
          <w:bCs/>
          <w:lang w:eastAsia="pt-BR"/>
        </w:rPr>
      </w:pPr>
      <w:r w:rsidRPr="00646F43">
        <w:rPr>
          <w:b/>
          <w:bCs/>
          <w:lang w:eastAsia="pt-BR"/>
        </w:rPr>
        <w:t>Memória de cálculo</w:t>
      </w:r>
    </w:p>
    <w:p w14:paraId="2FEF9E4F" w14:textId="3F128108"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[528.336 + 377.420 + 104.388 + 49.653 = 1.059.797 \</w:t>
      </w:r>
      <w:proofErr w:type="spellStart"/>
      <w:proofErr w:type="gramStart"/>
      <w:r w:rsidRPr="00B74E01">
        <w:rPr>
          <w:rFonts w:eastAsia="Times New Roman" w:cs="Arial"/>
          <w:kern w:val="0"/>
          <w:lang w:eastAsia="pt-BR"/>
          <w14:ligatures w14:val="none"/>
        </w:rPr>
        <w:t>text</w:t>
      </w:r>
      <w:proofErr w:type="spellEnd"/>
      <w:r w:rsidRPr="00B74E01">
        <w:rPr>
          <w:rFonts w:eastAsia="Times New Roman" w:cs="Arial"/>
          <w:kern w:val="0"/>
          <w:lang w:eastAsia="pt-BR"/>
          <w14:ligatures w14:val="none"/>
        </w:rPr>
        <w:t>{ kWh</w:t>
      </w:r>
      <w:proofErr w:type="gramEnd"/>
      <w:r w:rsidRPr="00B74E01">
        <w:rPr>
          <w:rFonts w:eastAsia="Times New Roman" w:cs="Arial"/>
          <w:kern w:val="0"/>
          <w:lang w:eastAsia="pt-BR"/>
          <w14:ligatures w14:val="none"/>
        </w:rPr>
        <w:t>/mês}]</w:t>
      </w:r>
    </w:p>
    <w:p w14:paraId="16990EE6"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apresentação do consumo em kWh é importante porque permite calcular o custo médio atual da energia e o custo médio equivalente da remuneração proposta à SPE.</w:t>
      </w:r>
    </w:p>
    <w:p w14:paraId="2C92F061" w14:textId="77777777" w:rsidR="00CF7ABE" w:rsidRPr="00B74E01" w:rsidRDefault="00CF7ABE" w:rsidP="00DC5B93">
      <w:pPr>
        <w:pStyle w:val="Ttulo2"/>
        <w:rPr>
          <w:rFonts w:eastAsia="Times New Roman"/>
          <w:lang w:eastAsia="pt-BR"/>
        </w:rPr>
      </w:pPr>
      <w:bookmarkStart w:id="110" w:name="_Toc230204112"/>
      <w:r w:rsidRPr="00B74E01">
        <w:rPr>
          <w:rFonts w:eastAsia="Times New Roman"/>
          <w:lang w:eastAsia="pt-BR"/>
        </w:rPr>
        <w:t>10.4. Custo médio atual da energia</w:t>
      </w:r>
      <w:bookmarkEnd w:id="110"/>
    </w:p>
    <w:p w14:paraId="1C1C879E"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Considerando o valor total pago à distribuidora e o consumo consolidado, o custo médio atual da energia elétrica municipal é de </w:t>
      </w:r>
      <w:r w:rsidRPr="00B74E01">
        <w:rPr>
          <w:rFonts w:eastAsia="Times New Roman" w:cs="Arial"/>
          <w:b/>
          <w:bCs/>
          <w:kern w:val="0"/>
          <w:lang w:eastAsia="pt-BR"/>
          <w14:ligatures w14:val="none"/>
        </w:rPr>
        <w:t>R$ 0,68385/kWh</w:t>
      </w:r>
      <w:r w:rsidRPr="00B74E01">
        <w:rPr>
          <w:rFonts w:eastAsia="Times New Roman" w:cs="Arial"/>
          <w:kern w:val="0"/>
          <w:lang w:eastAsia="pt-BR"/>
          <w14:ligatures w14:val="none"/>
        </w:rPr>
        <w:t>.</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337"/>
        <w:gridCol w:w="1910"/>
      </w:tblGrid>
      <w:tr w:rsidR="00CF7ABE" w:rsidRPr="00B74E01" w14:paraId="6683CBF7" w14:textId="77777777" w:rsidTr="009C2073">
        <w:trPr>
          <w:tblHeader/>
          <w:tblCellSpacing w:w="15" w:type="dxa"/>
        </w:trPr>
        <w:tc>
          <w:tcPr>
            <w:tcW w:w="0" w:type="auto"/>
            <w:vAlign w:val="center"/>
            <w:hideMark/>
          </w:tcPr>
          <w:p w14:paraId="0D8B6BBA" w14:textId="77777777" w:rsidR="00CF7ABE" w:rsidRPr="00B74E01" w:rsidRDefault="00CF7ABE" w:rsidP="0005013F">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Indicador</w:t>
            </w:r>
          </w:p>
        </w:tc>
        <w:tc>
          <w:tcPr>
            <w:tcW w:w="0" w:type="auto"/>
            <w:vAlign w:val="center"/>
            <w:hideMark/>
          </w:tcPr>
          <w:p w14:paraId="38B0824E" w14:textId="77777777" w:rsidR="00CF7ABE" w:rsidRPr="00B74E01" w:rsidRDefault="00CF7ABE" w:rsidP="0005013F">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w:t>
            </w:r>
          </w:p>
        </w:tc>
      </w:tr>
      <w:tr w:rsidR="00CF7ABE" w:rsidRPr="00B74E01" w14:paraId="6C1ACD90" w14:textId="77777777" w:rsidTr="009C2073">
        <w:trPr>
          <w:tblCellSpacing w:w="15" w:type="dxa"/>
        </w:trPr>
        <w:tc>
          <w:tcPr>
            <w:tcW w:w="0" w:type="auto"/>
            <w:vAlign w:val="center"/>
            <w:hideMark/>
          </w:tcPr>
          <w:p w14:paraId="6934B691"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Valor mensal pago à Coelba</w:t>
            </w:r>
          </w:p>
        </w:tc>
        <w:tc>
          <w:tcPr>
            <w:tcW w:w="0" w:type="auto"/>
            <w:vAlign w:val="center"/>
            <w:hideMark/>
          </w:tcPr>
          <w:p w14:paraId="264CD1D6"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R$ 724.745,63</w:t>
            </w:r>
          </w:p>
        </w:tc>
      </w:tr>
      <w:tr w:rsidR="00CF7ABE" w:rsidRPr="00B74E01" w14:paraId="05E7B094" w14:textId="77777777" w:rsidTr="009C2073">
        <w:trPr>
          <w:tblCellSpacing w:w="15" w:type="dxa"/>
        </w:trPr>
        <w:tc>
          <w:tcPr>
            <w:tcW w:w="0" w:type="auto"/>
            <w:vAlign w:val="center"/>
            <w:hideMark/>
          </w:tcPr>
          <w:p w14:paraId="5B4D10CF"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Consumo mensal considerado</w:t>
            </w:r>
          </w:p>
        </w:tc>
        <w:tc>
          <w:tcPr>
            <w:tcW w:w="0" w:type="auto"/>
            <w:vAlign w:val="center"/>
            <w:hideMark/>
          </w:tcPr>
          <w:p w14:paraId="368ACD03"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1.059.797 kWh</w:t>
            </w:r>
          </w:p>
        </w:tc>
      </w:tr>
      <w:tr w:rsidR="00CF7ABE" w:rsidRPr="00B74E01" w14:paraId="258ABF76" w14:textId="77777777" w:rsidTr="009C2073">
        <w:trPr>
          <w:tblCellSpacing w:w="15" w:type="dxa"/>
        </w:trPr>
        <w:tc>
          <w:tcPr>
            <w:tcW w:w="0" w:type="auto"/>
            <w:vAlign w:val="center"/>
            <w:hideMark/>
          </w:tcPr>
          <w:p w14:paraId="246DD1FE"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Custo médio atual</w:t>
            </w:r>
          </w:p>
        </w:tc>
        <w:tc>
          <w:tcPr>
            <w:tcW w:w="0" w:type="auto"/>
            <w:vAlign w:val="center"/>
            <w:hideMark/>
          </w:tcPr>
          <w:p w14:paraId="241DC7E7"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R$ 0,68385/kWh</w:t>
            </w:r>
          </w:p>
        </w:tc>
      </w:tr>
    </w:tbl>
    <w:p w14:paraId="3C83D3E9" w14:textId="77777777" w:rsidR="00A8534E" w:rsidRDefault="00A8534E" w:rsidP="00A8534E">
      <w:pPr>
        <w:rPr>
          <w:lang w:eastAsia="pt-BR"/>
        </w:rPr>
      </w:pPr>
    </w:p>
    <w:p w14:paraId="56DFE3D6" w14:textId="3C62FCAA" w:rsidR="00CF7ABE" w:rsidRPr="00A8534E" w:rsidRDefault="00CF7ABE" w:rsidP="00A8534E">
      <w:pPr>
        <w:ind w:firstLine="708"/>
        <w:rPr>
          <w:b/>
          <w:bCs/>
          <w:lang w:eastAsia="pt-BR"/>
        </w:rPr>
      </w:pPr>
      <w:r w:rsidRPr="00A8534E">
        <w:rPr>
          <w:b/>
          <w:bCs/>
          <w:lang w:eastAsia="pt-BR"/>
        </w:rPr>
        <w:lastRenderedPageBreak/>
        <w:t>Memória de cálculo</w:t>
      </w:r>
    </w:p>
    <w:p w14:paraId="66347E01" w14:textId="738AEDA6"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[R$ 724.745,63 \</w:t>
      </w:r>
      <w:proofErr w:type="spellStart"/>
      <w:r w:rsidRPr="00B74E01">
        <w:rPr>
          <w:rFonts w:eastAsia="Times New Roman" w:cs="Arial"/>
          <w:kern w:val="0"/>
          <w:lang w:eastAsia="pt-BR"/>
          <w14:ligatures w14:val="none"/>
        </w:rPr>
        <w:t>div</w:t>
      </w:r>
      <w:proofErr w:type="spellEnd"/>
      <w:r w:rsidRPr="00B74E01">
        <w:rPr>
          <w:rFonts w:eastAsia="Times New Roman" w:cs="Arial"/>
          <w:kern w:val="0"/>
          <w:lang w:eastAsia="pt-BR"/>
          <w14:ligatures w14:val="none"/>
        </w:rPr>
        <w:t xml:space="preserve"> 1.059.797 \</w:t>
      </w:r>
      <w:proofErr w:type="spellStart"/>
      <w:proofErr w:type="gramStart"/>
      <w:r w:rsidRPr="00B74E01">
        <w:rPr>
          <w:rFonts w:eastAsia="Times New Roman" w:cs="Arial"/>
          <w:kern w:val="0"/>
          <w:lang w:eastAsia="pt-BR"/>
          <w14:ligatures w14:val="none"/>
        </w:rPr>
        <w:t>text</w:t>
      </w:r>
      <w:proofErr w:type="spellEnd"/>
      <w:r w:rsidRPr="00B74E01">
        <w:rPr>
          <w:rFonts w:eastAsia="Times New Roman" w:cs="Arial"/>
          <w:kern w:val="0"/>
          <w:lang w:eastAsia="pt-BR"/>
          <w14:ligatures w14:val="none"/>
        </w:rPr>
        <w:t>{ kWh</w:t>
      </w:r>
      <w:proofErr w:type="gramEnd"/>
      <w:r w:rsidRPr="00B74E01">
        <w:rPr>
          <w:rFonts w:eastAsia="Times New Roman" w:cs="Arial"/>
          <w:kern w:val="0"/>
          <w:lang w:eastAsia="pt-BR"/>
          <w14:ligatures w14:val="none"/>
        </w:rPr>
        <w:t>} = R$ 0,68385/kWh]</w:t>
      </w:r>
    </w:p>
    <w:p w14:paraId="06D2D079"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Esse valor é o parâmetro de referência da situação atual. Ele inclui os componentes efetivamente constantes nas faturas consideradas, tal como aparecem no valor total indicado para pagamento.</w:t>
      </w:r>
    </w:p>
    <w:p w14:paraId="36213AB9" w14:textId="77777777" w:rsidR="00CF7ABE" w:rsidRPr="00B74E01" w:rsidRDefault="00CF7ABE" w:rsidP="0005013F">
      <w:pPr>
        <w:pStyle w:val="Ttulo2"/>
        <w:rPr>
          <w:rFonts w:eastAsia="Times New Roman"/>
          <w:lang w:eastAsia="pt-BR"/>
        </w:rPr>
      </w:pPr>
      <w:bookmarkStart w:id="111" w:name="_Toc230204113"/>
      <w:r w:rsidRPr="00B74E01">
        <w:rPr>
          <w:rFonts w:eastAsia="Times New Roman"/>
          <w:lang w:eastAsia="pt-BR"/>
        </w:rPr>
        <w:t>10.5. Remuneração da SPE pela disponibilização energética</w:t>
      </w:r>
      <w:bookmarkEnd w:id="111"/>
    </w:p>
    <w:p w14:paraId="33D6A665"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 modelagem considera remuneração mensal da SPE de </w:t>
      </w:r>
      <w:r w:rsidRPr="00B74E01">
        <w:rPr>
          <w:rFonts w:eastAsia="Times New Roman" w:cs="Arial"/>
          <w:b/>
          <w:bCs/>
          <w:kern w:val="0"/>
          <w:lang w:eastAsia="pt-BR"/>
          <w14:ligatures w14:val="none"/>
        </w:rPr>
        <w:t>R$ 468.910,42</w:t>
      </w:r>
      <w:r w:rsidRPr="00B74E01">
        <w:rPr>
          <w:rFonts w:eastAsia="Times New Roman" w:cs="Arial"/>
          <w:kern w:val="0"/>
          <w:lang w:eastAsia="pt-BR"/>
          <w14:ligatures w14:val="none"/>
        </w:rPr>
        <w:t xml:space="preserve"> pela disponibilização de capacidade energética renovável ao Município.</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830"/>
        <w:gridCol w:w="1910"/>
      </w:tblGrid>
      <w:tr w:rsidR="00CF7ABE" w:rsidRPr="00B74E01" w14:paraId="5E91787C" w14:textId="77777777" w:rsidTr="009C2073">
        <w:trPr>
          <w:tblHeader/>
          <w:tblCellSpacing w:w="15" w:type="dxa"/>
        </w:trPr>
        <w:tc>
          <w:tcPr>
            <w:tcW w:w="0" w:type="auto"/>
            <w:vAlign w:val="center"/>
            <w:hideMark/>
          </w:tcPr>
          <w:p w14:paraId="4CBA4CB4" w14:textId="77777777" w:rsidR="00CF7ABE" w:rsidRPr="00B74E01" w:rsidRDefault="00CF7ABE" w:rsidP="0005013F">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Indicador</w:t>
            </w:r>
          </w:p>
        </w:tc>
        <w:tc>
          <w:tcPr>
            <w:tcW w:w="0" w:type="auto"/>
            <w:vAlign w:val="center"/>
            <w:hideMark/>
          </w:tcPr>
          <w:p w14:paraId="221D7154" w14:textId="77777777" w:rsidR="00CF7ABE" w:rsidRPr="00B74E01" w:rsidRDefault="00CF7ABE" w:rsidP="0005013F">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w:t>
            </w:r>
          </w:p>
        </w:tc>
      </w:tr>
      <w:tr w:rsidR="00CF7ABE" w:rsidRPr="00B74E01" w14:paraId="18946933" w14:textId="77777777" w:rsidTr="009C2073">
        <w:trPr>
          <w:tblCellSpacing w:w="15" w:type="dxa"/>
        </w:trPr>
        <w:tc>
          <w:tcPr>
            <w:tcW w:w="0" w:type="auto"/>
            <w:vAlign w:val="center"/>
            <w:hideMark/>
          </w:tcPr>
          <w:p w14:paraId="0DC80624"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Remuneração mensal da SPE</w:t>
            </w:r>
          </w:p>
        </w:tc>
        <w:tc>
          <w:tcPr>
            <w:tcW w:w="0" w:type="auto"/>
            <w:vAlign w:val="center"/>
            <w:hideMark/>
          </w:tcPr>
          <w:p w14:paraId="4DA0456E"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R$ 468.910,42</w:t>
            </w:r>
          </w:p>
        </w:tc>
      </w:tr>
      <w:tr w:rsidR="00CF7ABE" w:rsidRPr="00B74E01" w14:paraId="01E46C19" w14:textId="77777777" w:rsidTr="009C2073">
        <w:trPr>
          <w:tblCellSpacing w:w="15" w:type="dxa"/>
        </w:trPr>
        <w:tc>
          <w:tcPr>
            <w:tcW w:w="0" w:type="auto"/>
            <w:vAlign w:val="center"/>
            <w:hideMark/>
          </w:tcPr>
          <w:p w14:paraId="10949402"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Consumo mensal considerado</w:t>
            </w:r>
          </w:p>
        </w:tc>
        <w:tc>
          <w:tcPr>
            <w:tcW w:w="0" w:type="auto"/>
            <w:vAlign w:val="center"/>
            <w:hideMark/>
          </w:tcPr>
          <w:p w14:paraId="2EFED955"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1.059.797 kWh</w:t>
            </w:r>
          </w:p>
        </w:tc>
      </w:tr>
      <w:tr w:rsidR="00CF7ABE" w:rsidRPr="00B74E01" w14:paraId="4CF0BE36" w14:textId="77777777" w:rsidTr="009C2073">
        <w:trPr>
          <w:tblCellSpacing w:w="15" w:type="dxa"/>
        </w:trPr>
        <w:tc>
          <w:tcPr>
            <w:tcW w:w="0" w:type="auto"/>
            <w:vAlign w:val="center"/>
            <w:hideMark/>
          </w:tcPr>
          <w:p w14:paraId="3313A2DF"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Custo médio equivalente da SPE</w:t>
            </w:r>
          </w:p>
        </w:tc>
        <w:tc>
          <w:tcPr>
            <w:tcW w:w="0" w:type="auto"/>
            <w:vAlign w:val="center"/>
            <w:hideMark/>
          </w:tcPr>
          <w:p w14:paraId="135C09CD"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R$ 0,44246/kWh</w:t>
            </w:r>
          </w:p>
        </w:tc>
      </w:tr>
    </w:tbl>
    <w:p w14:paraId="24912C0C" w14:textId="77777777" w:rsidR="00A8534E" w:rsidRDefault="00A8534E" w:rsidP="00A8534E">
      <w:pPr>
        <w:rPr>
          <w:lang w:eastAsia="pt-BR"/>
        </w:rPr>
      </w:pPr>
    </w:p>
    <w:p w14:paraId="4ABDF50F" w14:textId="000A41F6" w:rsidR="00CF7ABE" w:rsidRPr="00A8534E" w:rsidRDefault="00CF7ABE" w:rsidP="00A8534E">
      <w:pPr>
        <w:ind w:firstLine="708"/>
        <w:rPr>
          <w:b/>
          <w:bCs/>
          <w:lang w:eastAsia="pt-BR"/>
        </w:rPr>
      </w:pPr>
      <w:r w:rsidRPr="00A8534E">
        <w:rPr>
          <w:b/>
          <w:bCs/>
          <w:lang w:eastAsia="pt-BR"/>
        </w:rPr>
        <w:t>Memória de cálculo</w:t>
      </w:r>
    </w:p>
    <w:p w14:paraId="746F1950" w14:textId="333861A9"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[R$ 468.910,42 \</w:t>
      </w:r>
      <w:proofErr w:type="spellStart"/>
      <w:r w:rsidRPr="00B74E01">
        <w:rPr>
          <w:rFonts w:eastAsia="Times New Roman" w:cs="Arial"/>
          <w:kern w:val="0"/>
          <w:lang w:eastAsia="pt-BR"/>
          <w14:ligatures w14:val="none"/>
        </w:rPr>
        <w:t>div</w:t>
      </w:r>
      <w:proofErr w:type="spellEnd"/>
      <w:r w:rsidRPr="00B74E01">
        <w:rPr>
          <w:rFonts w:eastAsia="Times New Roman" w:cs="Arial"/>
          <w:kern w:val="0"/>
          <w:lang w:eastAsia="pt-BR"/>
          <w14:ligatures w14:val="none"/>
        </w:rPr>
        <w:t xml:space="preserve"> 1.059.797 \</w:t>
      </w:r>
      <w:proofErr w:type="spellStart"/>
      <w:proofErr w:type="gramStart"/>
      <w:r w:rsidRPr="00B74E01">
        <w:rPr>
          <w:rFonts w:eastAsia="Times New Roman" w:cs="Arial"/>
          <w:kern w:val="0"/>
          <w:lang w:eastAsia="pt-BR"/>
          <w14:ligatures w14:val="none"/>
        </w:rPr>
        <w:t>text</w:t>
      </w:r>
      <w:proofErr w:type="spellEnd"/>
      <w:r w:rsidRPr="00B74E01">
        <w:rPr>
          <w:rFonts w:eastAsia="Times New Roman" w:cs="Arial"/>
          <w:kern w:val="0"/>
          <w:lang w:eastAsia="pt-BR"/>
          <w14:ligatures w14:val="none"/>
        </w:rPr>
        <w:t>{ kWh</w:t>
      </w:r>
      <w:proofErr w:type="gramEnd"/>
      <w:r w:rsidRPr="00B74E01">
        <w:rPr>
          <w:rFonts w:eastAsia="Times New Roman" w:cs="Arial"/>
          <w:kern w:val="0"/>
          <w:lang w:eastAsia="pt-BR"/>
          <w14:ligatures w14:val="none"/>
        </w:rPr>
        <w:t>} = R$ 0,44246/kWh]</w:t>
      </w:r>
    </w:p>
    <w:p w14:paraId="652AFC3C"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Esse valor não deve ser apresentado como simples venda direta de energia elétrica. A redação recomendada é </w:t>
      </w:r>
      <w:r w:rsidRPr="00B74E01">
        <w:rPr>
          <w:rFonts w:eastAsia="Times New Roman" w:cs="Arial"/>
          <w:b/>
          <w:bCs/>
          <w:kern w:val="0"/>
          <w:lang w:eastAsia="pt-BR"/>
          <w14:ligatures w14:val="none"/>
        </w:rPr>
        <w:t>disponibilização de capacidade energética renovável</w:t>
      </w:r>
      <w:r w:rsidRPr="00B74E01">
        <w:rPr>
          <w:rFonts w:eastAsia="Times New Roman" w:cs="Arial"/>
          <w:kern w:val="0"/>
          <w:lang w:eastAsia="pt-BR"/>
          <w14:ligatures w14:val="none"/>
        </w:rPr>
        <w:t>, vinculada à solução integrada da PPP e disciplinada pelo edital, contrato e matriz de riscos.</w:t>
      </w:r>
    </w:p>
    <w:p w14:paraId="61035C47" w14:textId="77777777" w:rsidR="00CF7ABE" w:rsidRPr="00B74E01" w:rsidRDefault="00CF7ABE" w:rsidP="0005013F">
      <w:pPr>
        <w:pStyle w:val="Ttulo2"/>
        <w:rPr>
          <w:rFonts w:eastAsia="Times New Roman"/>
          <w:lang w:eastAsia="pt-BR"/>
        </w:rPr>
      </w:pPr>
      <w:bookmarkStart w:id="112" w:name="_Toc230204114"/>
      <w:r w:rsidRPr="00B74E01">
        <w:rPr>
          <w:rFonts w:eastAsia="Times New Roman"/>
          <w:lang w:eastAsia="pt-BR"/>
        </w:rPr>
        <w:t>10.6. Economia energética estimada</w:t>
      </w:r>
      <w:bookmarkEnd w:id="112"/>
    </w:p>
    <w:p w14:paraId="58F80534"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economia energética estimada corresponde à diferença entre o valor atualmente pago à distribuidora e a remuneração mensal prevista à SPE.</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098"/>
        <w:gridCol w:w="1985"/>
        <w:gridCol w:w="1978"/>
      </w:tblGrid>
      <w:tr w:rsidR="00CF7ABE" w:rsidRPr="00B74E01" w14:paraId="3E2FD1BF" w14:textId="77777777" w:rsidTr="0005013F">
        <w:trPr>
          <w:tblHeader/>
          <w:tblCellSpacing w:w="15" w:type="dxa"/>
        </w:trPr>
        <w:tc>
          <w:tcPr>
            <w:tcW w:w="5053" w:type="dxa"/>
            <w:vAlign w:val="center"/>
            <w:hideMark/>
          </w:tcPr>
          <w:p w14:paraId="3DEC8DEF" w14:textId="77777777" w:rsidR="00CF7ABE" w:rsidRPr="00B74E01" w:rsidRDefault="00CF7ABE" w:rsidP="0005013F">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Item</w:t>
            </w:r>
          </w:p>
        </w:tc>
        <w:tc>
          <w:tcPr>
            <w:tcW w:w="1955" w:type="dxa"/>
            <w:vAlign w:val="center"/>
            <w:hideMark/>
          </w:tcPr>
          <w:p w14:paraId="370DCED6" w14:textId="77777777" w:rsidR="00CF7ABE" w:rsidRPr="00B74E01" w:rsidRDefault="00CF7ABE" w:rsidP="0005013F">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 mensal</w:t>
            </w:r>
          </w:p>
        </w:tc>
        <w:tc>
          <w:tcPr>
            <w:tcW w:w="1933" w:type="dxa"/>
            <w:vAlign w:val="center"/>
            <w:hideMark/>
          </w:tcPr>
          <w:p w14:paraId="27C4A662" w14:textId="77777777" w:rsidR="00CF7ABE" w:rsidRPr="00B74E01" w:rsidRDefault="00CF7ABE" w:rsidP="0005013F">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 anual</w:t>
            </w:r>
          </w:p>
        </w:tc>
      </w:tr>
      <w:tr w:rsidR="00CF7ABE" w:rsidRPr="00B74E01" w14:paraId="6BF1B8E8" w14:textId="77777777" w:rsidTr="0005013F">
        <w:trPr>
          <w:tblCellSpacing w:w="15" w:type="dxa"/>
        </w:trPr>
        <w:tc>
          <w:tcPr>
            <w:tcW w:w="5053" w:type="dxa"/>
            <w:vAlign w:val="center"/>
            <w:hideMark/>
          </w:tcPr>
          <w:p w14:paraId="4B8E658D"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Despesa atual de energia do Município</w:t>
            </w:r>
          </w:p>
        </w:tc>
        <w:tc>
          <w:tcPr>
            <w:tcW w:w="1955" w:type="dxa"/>
            <w:vAlign w:val="center"/>
            <w:hideMark/>
          </w:tcPr>
          <w:p w14:paraId="30DAB1E8"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R$ 724.745,63</w:t>
            </w:r>
          </w:p>
        </w:tc>
        <w:tc>
          <w:tcPr>
            <w:tcW w:w="1933" w:type="dxa"/>
            <w:vAlign w:val="center"/>
            <w:hideMark/>
          </w:tcPr>
          <w:p w14:paraId="50E7E965"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R$ 8.696.947,56</w:t>
            </w:r>
          </w:p>
        </w:tc>
      </w:tr>
      <w:tr w:rsidR="00CF7ABE" w:rsidRPr="00B74E01" w14:paraId="1E2A35A4" w14:textId="77777777" w:rsidTr="0005013F">
        <w:trPr>
          <w:tblCellSpacing w:w="15" w:type="dxa"/>
        </w:trPr>
        <w:tc>
          <w:tcPr>
            <w:tcW w:w="5053" w:type="dxa"/>
            <w:vAlign w:val="center"/>
            <w:hideMark/>
          </w:tcPr>
          <w:p w14:paraId="334F87BB"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lastRenderedPageBreak/>
              <w:t>Remuneração da SPE pela disponibilização energética</w:t>
            </w:r>
          </w:p>
        </w:tc>
        <w:tc>
          <w:tcPr>
            <w:tcW w:w="1955" w:type="dxa"/>
            <w:vAlign w:val="center"/>
            <w:hideMark/>
          </w:tcPr>
          <w:p w14:paraId="0D16D6B2"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R$ 468.910,42</w:t>
            </w:r>
          </w:p>
        </w:tc>
        <w:tc>
          <w:tcPr>
            <w:tcW w:w="1933" w:type="dxa"/>
            <w:vAlign w:val="center"/>
            <w:hideMark/>
          </w:tcPr>
          <w:p w14:paraId="40372243"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R$ 5.626.925,04</w:t>
            </w:r>
          </w:p>
        </w:tc>
      </w:tr>
      <w:tr w:rsidR="00CF7ABE" w:rsidRPr="00B74E01" w14:paraId="78F5AC2F" w14:textId="77777777" w:rsidTr="0005013F">
        <w:trPr>
          <w:tblCellSpacing w:w="15" w:type="dxa"/>
        </w:trPr>
        <w:tc>
          <w:tcPr>
            <w:tcW w:w="5053" w:type="dxa"/>
            <w:vAlign w:val="center"/>
            <w:hideMark/>
          </w:tcPr>
          <w:p w14:paraId="54588B20"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Economia estimada ao Município</w:t>
            </w:r>
          </w:p>
        </w:tc>
        <w:tc>
          <w:tcPr>
            <w:tcW w:w="1955" w:type="dxa"/>
            <w:vAlign w:val="center"/>
            <w:hideMark/>
          </w:tcPr>
          <w:p w14:paraId="63DE2D74"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R$ 255.835,21</w:t>
            </w:r>
          </w:p>
        </w:tc>
        <w:tc>
          <w:tcPr>
            <w:tcW w:w="1933" w:type="dxa"/>
            <w:vAlign w:val="center"/>
            <w:hideMark/>
          </w:tcPr>
          <w:p w14:paraId="5D82AB62"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R$ 3.070.022,52</w:t>
            </w:r>
          </w:p>
        </w:tc>
      </w:tr>
    </w:tbl>
    <w:p w14:paraId="124A9B29" w14:textId="77777777" w:rsidR="00A8534E" w:rsidRDefault="00A8534E" w:rsidP="00A8534E">
      <w:pPr>
        <w:ind w:firstLine="708"/>
        <w:rPr>
          <w:b/>
          <w:bCs/>
          <w:lang w:eastAsia="pt-BR"/>
        </w:rPr>
      </w:pPr>
    </w:p>
    <w:p w14:paraId="03DB8243" w14:textId="14BF847E" w:rsidR="00CF7ABE" w:rsidRPr="00A8534E" w:rsidRDefault="00CF7ABE" w:rsidP="00A8534E">
      <w:pPr>
        <w:ind w:firstLine="708"/>
        <w:rPr>
          <w:b/>
          <w:bCs/>
          <w:lang w:eastAsia="pt-BR"/>
        </w:rPr>
      </w:pPr>
      <w:r w:rsidRPr="00A8534E">
        <w:rPr>
          <w:b/>
          <w:bCs/>
          <w:lang w:eastAsia="pt-BR"/>
        </w:rPr>
        <w:t>Memória de cálculo mensal</w:t>
      </w:r>
    </w:p>
    <w:p w14:paraId="1720E922" w14:textId="58AE6F8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[R$ 724.745,63 - R$ 468.910,42 = R$ 255.835,21]</w:t>
      </w:r>
    </w:p>
    <w:p w14:paraId="649C77F2" w14:textId="77777777" w:rsidR="00CF7ABE" w:rsidRPr="00A8534E" w:rsidRDefault="00CF7ABE" w:rsidP="00A8534E">
      <w:pPr>
        <w:ind w:firstLine="708"/>
        <w:rPr>
          <w:b/>
          <w:bCs/>
          <w:lang w:eastAsia="pt-BR"/>
        </w:rPr>
      </w:pPr>
      <w:r w:rsidRPr="00A8534E">
        <w:rPr>
          <w:b/>
          <w:bCs/>
          <w:lang w:eastAsia="pt-BR"/>
        </w:rPr>
        <w:t>Memória de cálculo anual</w:t>
      </w:r>
    </w:p>
    <w:p w14:paraId="61B25A66" w14:textId="1B3DE1D1"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[R$ 255.835,21 \times 12 = R$ 3.070.022,52]</w:t>
      </w:r>
    </w:p>
    <w:p w14:paraId="2D6ED301" w14:textId="77777777" w:rsidR="00CF7ABE" w:rsidRPr="00B74E01" w:rsidRDefault="00CF7ABE" w:rsidP="0005013F">
      <w:pPr>
        <w:pStyle w:val="Ttulo2"/>
        <w:rPr>
          <w:rFonts w:eastAsia="Times New Roman"/>
          <w:lang w:eastAsia="pt-BR"/>
        </w:rPr>
      </w:pPr>
      <w:bookmarkStart w:id="113" w:name="_Toc230204115"/>
      <w:r w:rsidRPr="00B74E01">
        <w:rPr>
          <w:rFonts w:eastAsia="Times New Roman"/>
          <w:lang w:eastAsia="pt-BR"/>
        </w:rPr>
        <w:t>10.7. Redução percentual estimada</w:t>
      </w:r>
      <w:bookmarkEnd w:id="113"/>
    </w:p>
    <w:p w14:paraId="0FA1A3D5"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 redução percentual estimada é de </w:t>
      </w:r>
      <w:r w:rsidRPr="00B74E01">
        <w:rPr>
          <w:rFonts w:eastAsia="Times New Roman" w:cs="Arial"/>
          <w:b/>
          <w:bCs/>
          <w:kern w:val="0"/>
          <w:lang w:eastAsia="pt-BR"/>
          <w14:ligatures w14:val="none"/>
        </w:rPr>
        <w:t>35,30%</w:t>
      </w:r>
      <w:r w:rsidRPr="00B74E01">
        <w:rPr>
          <w:rFonts w:eastAsia="Times New Roman" w:cs="Arial"/>
          <w:kern w:val="0"/>
          <w:lang w:eastAsia="pt-BR"/>
          <w14:ligatures w14:val="none"/>
        </w:rPr>
        <w:t xml:space="preserve"> em relação ao valor atualmente suportado pelo Município com energia elétrica.</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497"/>
        <w:gridCol w:w="1670"/>
      </w:tblGrid>
      <w:tr w:rsidR="00CF7ABE" w:rsidRPr="00B74E01" w14:paraId="1A68067E" w14:textId="77777777" w:rsidTr="009C2073">
        <w:trPr>
          <w:tblHeader/>
          <w:tblCellSpacing w:w="15" w:type="dxa"/>
        </w:trPr>
        <w:tc>
          <w:tcPr>
            <w:tcW w:w="0" w:type="auto"/>
            <w:vAlign w:val="center"/>
            <w:hideMark/>
          </w:tcPr>
          <w:p w14:paraId="4716ED62" w14:textId="77777777" w:rsidR="00CF7ABE" w:rsidRPr="00B74E01" w:rsidRDefault="00CF7ABE" w:rsidP="0005013F">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Item</w:t>
            </w:r>
          </w:p>
        </w:tc>
        <w:tc>
          <w:tcPr>
            <w:tcW w:w="0" w:type="auto"/>
            <w:vAlign w:val="center"/>
            <w:hideMark/>
          </w:tcPr>
          <w:p w14:paraId="559D9B9F" w14:textId="77777777" w:rsidR="00CF7ABE" w:rsidRPr="00B74E01" w:rsidRDefault="00CF7ABE" w:rsidP="0005013F">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w:t>
            </w:r>
          </w:p>
        </w:tc>
      </w:tr>
      <w:tr w:rsidR="00CF7ABE" w:rsidRPr="00B74E01" w14:paraId="35D4D560" w14:textId="77777777" w:rsidTr="009C2073">
        <w:trPr>
          <w:tblCellSpacing w:w="15" w:type="dxa"/>
        </w:trPr>
        <w:tc>
          <w:tcPr>
            <w:tcW w:w="0" w:type="auto"/>
            <w:vAlign w:val="center"/>
            <w:hideMark/>
          </w:tcPr>
          <w:p w14:paraId="23CDE08C"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Economia mensal estimada</w:t>
            </w:r>
          </w:p>
        </w:tc>
        <w:tc>
          <w:tcPr>
            <w:tcW w:w="0" w:type="auto"/>
            <w:vAlign w:val="center"/>
            <w:hideMark/>
          </w:tcPr>
          <w:p w14:paraId="2C2C2D5B"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R$ 255.835,21</w:t>
            </w:r>
          </w:p>
        </w:tc>
      </w:tr>
      <w:tr w:rsidR="00CF7ABE" w:rsidRPr="00B74E01" w14:paraId="27ECE7AD" w14:textId="77777777" w:rsidTr="009C2073">
        <w:trPr>
          <w:tblCellSpacing w:w="15" w:type="dxa"/>
        </w:trPr>
        <w:tc>
          <w:tcPr>
            <w:tcW w:w="0" w:type="auto"/>
            <w:vAlign w:val="center"/>
            <w:hideMark/>
          </w:tcPr>
          <w:p w14:paraId="410A8B22"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Despesa atual de energia</w:t>
            </w:r>
          </w:p>
        </w:tc>
        <w:tc>
          <w:tcPr>
            <w:tcW w:w="0" w:type="auto"/>
            <w:vAlign w:val="center"/>
            <w:hideMark/>
          </w:tcPr>
          <w:p w14:paraId="4C88673A"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R$ 724.745,63</w:t>
            </w:r>
          </w:p>
        </w:tc>
      </w:tr>
      <w:tr w:rsidR="00CF7ABE" w:rsidRPr="00B74E01" w14:paraId="66538AA0" w14:textId="77777777" w:rsidTr="009C2073">
        <w:trPr>
          <w:tblCellSpacing w:w="15" w:type="dxa"/>
        </w:trPr>
        <w:tc>
          <w:tcPr>
            <w:tcW w:w="0" w:type="auto"/>
            <w:vAlign w:val="center"/>
            <w:hideMark/>
          </w:tcPr>
          <w:p w14:paraId="468095E3"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Redução percentual estimada</w:t>
            </w:r>
          </w:p>
        </w:tc>
        <w:tc>
          <w:tcPr>
            <w:tcW w:w="0" w:type="auto"/>
            <w:vAlign w:val="center"/>
            <w:hideMark/>
          </w:tcPr>
          <w:p w14:paraId="4E030E97"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35,30%</w:t>
            </w:r>
          </w:p>
        </w:tc>
      </w:tr>
    </w:tbl>
    <w:p w14:paraId="3B3DD469" w14:textId="77777777" w:rsidR="00A8534E" w:rsidRDefault="00A8534E" w:rsidP="00A8534E">
      <w:pPr>
        <w:rPr>
          <w:lang w:eastAsia="pt-BR"/>
        </w:rPr>
      </w:pPr>
    </w:p>
    <w:p w14:paraId="2DF9F8D0" w14:textId="2A207BE5" w:rsidR="00CF7ABE" w:rsidRPr="00A8534E" w:rsidRDefault="00CF7ABE" w:rsidP="00A8534E">
      <w:pPr>
        <w:ind w:firstLine="708"/>
        <w:rPr>
          <w:b/>
          <w:bCs/>
          <w:lang w:eastAsia="pt-BR"/>
        </w:rPr>
      </w:pPr>
      <w:r w:rsidRPr="00A8534E">
        <w:rPr>
          <w:b/>
          <w:bCs/>
          <w:lang w:eastAsia="pt-BR"/>
        </w:rPr>
        <w:t>Memória de cálculo</w:t>
      </w:r>
    </w:p>
    <w:p w14:paraId="69CB117C" w14:textId="76034A25"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[R$ 255.835,21 \</w:t>
      </w:r>
      <w:proofErr w:type="spellStart"/>
      <w:r w:rsidRPr="00B74E01">
        <w:rPr>
          <w:rFonts w:eastAsia="Times New Roman" w:cs="Arial"/>
          <w:kern w:val="0"/>
          <w:lang w:eastAsia="pt-BR"/>
          <w14:ligatures w14:val="none"/>
        </w:rPr>
        <w:t>div</w:t>
      </w:r>
      <w:proofErr w:type="spellEnd"/>
      <w:r w:rsidRPr="00B74E01">
        <w:rPr>
          <w:rFonts w:eastAsia="Times New Roman" w:cs="Arial"/>
          <w:kern w:val="0"/>
          <w:lang w:eastAsia="pt-BR"/>
          <w14:ligatures w14:val="none"/>
        </w:rPr>
        <w:t xml:space="preserve"> R$ 724.745,63 = 0,3530]</w:t>
      </w:r>
    </w:p>
    <w:p w14:paraId="2E6ABEA7" w14:textId="7D3F8A2C"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[0,3530 \times 100 = 35,30%]</w:t>
      </w:r>
    </w:p>
    <w:p w14:paraId="5020E921"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Essa redução percentual é relevante para demonstrar a eficiência econômica da proposta, mas deve ser tratada como estimativa da modelagem, sujeita às condições finais do edital, contrato, estrutura energética, consumo efetivo e validação técnico-regulatória.</w:t>
      </w:r>
    </w:p>
    <w:p w14:paraId="199C7660" w14:textId="076B0EF2" w:rsidR="00CF7ABE" w:rsidRPr="00B74E01" w:rsidRDefault="00CF7ABE" w:rsidP="00B74E01">
      <w:pPr>
        <w:spacing w:after="0" w:line="360" w:lineRule="auto"/>
        <w:ind w:firstLine="709"/>
        <w:jc w:val="both"/>
        <w:rPr>
          <w:rFonts w:eastAsia="Times New Roman" w:cs="Arial"/>
          <w:kern w:val="0"/>
          <w:lang w:eastAsia="pt-BR"/>
          <w14:ligatures w14:val="none"/>
        </w:rPr>
      </w:pPr>
    </w:p>
    <w:p w14:paraId="2275FD1F" w14:textId="77777777" w:rsidR="00CF7ABE" w:rsidRPr="00B74E01" w:rsidRDefault="00CF7ABE" w:rsidP="0005013F">
      <w:pPr>
        <w:pStyle w:val="Ttulo2"/>
        <w:rPr>
          <w:rFonts w:eastAsia="Times New Roman"/>
          <w:lang w:eastAsia="pt-BR"/>
        </w:rPr>
      </w:pPr>
      <w:bookmarkStart w:id="114" w:name="_Toc230204116"/>
      <w:r w:rsidRPr="00B74E01">
        <w:rPr>
          <w:rFonts w:eastAsia="Times New Roman"/>
          <w:lang w:eastAsia="pt-BR"/>
        </w:rPr>
        <w:lastRenderedPageBreak/>
        <w:t>10.8. Comparação do custo médio por kWh</w:t>
      </w:r>
      <w:bookmarkEnd w:id="114"/>
    </w:p>
    <w:p w14:paraId="237C433D"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comparação entre o custo médio atual e o custo médio equivalente da SPE demonstra a diferença econômica unitária.</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972"/>
        <w:gridCol w:w="1969"/>
        <w:gridCol w:w="2324"/>
        <w:gridCol w:w="1796"/>
      </w:tblGrid>
      <w:tr w:rsidR="00CF7ABE" w:rsidRPr="00B74E01" w14:paraId="396540FF" w14:textId="77777777" w:rsidTr="0005013F">
        <w:trPr>
          <w:tblHeader/>
          <w:tblCellSpacing w:w="15" w:type="dxa"/>
        </w:trPr>
        <w:tc>
          <w:tcPr>
            <w:tcW w:w="2927" w:type="dxa"/>
            <w:vAlign w:val="center"/>
            <w:hideMark/>
          </w:tcPr>
          <w:p w14:paraId="712C3EBE" w14:textId="77777777" w:rsidR="00CF7ABE" w:rsidRPr="00B74E01" w:rsidRDefault="00CF7ABE" w:rsidP="0005013F">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Situação</w:t>
            </w:r>
          </w:p>
        </w:tc>
        <w:tc>
          <w:tcPr>
            <w:tcW w:w="1939" w:type="dxa"/>
            <w:vAlign w:val="center"/>
            <w:hideMark/>
          </w:tcPr>
          <w:p w14:paraId="496FF915" w14:textId="77777777" w:rsidR="00CF7ABE" w:rsidRPr="00B74E01" w:rsidRDefault="00CF7ABE" w:rsidP="0005013F">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Valor mensal</w:t>
            </w:r>
          </w:p>
        </w:tc>
        <w:tc>
          <w:tcPr>
            <w:tcW w:w="0" w:type="auto"/>
            <w:vAlign w:val="center"/>
            <w:hideMark/>
          </w:tcPr>
          <w:p w14:paraId="67B3706B" w14:textId="77777777" w:rsidR="00CF7ABE" w:rsidRPr="00B74E01" w:rsidRDefault="00CF7ABE" w:rsidP="0005013F">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Consumo considerado</w:t>
            </w:r>
          </w:p>
        </w:tc>
        <w:tc>
          <w:tcPr>
            <w:tcW w:w="0" w:type="auto"/>
            <w:vAlign w:val="center"/>
            <w:hideMark/>
          </w:tcPr>
          <w:p w14:paraId="69ECB83F" w14:textId="77777777" w:rsidR="00CF7ABE" w:rsidRPr="00B74E01" w:rsidRDefault="00CF7ABE" w:rsidP="0005013F">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Custo médio</w:t>
            </w:r>
          </w:p>
        </w:tc>
      </w:tr>
      <w:tr w:rsidR="00CF7ABE" w:rsidRPr="00B74E01" w14:paraId="4991B34B" w14:textId="77777777" w:rsidTr="0005013F">
        <w:trPr>
          <w:tblCellSpacing w:w="15" w:type="dxa"/>
        </w:trPr>
        <w:tc>
          <w:tcPr>
            <w:tcW w:w="2927" w:type="dxa"/>
            <w:vAlign w:val="center"/>
            <w:hideMark/>
          </w:tcPr>
          <w:p w14:paraId="7C7B56FE" w14:textId="77777777" w:rsidR="00CF7ABE" w:rsidRPr="00B74E01" w:rsidRDefault="00CF7ABE" w:rsidP="0005013F">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Conta atual paga à Coelba</w:t>
            </w:r>
          </w:p>
        </w:tc>
        <w:tc>
          <w:tcPr>
            <w:tcW w:w="1939" w:type="dxa"/>
            <w:vAlign w:val="center"/>
            <w:hideMark/>
          </w:tcPr>
          <w:p w14:paraId="22C53EBE" w14:textId="77777777" w:rsidR="00CF7ABE" w:rsidRPr="00B74E01" w:rsidRDefault="00CF7ABE" w:rsidP="0005013F">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R$ 724.745,63</w:t>
            </w:r>
          </w:p>
        </w:tc>
        <w:tc>
          <w:tcPr>
            <w:tcW w:w="0" w:type="auto"/>
            <w:vAlign w:val="center"/>
            <w:hideMark/>
          </w:tcPr>
          <w:p w14:paraId="0404CB3B" w14:textId="77777777" w:rsidR="00CF7ABE" w:rsidRPr="00B74E01" w:rsidRDefault="00CF7ABE" w:rsidP="0005013F">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1.059.797 kWh</w:t>
            </w:r>
          </w:p>
        </w:tc>
        <w:tc>
          <w:tcPr>
            <w:tcW w:w="0" w:type="auto"/>
            <w:vAlign w:val="center"/>
            <w:hideMark/>
          </w:tcPr>
          <w:p w14:paraId="46F53F7F" w14:textId="77777777" w:rsidR="00CF7ABE" w:rsidRPr="00B74E01" w:rsidRDefault="00CF7ABE" w:rsidP="0005013F">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R$ 0,68385/kWh</w:t>
            </w:r>
          </w:p>
        </w:tc>
      </w:tr>
      <w:tr w:rsidR="00CF7ABE" w:rsidRPr="00B74E01" w14:paraId="11E3A46C" w14:textId="77777777" w:rsidTr="0005013F">
        <w:trPr>
          <w:tblCellSpacing w:w="15" w:type="dxa"/>
        </w:trPr>
        <w:tc>
          <w:tcPr>
            <w:tcW w:w="2927" w:type="dxa"/>
            <w:vAlign w:val="center"/>
            <w:hideMark/>
          </w:tcPr>
          <w:p w14:paraId="75981B03" w14:textId="77777777" w:rsidR="00CF7ABE" w:rsidRPr="00B74E01" w:rsidRDefault="00CF7ABE" w:rsidP="0005013F">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Disponibilização energética pela SPE</w:t>
            </w:r>
          </w:p>
        </w:tc>
        <w:tc>
          <w:tcPr>
            <w:tcW w:w="1939" w:type="dxa"/>
            <w:vAlign w:val="center"/>
            <w:hideMark/>
          </w:tcPr>
          <w:p w14:paraId="675128F7" w14:textId="77777777" w:rsidR="00CF7ABE" w:rsidRPr="00B74E01" w:rsidRDefault="00CF7ABE" w:rsidP="0005013F">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R$ 468.910,42</w:t>
            </w:r>
          </w:p>
        </w:tc>
        <w:tc>
          <w:tcPr>
            <w:tcW w:w="0" w:type="auto"/>
            <w:vAlign w:val="center"/>
            <w:hideMark/>
          </w:tcPr>
          <w:p w14:paraId="2F9D74B5" w14:textId="77777777" w:rsidR="00CF7ABE" w:rsidRPr="00B74E01" w:rsidRDefault="00CF7ABE" w:rsidP="0005013F">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1.059.797 kWh</w:t>
            </w:r>
          </w:p>
        </w:tc>
        <w:tc>
          <w:tcPr>
            <w:tcW w:w="0" w:type="auto"/>
            <w:vAlign w:val="center"/>
            <w:hideMark/>
          </w:tcPr>
          <w:p w14:paraId="46930996" w14:textId="77777777" w:rsidR="00CF7ABE" w:rsidRPr="00B74E01" w:rsidRDefault="00CF7ABE" w:rsidP="0005013F">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R$ 0,44246/kWh</w:t>
            </w:r>
          </w:p>
        </w:tc>
      </w:tr>
      <w:tr w:rsidR="00CF7ABE" w:rsidRPr="00B74E01" w14:paraId="399002DA" w14:textId="77777777" w:rsidTr="0005013F">
        <w:trPr>
          <w:tblCellSpacing w:w="15" w:type="dxa"/>
        </w:trPr>
        <w:tc>
          <w:tcPr>
            <w:tcW w:w="2927" w:type="dxa"/>
            <w:vAlign w:val="center"/>
            <w:hideMark/>
          </w:tcPr>
          <w:p w14:paraId="65279069" w14:textId="77777777" w:rsidR="00CF7ABE" w:rsidRPr="00B74E01" w:rsidRDefault="00CF7ABE" w:rsidP="0005013F">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Diferença econômica unitária</w:t>
            </w:r>
          </w:p>
        </w:tc>
        <w:tc>
          <w:tcPr>
            <w:tcW w:w="1939" w:type="dxa"/>
            <w:vAlign w:val="center"/>
            <w:hideMark/>
          </w:tcPr>
          <w:p w14:paraId="39DBE96E" w14:textId="77777777" w:rsidR="00CF7ABE" w:rsidRPr="00B74E01" w:rsidRDefault="00CF7ABE" w:rsidP="0005013F">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R$ 255.835,21</w:t>
            </w:r>
          </w:p>
        </w:tc>
        <w:tc>
          <w:tcPr>
            <w:tcW w:w="0" w:type="auto"/>
            <w:vAlign w:val="center"/>
            <w:hideMark/>
          </w:tcPr>
          <w:p w14:paraId="44970045" w14:textId="77777777" w:rsidR="00CF7ABE" w:rsidRPr="00B74E01" w:rsidRDefault="00CF7ABE" w:rsidP="0005013F">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w:t>
            </w:r>
          </w:p>
        </w:tc>
        <w:tc>
          <w:tcPr>
            <w:tcW w:w="0" w:type="auto"/>
            <w:vAlign w:val="center"/>
            <w:hideMark/>
          </w:tcPr>
          <w:p w14:paraId="6FF232B3" w14:textId="77777777" w:rsidR="00CF7ABE" w:rsidRPr="00B74E01" w:rsidRDefault="00CF7ABE" w:rsidP="0005013F">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R$ 0,24139/kWh</w:t>
            </w:r>
          </w:p>
        </w:tc>
      </w:tr>
    </w:tbl>
    <w:p w14:paraId="746D6E8D" w14:textId="77777777" w:rsidR="00A8534E" w:rsidRDefault="00A8534E" w:rsidP="00A8534E">
      <w:pPr>
        <w:ind w:firstLine="708"/>
        <w:rPr>
          <w:lang w:eastAsia="pt-BR"/>
        </w:rPr>
      </w:pPr>
    </w:p>
    <w:p w14:paraId="64CA288E" w14:textId="6DF53E8C" w:rsidR="00CF7ABE" w:rsidRPr="00A8534E" w:rsidRDefault="00CF7ABE" w:rsidP="00A8534E">
      <w:pPr>
        <w:ind w:firstLine="708"/>
        <w:rPr>
          <w:b/>
          <w:bCs/>
          <w:lang w:eastAsia="pt-BR"/>
        </w:rPr>
      </w:pPr>
      <w:r w:rsidRPr="00A8534E">
        <w:rPr>
          <w:b/>
          <w:bCs/>
          <w:lang w:eastAsia="pt-BR"/>
        </w:rPr>
        <w:t>Memória de cálculo</w:t>
      </w:r>
    </w:p>
    <w:p w14:paraId="3A82B4BD" w14:textId="0D48AF0E"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[R$ 0,68385/kWh - R$ 0,44246/kWh = R$ 0,24139/kWh]</w:t>
      </w:r>
    </w:p>
    <w:p w14:paraId="435C98BE"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economia unitária reforça a lógica da modelagem: a PPP busca substituir parte da despesa atual por uma estrutura de menor custo equivalente, associada à solução ambiental da destinação/tratamento do RSU.</w:t>
      </w:r>
    </w:p>
    <w:p w14:paraId="41F20159" w14:textId="77777777" w:rsidR="00CF7ABE" w:rsidRPr="00B74E01" w:rsidRDefault="00CF7ABE" w:rsidP="0005013F">
      <w:pPr>
        <w:pStyle w:val="Ttulo2"/>
        <w:rPr>
          <w:rFonts w:eastAsia="Times New Roman"/>
          <w:lang w:eastAsia="pt-BR"/>
        </w:rPr>
      </w:pPr>
      <w:bookmarkStart w:id="115" w:name="_Toc230204117"/>
      <w:r w:rsidRPr="00B74E01">
        <w:rPr>
          <w:rFonts w:eastAsia="Times New Roman"/>
          <w:lang w:eastAsia="pt-BR"/>
        </w:rPr>
        <w:t>10.9. Energia x destinação do RSU — cenário-base de R$ 95/t</w:t>
      </w:r>
      <w:bookmarkEnd w:id="115"/>
    </w:p>
    <w:p w14:paraId="7C2A8467"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No cenário-base, a tarifa de destinação/tratamento do RSU é de </w:t>
      </w:r>
      <w:r w:rsidRPr="00B74E01">
        <w:rPr>
          <w:rFonts w:eastAsia="Times New Roman" w:cs="Arial"/>
          <w:b/>
          <w:bCs/>
          <w:kern w:val="0"/>
          <w:lang w:eastAsia="pt-BR"/>
          <w14:ligatures w14:val="none"/>
        </w:rPr>
        <w:t>R$ 95/t</w:t>
      </w:r>
      <w:r w:rsidRPr="00B74E01">
        <w:rPr>
          <w:rFonts w:eastAsia="Times New Roman" w:cs="Arial"/>
          <w:kern w:val="0"/>
          <w:lang w:eastAsia="pt-BR"/>
          <w14:ligatures w14:val="none"/>
        </w:rPr>
        <w:t xml:space="preserve">, com quantidade mínima contratada de </w:t>
      </w:r>
      <w:r w:rsidRPr="00B74E01">
        <w:rPr>
          <w:rFonts w:eastAsia="Times New Roman" w:cs="Arial"/>
          <w:b/>
          <w:bCs/>
          <w:kern w:val="0"/>
          <w:lang w:eastAsia="pt-BR"/>
          <w14:ligatures w14:val="none"/>
        </w:rPr>
        <w:t>80 t/dia</w:t>
      </w:r>
      <w:r w:rsidRPr="00B74E01">
        <w:rPr>
          <w:rFonts w:eastAsia="Times New Roman" w:cs="Arial"/>
          <w:kern w:val="0"/>
          <w:lang w:eastAsia="pt-BR"/>
          <w14:ligatures w14:val="none"/>
        </w:rPr>
        <w:t>.</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540"/>
        <w:gridCol w:w="1653"/>
        <w:gridCol w:w="1868"/>
      </w:tblGrid>
      <w:tr w:rsidR="00CF7ABE" w:rsidRPr="00B74E01" w14:paraId="60223F56" w14:textId="77777777" w:rsidTr="009C2073">
        <w:trPr>
          <w:tblHeader/>
          <w:tblCellSpacing w:w="15" w:type="dxa"/>
        </w:trPr>
        <w:tc>
          <w:tcPr>
            <w:tcW w:w="0" w:type="auto"/>
            <w:vAlign w:val="center"/>
            <w:hideMark/>
          </w:tcPr>
          <w:p w14:paraId="062651CB" w14:textId="77777777" w:rsidR="00CF7ABE" w:rsidRPr="00B74E01" w:rsidRDefault="00CF7ABE" w:rsidP="0005013F">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Item</w:t>
            </w:r>
          </w:p>
        </w:tc>
        <w:tc>
          <w:tcPr>
            <w:tcW w:w="0" w:type="auto"/>
            <w:vAlign w:val="center"/>
            <w:hideMark/>
          </w:tcPr>
          <w:p w14:paraId="071C7B4B" w14:textId="77777777" w:rsidR="00CF7ABE" w:rsidRPr="00B74E01" w:rsidRDefault="00CF7ABE" w:rsidP="0005013F">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Valor mensal</w:t>
            </w:r>
          </w:p>
        </w:tc>
        <w:tc>
          <w:tcPr>
            <w:tcW w:w="0" w:type="auto"/>
            <w:vAlign w:val="center"/>
            <w:hideMark/>
          </w:tcPr>
          <w:p w14:paraId="6AB2959B" w14:textId="77777777" w:rsidR="00CF7ABE" w:rsidRPr="00B74E01" w:rsidRDefault="00CF7ABE" w:rsidP="0005013F">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Valor anual</w:t>
            </w:r>
          </w:p>
        </w:tc>
      </w:tr>
      <w:tr w:rsidR="00CF7ABE" w:rsidRPr="00B74E01" w14:paraId="2CD666E8" w14:textId="77777777" w:rsidTr="009C2073">
        <w:trPr>
          <w:tblCellSpacing w:w="15" w:type="dxa"/>
        </w:trPr>
        <w:tc>
          <w:tcPr>
            <w:tcW w:w="0" w:type="auto"/>
            <w:vAlign w:val="center"/>
            <w:hideMark/>
          </w:tcPr>
          <w:p w14:paraId="1CE4B2E4" w14:textId="77777777" w:rsidR="00CF7ABE" w:rsidRPr="00B74E01" w:rsidRDefault="00CF7ABE" w:rsidP="0005013F">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Economia estimada com energia</w:t>
            </w:r>
          </w:p>
        </w:tc>
        <w:tc>
          <w:tcPr>
            <w:tcW w:w="0" w:type="auto"/>
            <w:vAlign w:val="center"/>
            <w:hideMark/>
          </w:tcPr>
          <w:p w14:paraId="0CAF96D8" w14:textId="77777777" w:rsidR="00CF7ABE" w:rsidRPr="00B74E01" w:rsidRDefault="00CF7ABE" w:rsidP="0005013F">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R$ 255.835,21</w:t>
            </w:r>
          </w:p>
        </w:tc>
        <w:tc>
          <w:tcPr>
            <w:tcW w:w="0" w:type="auto"/>
            <w:vAlign w:val="center"/>
            <w:hideMark/>
          </w:tcPr>
          <w:p w14:paraId="473A90EB" w14:textId="77777777" w:rsidR="00CF7ABE" w:rsidRPr="00B74E01" w:rsidRDefault="00CF7ABE" w:rsidP="0005013F">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R$ 3.070.022,52</w:t>
            </w:r>
          </w:p>
        </w:tc>
      </w:tr>
      <w:tr w:rsidR="00CF7ABE" w:rsidRPr="00B74E01" w14:paraId="45F655D4" w14:textId="77777777" w:rsidTr="009C2073">
        <w:trPr>
          <w:tblCellSpacing w:w="15" w:type="dxa"/>
        </w:trPr>
        <w:tc>
          <w:tcPr>
            <w:tcW w:w="0" w:type="auto"/>
            <w:vAlign w:val="center"/>
            <w:hideMark/>
          </w:tcPr>
          <w:p w14:paraId="38369C76" w14:textId="77777777" w:rsidR="00CF7ABE" w:rsidRPr="00B74E01" w:rsidRDefault="00CF7ABE" w:rsidP="0005013F">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Custo da destinação/tratamento do RSU — R$ 95/t</w:t>
            </w:r>
          </w:p>
        </w:tc>
        <w:tc>
          <w:tcPr>
            <w:tcW w:w="0" w:type="auto"/>
            <w:vAlign w:val="center"/>
            <w:hideMark/>
          </w:tcPr>
          <w:p w14:paraId="221D2DF7" w14:textId="77777777" w:rsidR="00CF7ABE" w:rsidRPr="00B74E01" w:rsidRDefault="00CF7ABE" w:rsidP="0005013F">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R$ 231.166,67</w:t>
            </w:r>
          </w:p>
        </w:tc>
        <w:tc>
          <w:tcPr>
            <w:tcW w:w="0" w:type="auto"/>
            <w:vAlign w:val="center"/>
            <w:hideMark/>
          </w:tcPr>
          <w:p w14:paraId="54792110" w14:textId="77777777" w:rsidR="00CF7ABE" w:rsidRPr="00B74E01" w:rsidRDefault="00CF7ABE" w:rsidP="0005013F">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R$ 2.774.000,00</w:t>
            </w:r>
          </w:p>
        </w:tc>
      </w:tr>
      <w:tr w:rsidR="00CF7ABE" w:rsidRPr="00B74E01" w14:paraId="143DB006" w14:textId="77777777" w:rsidTr="009C2073">
        <w:trPr>
          <w:tblCellSpacing w:w="15" w:type="dxa"/>
        </w:trPr>
        <w:tc>
          <w:tcPr>
            <w:tcW w:w="0" w:type="auto"/>
            <w:vAlign w:val="center"/>
            <w:hideMark/>
          </w:tcPr>
          <w:p w14:paraId="164778E4" w14:textId="77777777" w:rsidR="00CF7ABE" w:rsidRPr="00B74E01" w:rsidRDefault="00CF7ABE" w:rsidP="0005013F">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Saldo positivo ao Município</w:t>
            </w:r>
          </w:p>
        </w:tc>
        <w:tc>
          <w:tcPr>
            <w:tcW w:w="0" w:type="auto"/>
            <w:vAlign w:val="center"/>
            <w:hideMark/>
          </w:tcPr>
          <w:p w14:paraId="4EF57242" w14:textId="77777777" w:rsidR="00CF7ABE" w:rsidRPr="00B74E01" w:rsidRDefault="00CF7ABE" w:rsidP="0005013F">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R$ 24.668,54</w:t>
            </w:r>
          </w:p>
        </w:tc>
        <w:tc>
          <w:tcPr>
            <w:tcW w:w="0" w:type="auto"/>
            <w:vAlign w:val="center"/>
            <w:hideMark/>
          </w:tcPr>
          <w:p w14:paraId="392D26FE" w14:textId="77777777" w:rsidR="00CF7ABE" w:rsidRPr="00B74E01" w:rsidRDefault="00CF7ABE" w:rsidP="0005013F">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R$ 296.022,52</w:t>
            </w:r>
          </w:p>
        </w:tc>
      </w:tr>
    </w:tbl>
    <w:p w14:paraId="328AFFDC" w14:textId="77777777" w:rsidR="0005013F" w:rsidRDefault="0005013F" w:rsidP="00B74E01">
      <w:pPr>
        <w:spacing w:before="100" w:beforeAutospacing="1" w:after="100" w:afterAutospacing="1" w:line="360" w:lineRule="auto"/>
        <w:ind w:firstLine="709"/>
        <w:jc w:val="both"/>
        <w:outlineLvl w:val="2"/>
        <w:rPr>
          <w:rFonts w:eastAsia="Times New Roman" w:cs="Arial"/>
          <w:b/>
          <w:bCs/>
          <w:kern w:val="0"/>
          <w:lang w:eastAsia="pt-BR"/>
          <w14:ligatures w14:val="none"/>
        </w:rPr>
      </w:pPr>
    </w:p>
    <w:p w14:paraId="1D96902D" w14:textId="75CC1D3F" w:rsidR="00CF7ABE" w:rsidRPr="005724D2" w:rsidRDefault="00CF7ABE" w:rsidP="005724D2">
      <w:pPr>
        <w:ind w:firstLine="708"/>
        <w:rPr>
          <w:b/>
          <w:bCs/>
          <w:lang w:eastAsia="pt-BR"/>
        </w:rPr>
      </w:pPr>
      <w:r w:rsidRPr="005724D2">
        <w:rPr>
          <w:b/>
          <w:bCs/>
          <w:lang w:eastAsia="pt-BR"/>
        </w:rPr>
        <w:lastRenderedPageBreak/>
        <w:t>Memória de cálculo</w:t>
      </w:r>
    </w:p>
    <w:p w14:paraId="3425D874" w14:textId="48121FE0"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[R$ 255.835,21 - R$ 231.166,67 = R$ 24.668,54]</w:t>
      </w:r>
    </w:p>
    <w:p w14:paraId="2AEDA645"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No cenário-base, a economia energética </w:t>
      </w:r>
      <w:proofErr w:type="gramStart"/>
      <w:r w:rsidRPr="00B74E01">
        <w:rPr>
          <w:rFonts w:eastAsia="Times New Roman" w:cs="Arial"/>
          <w:kern w:val="0"/>
          <w:lang w:eastAsia="pt-BR"/>
          <w14:ligatures w14:val="none"/>
        </w:rPr>
        <w:t>estimada cobre</w:t>
      </w:r>
      <w:proofErr w:type="gramEnd"/>
      <w:r w:rsidRPr="00B74E01">
        <w:rPr>
          <w:rFonts w:eastAsia="Times New Roman" w:cs="Arial"/>
          <w:kern w:val="0"/>
          <w:lang w:eastAsia="pt-BR"/>
          <w14:ligatures w14:val="none"/>
        </w:rPr>
        <w:t xml:space="preserve"> integralmente a destinação/tratamento do RSU e ainda gera saldo positivo ao Município.</w:t>
      </w:r>
    </w:p>
    <w:p w14:paraId="7A106D85"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Recomenda-se que esse saldo de </w:t>
      </w:r>
      <w:r w:rsidRPr="00B74E01">
        <w:rPr>
          <w:rFonts w:eastAsia="Times New Roman" w:cs="Arial"/>
          <w:b/>
          <w:bCs/>
          <w:kern w:val="0"/>
          <w:lang w:eastAsia="pt-BR"/>
          <w14:ligatures w14:val="none"/>
        </w:rPr>
        <w:t>R$ 24.668,54/mês</w:t>
      </w:r>
      <w:r w:rsidRPr="00B74E01">
        <w:rPr>
          <w:rFonts w:eastAsia="Times New Roman" w:cs="Arial"/>
          <w:kern w:val="0"/>
          <w:lang w:eastAsia="pt-BR"/>
          <w14:ligatures w14:val="none"/>
        </w:rPr>
        <w:t xml:space="preserve"> seja destinado ao </w:t>
      </w:r>
      <w:r w:rsidRPr="00B74E01">
        <w:rPr>
          <w:rFonts w:eastAsia="Times New Roman" w:cs="Arial"/>
          <w:b/>
          <w:bCs/>
          <w:kern w:val="0"/>
          <w:lang w:eastAsia="pt-BR"/>
          <w14:ligatures w14:val="none"/>
        </w:rPr>
        <w:t>Fundo Municipal de Meio Ambiente e Tecnologia Pública</w:t>
      </w:r>
      <w:r w:rsidRPr="00B74E01">
        <w:rPr>
          <w:rFonts w:eastAsia="Times New Roman" w:cs="Arial"/>
          <w:kern w:val="0"/>
          <w:lang w:eastAsia="pt-BR"/>
          <w14:ligatures w14:val="none"/>
        </w:rPr>
        <w:t>, conforme regras legais, orçamentárias e contratuais aplicáveis.</w:t>
      </w:r>
    </w:p>
    <w:p w14:paraId="21C1828C" w14:textId="77777777" w:rsidR="00CF7ABE" w:rsidRPr="00B74E01" w:rsidRDefault="00CF7ABE" w:rsidP="0005013F">
      <w:pPr>
        <w:pStyle w:val="Ttulo2"/>
        <w:rPr>
          <w:rFonts w:eastAsia="Times New Roman"/>
          <w:lang w:eastAsia="pt-BR"/>
        </w:rPr>
      </w:pPr>
      <w:bookmarkStart w:id="116" w:name="_Toc230204118"/>
      <w:r w:rsidRPr="00B74E01">
        <w:rPr>
          <w:rFonts w:eastAsia="Times New Roman"/>
          <w:lang w:eastAsia="pt-BR"/>
        </w:rPr>
        <w:t>10.10. Energia x destinação do RSU — cenário superior regional de R$ 140/t</w:t>
      </w:r>
      <w:bookmarkEnd w:id="116"/>
    </w:p>
    <w:p w14:paraId="17BA06D5"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Como referência de sensibilidade, também se considera a tarifa superior regional de </w:t>
      </w:r>
      <w:r w:rsidRPr="00B74E01">
        <w:rPr>
          <w:rFonts w:eastAsia="Times New Roman" w:cs="Arial"/>
          <w:b/>
          <w:bCs/>
          <w:kern w:val="0"/>
          <w:lang w:eastAsia="pt-BR"/>
          <w14:ligatures w14:val="none"/>
        </w:rPr>
        <w:t>R$ 140/t</w:t>
      </w:r>
      <w:r w:rsidRPr="00B74E01">
        <w:rPr>
          <w:rFonts w:eastAsia="Times New Roman" w:cs="Arial"/>
          <w:kern w:val="0"/>
          <w:lang w:eastAsia="pt-BR"/>
          <w14:ligatures w14:val="none"/>
        </w:rPr>
        <w:t>, associada a patamares que podem ser observados em municípios vizinhos ou em soluções convencionais de aterro sanitário.</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815"/>
        <w:gridCol w:w="1984"/>
        <w:gridCol w:w="2262"/>
      </w:tblGrid>
      <w:tr w:rsidR="00CF7ABE" w:rsidRPr="00B74E01" w14:paraId="1B0BFE18" w14:textId="77777777" w:rsidTr="0005013F">
        <w:trPr>
          <w:tblHeader/>
          <w:tblCellSpacing w:w="15" w:type="dxa"/>
        </w:trPr>
        <w:tc>
          <w:tcPr>
            <w:tcW w:w="4770" w:type="dxa"/>
            <w:vAlign w:val="center"/>
            <w:hideMark/>
          </w:tcPr>
          <w:p w14:paraId="56A4E847" w14:textId="77777777" w:rsidR="00CF7ABE" w:rsidRPr="00B74E01" w:rsidRDefault="00CF7ABE" w:rsidP="0005013F">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Item</w:t>
            </w:r>
          </w:p>
        </w:tc>
        <w:tc>
          <w:tcPr>
            <w:tcW w:w="1954" w:type="dxa"/>
            <w:vAlign w:val="center"/>
            <w:hideMark/>
          </w:tcPr>
          <w:p w14:paraId="0F6FCFE7" w14:textId="77777777" w:rsidR="00CF7ABE" w:rsidRPr="00B74E01" w:rsidRDefault="00CF7ABE" w:rsidP="0005013F">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 mensal</w:t>
            </w:r>
          </w:p>
        </w:tc>
        <w:tc>
          <w:tcPr>
            <w:tcW w:w="2217" w:type="dxa"/>
            <w:vAlign w:val="center"/>
            <w:hideMark/>
          </w:tcPr>
          <w:p w14:paraId="4F8777CE" w14:textId="77777777" w:rsidR="00CF7ABE" w:rsidRPr="00B74E01" w:rsidRDefault="00CF7ABE" w:rsidP="0005013F">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 anual</w:t>
            </w:r>
          </w:p>
        </w:tc>
      </w:tr>
      <w:tr w:rsidR="00CF7ABE" w:rsidRPr="00B74E01" w14:paraId="2195CA4E" w14:textId="77777777" w:rsidTr="0005013F">
        <w:trPr>
          <w:tblCellSpacing w:w="15" w:type="dxa"/>
        </w:trPr>
        <w:tc>
          <w:tcPr>
            <w:tcW w:w="4770" w:type="dxa"/>
            <w:vAlign w:val="center"/>
            <w:hideMark/>
          </w:tcPr>
          <w:p w14:paraId="361F938B"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Economia estimada com energia</w:t>
            </w:r>
          </w:p>
        </w:tc>
        <w:tc>
          <w:tcPr>
            <w:tcW w:w="1954" w:type="dxa"/>
            <w:vAlign w:val="center"/>
            <w:hideMark/>
          </w:tcPr>
          <w:p w14:paraId="746C1781"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R$ 255.835,21</w:t>
            </w:r>
          </w:p>
        </w:tc>
        <w:tc>
          <w:tcPr>
            <w:tcW w:w="2217" w:type="dxa"/>
            <w:vAlign w:val="center"/>
            <w:hideMark/>
          </w:tcPr>
          <w:p w14:paraId="71CEB229"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R$ 3.070.022,52</w:t>
            </w:r>
          </w:p>
        </w:tc>
      </w:tr>
      <w:tr w:rsidR="00CF7ABE" w:rsidRPr="00B74E01" w14:paraId="74ABE9B1" w14:textId="77777777" w:rsidTr="0005013F">
        <w:trPr>
          <w:tblCellSpacing w:w="15" w:type="dxa"/>
        </w:trPr>
        <w:tc>
          <w:tcPr>
            <w:tcW w:w="4770" w:type="dxa"/>
            <w:vAlign w:val="center"/>
            <w:hideMark/>
          </w:tcPr>
          <w:p w14:paraId="0A7ECC1C"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Custo da destinação/tratamento do RSU — R$ 140/t</w:t>
            </w:r>
          </w:p>
        </w:tc>
        <w:tc>
          <w:tcPr>
            <w:tcW w:w="1954" w:type="dxa"/>
            <w:vAlign w:val="center"/>
            <w:hideMark/>
          </w:tcPr>
          <w:p w14:paraId="3D69035F"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R$ 340.666,67</w:t>
            </w:r>
          </w:p>
        </w:tc>
        <w:tc>
          <w:tcPr>
            <w:tcW w:w="2217" w:type="dxa"/>
            <w:vAlign w:val="center"/>
            <w:hideMark/>
          </w:tcPr>
          <w:p w14:paraId="00B32C02"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R$ 4.088.000,00</w:t>
            </w:r>
          </w:p>
        </w:tc>
      </w:tr>
      <w:tr w:rsidR="00CF7ABE" w:rsidRPr="00B74E01" w14:paraId="73288910" w14:textId="77777777" w:rsidTr="0005013F">
        <w:trPr>
          <w:tblCellSpacing w:w="15" w:type="dxa"/>
        </w:trPr>
        <w:tc>
          <w:tcPr>
            <w:tcW w:w="4770" w:type="dxa"/>
            <w:vAlign w:val="center"/>
            <w:hideMark/>
          </w:tcPr>
          <w:p w14:paraId="02312883"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Saldo líquido após economia energética</w:t>
            </w:r>
          </w:p>
        </w:tc>
        <w:tc>
          <w:tcPr>
            <w:tcW w:w="1954" w:type="dxa"/>
            <w:vAlign w:val="center"/>
            <w:hideMark/>
          </w:tcPr>
          <w:p w14:paraId="32EBD653"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-R$ 84.831,46</w:t>
            </w:r>
          </w:p>
        </w:tc>
        <w:tc>
          <w:tcPr>
            <w:tcW w:w="2217" w:type="dxa"/>
            <w:vAlign w:val="center"/>
            <w:hideMark/>
          </w:tcPr>
          <w:p w14:paraId="1C89F27E"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-R$ 1.017.977,48</w:t>
            </w:r>
          </w:p>
        </w:tc>
      </w:tr>
    </w:tbl>
    <w:p w14:paraId="0F9C63D3" w14:textId="77777777" w:rsidR="005724D2" w:rsidRDefault="005724D2" w:rsidP="005724D2">
      <w:pPr>
        <w:rPr>
          <w:lang w:eastAsia="pt-BR"/>
        </w:rPr>
      </w:pPr>
    </w:p>
    <w:p w14:paraId="751F1AFA" w14:textId="38938D31" w:rsidR="00CF7ABE" w:rsidRPr="005724D2" w:rsidRDefault="00CF7ABE" w:rsidP="005724D2">
      <w:pPr>
        <w:ind w:firstLine="708"/>
        <w:rPr>
          <w:b/>
          <w:bCs/>
          <w:lang w:eastAsia="pt-BR"/>
        </w:rPr>
      </w:pPr>
      <w:r w:rsidRPr="005724D2">
        <w:rPr>
          <w:b/>
          <w:bCs/>
          <w:lang w:eastAsia="pt-BR"/>
        </w:rPr>
        <w:t>Memória de cálculo</w:t>
      </w:r>
    </w:p>
    <w:p w14:paraId="455AE5E0" w14:textId="76F42585"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[R$ 255.835,21 - R$ 340.666,67 = -R$ 84.831,46]</w:t>
      </w:r>
    </w:p>
    <w:p w14:paraId="4B31A25C"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Nesse cenário, a economia energética não cobre integralmente o custo da destinação/tratamento do RSU, mas reduz significativamente o esforço líquido municipal.</w:t>
      </w:r>
    </w:p>
    <w:p w14:paraId="4A2E710C"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Essa comparação é relevante porque o patamar de </w:t>
      </w:r>
      <w:r w:rsidRPr="00B74E01">
        <w:rPr>
          <w:rFonts w:eastAsia="Times New Roman" w:cs="Arial"/>
          <w:b/>
          <w:bCs/>
          <w:kern w:val="0"/>
          <w:lang w:eastAsia="pt-BR"/>
          <w14:ligatures w14:val="none"/>
        </w:rPr>
        <w:t>R$ 140/t</w:t>
      </w:r>
      <w:r w:rsidRPr="00B74E01">
        <w:rPr>
          <w:rFonts w:eastAsia="Times New Roman" w:cs="Arial"/>
          <w:kern w:val="0"/>
          <w:lang w:eastAsia="pt-BR"/>
          <w14:ligatures w14:val="none"/>
        </w:rPr>
        <w:t>, quando associado a aterro sanitário convencional, normalmente não entrega ao Município economia energética, geração de capacidade renovável, potencial de receitas acessórias, valorização de subprodutos ou fortalecimento do Fundo Municipal.</w:t>
      </w:r>
    </w:p>
    <w:p w14:paraId="73F6F14C" w14:textId="77777777" w:rsidR="00CF7ABE" w:rsidRPr="00B74E01" w:rsidRDefault="00CF7ABE" w:rsidP="0005013F">
      <w:pPr>
        <w:pStyle w:val="Ttulo2"/>
        <w:rPr>
          <w:rFonts w:eastAsia="Times New Roman"/>
          <w:lang w:eastAsia="pt-BR"/>
        </w:rPr>
      </w:pPr>
      <w:bookmarkStart w:id="117" w:name="_Toc230204119"/>
      <w:r w:rsidRPr="00B74E01">
        <w:rPr>
          <w:rFonts w:eastAsia="Times New Roman"/>
          <w:lang w:eastAsia="pt-BR"/>
        </w:rPr>
        <w:lastRenderedPageBreak/>
        <w:t>10.11. Comparação com destinação convencional em aterro sanitário</w:t>
      </w:r>
      <w:bookmarkEnd w:id="117"/>
    </w:p>
    <w:p w14:paraId="6393F501"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análise de energia deve ser integrada à comparação com soluções convencionais de destinação.</w:t>
      </w:r>
    </w:p>
    <w:p w14:paraId="3E2B2611"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destinação em aterro sanitário pode ser formalmente adequada sob o ponto de vista da disposição final, mas, em regra, não proporciona ao Município os mesmos benefícios econômicos e institucionais previstos nesta PPP.</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311"/>
        <w:gridCol w:w="2545"/>
        <w:gridCol w:w="3205"/>
      </w:tblGrid>
      <w:tr w:rsidR="00CF7ABE" w:rsidRPr="00B74E01" w14:paraId="0C8A1FB3" w14:textId="77777777" w:rsidTr="009C2073">
        <w:trPr>
          <w:tblHeader/>
          <w:tblCellSpacing w:w="15" w:type="dxa"/>
        </w:trPr>
        <w:tc>
          <w:tcPr>
            <w:tcW w:w="0" w:type="auto"/>
            <w:vAlign w:val="center"/>
            <w:hideMark/>
          </w:tcPr>
          <w:p w14:paraId="186039F0" w14:textId="77777777" w:rsidR="00CF7ABE" w:rsidRPr="00B74E01" w:rsidRDefault="00CF7ABE" w:rsidP="0005013F">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Elemento comparativo</w:t>
            </w:r>
          </w:p>
        </w:tc>
        <w:tc>
          <w:tcPr>
            <w:tcW w:w="0" w:type="auto"/>
            <w:vAlign w:val="center"/>
            <w:hideMark/>
          </w:tcPr>
          <w:p w14:paraId="3E9B64E9" w14:textId="77777777" w:rsidR="00CF7ABE" w:rsidRPr="00B74E01" w:rsidRDefault="00CF7ABE" w:rsidP="0005013F">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Aterro sanitário convencional</w:t>
            </w:r>
          </w:p>
        </w:tc>
        <w:tc>
          <w:tcPr>
            <w:tcW w:w="0" w:type="auto"/>
            <w:vAlign w:val="center"/>
            <w:hideMark/>
          </w:tcPr>
          <w:p w14:paraId="6A7B0560" w14:textId="77777777" w:rsidR="00CF7ABE" w:rsidRPr="00B74E01" w:rsidRDefault="00CF7ABE" w:rsidP="0005013F">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Solução prevista na PPP</w:t>
            </w:r>
          </w:p>
        </w:tc>
      </w:tr>
      <w:tr w:rsidR="00CF7ABE" w:rsidRPr="00B74E01" w14:paraId="59B80AA8" w14:textId="77777777" w:rsidTr="009C2073">
        <w:trPr>
          <w:tblCellSpacing w:w="15" w:type="dxa"/>
        </w:trPr>
        <w:tc>
          <w:tcPr>
            <w:tcW w:w="0" w:type="auto"/>
            <w:vAlign w:val="center"/>
            <w:hideMark/>
          </w:tcPr>
          <w:p w14:paraId="29EED81E"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Destinação do RSU</w:t>
            </w:r>
          </w:p>
        </w:tc>
        <w:tc>
          <w:tcPr>
            <w:tcW w:w="0" w:type="auto"/>
            <w:vAlign w:val="center"/>
            <w:hideMark/>
          </w:tcPr>
          <w:p w14:paraId="4AE5B251"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Sim</w:t>
            </w:r>
          </w:p>
        </w:tc>
        <w:tc>
          <w:tcPr>
            <w:tcW w:w="0" w:type="auto"/>
            <w:vAlign w:val="center"/>
            <w:hideMark/>
          </w:tcPr>
          <w:p w14:paraId="68F6A8D6"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Sim</w:t>
            </w:r>
          </w:p>
        </w:tc>
      </w:tr>
      <w:tr w:rsidR="00CF7ABE" w:rsidRPr="00B74E01" w14:paraId="11263BFF" w14:textId="77777777" w:rsidTr="009C2073">
        <w:trPr>
          <w:tblCellSpacing w:w="15" w:type="dxa"/>
        </w:trPr>
        <w:tc>
          <w:tcPr>
            <w:tcW w:w="0" w:type="auto"/>
            <w:vAlign w:val="center"/>
            <w:hideMark/>
          </w:tcPr>
          <w:p w14:paraId="047DC4F9"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Redução da conta de energia</w:t>
            </w:r>
          </w:p>
        </w:tc>
        <w:tc>
          <w:tcPr>
            <w:tcW w:w="0" w:type="auto"/>
            <w:vAlign w:val="center"/>
            <w:hideMark/>
          </w:tcPr>
          <w:p w14:paraId="67FA342F"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Não</w:t>
            </w:r>
          </w:p>
        </w:tc>
        <w:tc>
          <w:tcPr>
            <w:tcW w:w="0" w:type="auto"/>
            <w:vAlign w:val="center"/>
            <w:hideMark/>
          </w:tcPr>
          <w:p w14:paraId="04B0E3F7"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Sim</w:t>
            </w:r>
          </w:p>
        </w:tc>
      </w:tr>
      <w:tr w:rsidR="00CF7ABE" w:rsidRPr="00B74E01" w14:paraId="19D23DDE" w14:textId="77777777" w:rsidTr="009C2073">
        <w:trPr>
          <w:tblCellSpacing w:w="15" w:type="dxa"/>
        </w:trPr>
        <w:tc>
          <w:tcPr>
            <w:tcW w:w="0" w:type="auto"/>
            <w:vAlign w:val="center"/>
            <w:hideMark/>
          </w:tcPr>
          <w:p w14:paraId="02D86122"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Disponibilização energética</w:t>
            </w:r>
          </w:p>
        </w:tc>
        <w:tc>
          <w:tcPr>
            <w:tcW w:w="0" w:type="auto"/>
            <w:vAlign w:val="center"/>
            <w:hideMark/>
          </w:tcPr>
          <w:p w14:paraId="4213115F"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Não</w:t>
            </w:r>
          </w:p>
        </w:tc>
        <w:tc>
          <w:tcPr>
            <w:tcW w:w="0" w:type="auto"/>
            <w:vAlign w:val="center"/>
            <w:hideMark/>
          </w:tcPr>
          <w:p w14:paraId="708E2FF2"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Sim</w:t>
            </w:r>
          </w:p>
        </w:tc>
      </w:tr>
      <w:tr w:rsidR="00CF7ABE" w:rsidRPr="00B74E01" w14:paraId="65B79D3E" w14:textId="77777777" w:rsidTr="009C2073">
        <w:trPr>
          <w:tblCellSpacing w:w="15" w:type="dxa"/>
        </w:trPr>
        <w:tc>
          <w:tcPr>
            <w:tcW w:w="0" w:type="auto"/>
            <w:vAlign w:val="center"/>
            <w:hideMark/>
          </w:tcPr>
          <w:p w14:paraId="319C374E"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 acessória potencial</w:t>
            </w:r>
          </w:p>
        </w:tc>
        <w:tc>
          <w:tcPr>
            <w:tcW w:w="0" w:type="auto"/>
            <w:vAlign w:val="center"/>
            <w:hideMark/>
          </w:tcPr>
          <w:p w14:paraId="51027404"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Restrita</w:t>
            </w:r>
          </w:p>
        </w:tc>
        <w:tc>
          <w:tcPr>
            <w:tcW w:w="0" w:type="auto"/>
            <w:vAlign w:val="center"/>
            <w:hideMark/>
          </w:tcPr>
          <w:p w14:paraId="66299EA2"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Sim</w:t>
            </w:r>
          </w:p>
        </w:tc>
      </w:tr>
      <w:tr w:rsidR="00CF7ABE" w:rsidRPr="00B74E01" w14:paraId="1417B646" w14:textId="77777777" w:rsidTr="009C2073">
        <w:trPr>
          <w:tblCellSpacing w:w="15" w:type="dxa"/>
        </w:trPr>
        <w:tc>
          <w:tcPr>
            <w:tcW w:w="0" w:type="auto"/>
            <w:vAlign w:val="center"/>
            <w:hideMark/>
          </w:tcPr>
          <w:p w14:paraId="50183F0B"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Valorização de subprodutos</w:t>
            </w:r>
          </w:p>
        </w:tc>
        <w:tc>
          <w:tcPr>
            <w:tcW w:w="0" w:type="auto"/>
            <w:vAlign w:val="center"/>
            <w:hideMark/>
          </w:tcPr>
          <w:p w14:paraId="4D377BF0"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Limitada ou inexistente</w:t>
            </w:r>
          </w:p>
        </w:tc>
        <w:tc>
          <w:tcPr>
            <w:tcW w:w="0" w:type="auto"/>
            <w:vAlign w:val="center"/>
            <w:hideMark/>
          </w:tcPr>
          <w:p w14:paraId="649A7217"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Sim, conforme viabilidade</w:t>
            </w:r>
          </w:p>
        </w:tc>
      </w:tr>
      <w:tr w:rsidR="00CF7ABE" w:rsidRPr="00B74E01" w14:paraId="27E4C2B5" w14:textId="77777777" w:rsidTr="009C2073">
        <w:trPr>
          <w:tblCellSpacing w:w="15" w:type="dxa"/>
        </w:trPr>
        <w:tc>
          <w:tcPr>
            <w:tcW w:w="0" w:type="auto"/>
            <w:vAlign w:val="center"/>
            <w:hideMark/>
          </w:tcPr>
          <w:p w14:paraId="6CB84DB4"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Recursos ao Fundo Municipal</w:t>
            </w:r>
          </w:p>
        </w:tc>
        <w:tc>
          <w:tcPr>
            <w:tcW w:w="0" w:type="auto"/>
            <w:vAlign w:val="center"/>
            <w:hideMark/>
          </w:tcPr>
          <w:p w14:paraId="7589EE05"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Em regra, não</w:t>
            </w:r>
          </w:p>
        </w:tc>
        <w:tc>
          <w:tcPr>
            <w:tcW w:w="0" w:type="auto"/>
            <w:vAlign w:val="center"/>
            <w:hideMark/>
          </w:tcPr>
          <w:p w14:paraId="477D2AEE"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Sim, conforme modelagem</w:t>
            </w:r>
          </w:p>
        </w:tc>
      </w:tr>
      <w:tr w:rsidR="00CF7ABE" w:rsidRPr="00B74E01" w14:paraId="27DACCDA" w14:textId="77777777" w:rsidTr="009C2073">
        <w:trPr>
          <w:tblCellSpacing w:w="15" w:type="dxa"/>
        </w:trPr>
        <w:tc>
          <w:tcPr>
            <w:tcW w:w="0" w:type="auto"/>
            <w:vAlign w:val="center"/>
            <w:hideMark/>
          </w:tcPr>
          <w:p w14:paraId="0E0E4FDB"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Integração tecnológica</w:t>
            </w:r>
          </w:p>
        </w:tc>
        <w:tc>
          <w:tcPr>
            <w:tcW w:w="0" w:type="auto"/>
            <w:vAlign w:val="center"/>
            <w:hideMark/>
          </w:tcPr>
          <w:p w14:paraId="561A3D94"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Baixa</w:t>
            </w:r>
          </w:p>
        </w:tc>
        <w:tc>
          <w:tcPr>
            <w:tcW w:w="0" w:type="auto"/>
            <w:vAlign w:val="center"/>
            <w:hideMark/>
          </w:tcPr>
          <w:p w14:paraId="47B9395F"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Alta</w:t>
            </w:r>
          </w:p>
        </w:tc>
      </w:tr>
      <w:tr w:rsidR="00CF7ABE" w:rsidRPr="00B74E01" w14:paraId="3E965C8E" w14:textId="77777777" w:rsidTr="009C2073">
        <w:trPr>
          <w:tblCellSpacing w:w="15" w:type="dxa"/>
        </w:trPr>
        <w:tc>
          <w:tcPr>
            <w:tcW w:w="0" w:type="auto"/>
            <w:vAlign w:val="center"/>
            <w:hideMark/>
          </w:tcPr>
          <w:p w14:paraId="0FF18AC9"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Mitigação de passivo com solução industrial</w:t>
            </w:r>
          </w:p>
        </w:tc>
        <w:tc>
          <w:tcPr>
            <w:tcW w:w="0" w:type="auto"/>
            <w:vAlign w:val="center"/>
            <w:hideMark/>
          </w:tcPr>
          <w:p w14:paraId="4065EE5A"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Parcial</w:t>
            </w:r>
          </w:p>
        </w:tc>
        <w:tc>
          <w:tcPr>
            <w:tcW w:w="0" w:type="auto"/>
            <w:vAlign w:val="center"/>
            <w:hideMark/>
          </w:tcPr>
          <w:p w14:paraId="2175C86A"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Sim, conforme desempenho e licenciamento</w:t>
            </w:r>
          </w:p>
        </w:tc>
      </w:tr>
    </w:tbl>
    <w:p w14:paraId="29698975"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Assim, a vantagem da PPP não deve ser lida apenas pela tarifa da tonelada de RSU, mas pelo conjunto econômico entregue: destinação/tratamento, economia energética, valorização de subprodutos, potencial de receitas acessórias, inovação e fortalecimento institucional.</w:t>
      </w:r>
    </w:p>
    <w:p w14:paraId="17DD2441" w14:textId="77777777" w:rsidR="00CF7ABE" w:rsidRPr="00B74E01" w:rsidRDefault="00CF7ABE" w:rsidP="0005013F">
      <w:pPr>
        <w:pStyle w:val="Ttulo2"/>
        <w:rPr>
          <w:rFonts w:eastAsia="Times New Roman"/>
          <w:lang w:eastAsia="pt-BR"/>
        </w:rPr>
      </w:pPr>
      <w:bookmarkStart w:id="118" w:name="_Toc230204120"/>
      <w:r w:rsidRPr="00B74E01">
        <w:rPr>
          <w:rFonts w:eastAsia="Times New Roman"/>
          <w:lang w:eastAsia="pt-BR"/>
        </w:rPr>
        <w:t>10.12. Tratamento dos tributos e componentes da fatura de energia</w:t>
      </w:r>
      <w:bookmarkEnd w:id="118"/>
    </w:p>
    <w:p w14:paraId="19C48BFC"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Para fins desta modelagem, foi adotado o valor total indicado nas faturas da Neoenergia Coelba como referência da despesa efetivamente suportada pelo Município.</w:t>
      </w:r>
    </w:p>
    <w:p w14:paraId="243B0922"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lastRenderedPageBreak/>
        <w:t>Esse valor inclui os componentes que aparecem nas faturas, tais como consumo, encargos, tributos, tarifas, contribuições e demais itens cobrados pela distribuidora, conforme cada unidade consumidora e conta coletiva.</w:t>
      </w:r>
    </w:p>
    <w:p w14:paraId="07DA14E1"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modelagem não realizou dedução externa de tributos ou encargos não segregados de forma segura. O critério adotado foi o mais conservador e auditável: utilizar os valores que aparecem nas faturas como total a pagar pelo Município.</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537"/>
        <w:gridCol w:w="5311"/>
      </w:tblGrid>
      <w:tr w:rsidR="00CF7ABE" w:rsidRPr="00B74E01" w14:paraId="5B6A1AB0" w14:textId="77777777" w:rsidTr="009C2073">
        <w:trPr>
          <w:tblHeade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545F9FB4" w14:textId="77777777" w:rsidR="00CF7ABE" w:rsidRPr="00B74E01" w:rsidRDefault="00CF7ABE" w:rsidP="0005013F">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Critério</w:t>
            </w:r>
          </w:p>
        </w:tc>
        <w:tc>
          <w:tcPr>
            <w:tcW w:w="0" w:type="auto"/>
            <w:tcBorders>
              <w:top w:val="single" w:sz="4" w:space="0" w:color="auto"/>
              <w:left w:val="single" w:sz="4" w:space="0" w:color="auto"/>
              <w:bottom w:val="single" w:sz="4" w:space="0" w:color="auto"/>
              <w:right w:val="single" w:sz="4" w:space="0" w:color="auto"/>
            </w:tcBorders>
            <w:vAlign w:val="center"/>
            <w:hideMark/>
          </w:tcPr>
          <w:p w14:paraId="737E9D6C" w14:textId="77777777" w:rsidR="00CF7ABE" w:rsidRPr="00B74E01" w:rsidRDefault="00CF7ABE" w:rsidP="0005013F">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Tratamento adotado</w:t>
            </w:r>
          </w:p>
        </w:tc>
      </w:tr>
      <w:tr w:rsidR="00CF7ABE" w:rsidRPr="00B74E01" w14:paraId="1EDC4913" w14:textId="77777777" w:rsidTr="009C2073">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108EC5DB"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Valor atual da energia</w:t>
            </w:r>
          </w:p>
        </w:tc>
        <w:tc>
          <w:tcPr>
            <w:tcW w:w="0" w:type="auto"/>
            <w:tcBorders>
              <w:top w:val="single" w:sz="4" w:space="0" w:color="auto"/>
              <w:left w:val="single" w:sz="4" w:space="0" w:color="auto"/>
              <w:bottom w:val="single" w:sz="4" w:space="0" w:color="auto"/>
              <w:right w:val="single" w:sz="4" w:space="0" w:color="auto"/>
            </w:tcBorders>
            <w:vAlign w:val="center"/>
            <w:hideMark/>
          </w:tcPr>
          <w:p w14:paraId="504915F5"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Total indicado nas faturas</w:t>
            </w:r>
          </w:p>
        </w:tc>
      </w:tr>
      <w:tr w:rsidR="00CF7ABE" w:rsidRPr="00B74E01" w14:paraId="2ADC13AE" w14:textId="77777777" w:rsidTr="009C2073">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03EC150E"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Tributos e encargos</w:t>
            </w:r>
          </w:p>
        </w:tc>
        <w:tc>
          <w:tcPr>
            <w:tcW w:w="0" w:type="auto"/>
            <w:tcBorders>
              <w:top w:val="single" w:sz="4" w:space="0" w:color="auto"/>
              <w:left w:val="single" w:sz="4" w:space="0" w:color="auto"/>
              <w:bottom w:val="single" w:sz="4" w:space="0" w:color="auto"/>
              <w:right w:val="single" w:sz="4" w:space="0" w:color="auto"/>
            </w:tcBorders>
            <w:vAlign w:val="center"/>
            <w:hideMark/>
          </w:tcPr>
          <w:p w14:paraId="12F06194"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Considerados dentro do valor total pago</w:t>
            </w:r>
          </w:p>
        </w:tc>
      </w:tr>
      <w:tr w:rsidR="00CF7ABE" w:rsidRPr="00B74E01" w14:paraId="282C1639" w14:textId="77777777" w:rsidTr="009C2073">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57EBB46E"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Dedução de tributos</w:t>
            </w:r>
          </w:p>
        </w:tc>
        <w:tc>
          <w:tcPr>
            <w:tcW w:w="0" w:type="auto"/>
            <w:tcBorders>
              <w:top w:val="single" w:sz="4" w:space="0" w:color="auto"/>
              <w:left w:val="single" w:sz="4" w:space="0" w:color="auto"/>
              <w:bottom w:val="single" w:sz="4" w:space="0" w:color="auto"/>
              <w:right w:val="single" w:sz="4" w:space="0" w:color="auto"/>
            </w:tcBorders>
            <w:vAlign w:val="center"/>
            <w:hideMark/>
          </w:tcPr>
          <w:p w14:paraId="0875BEF9"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Não realizada sem base documental segura</w:t>
            </w:r>
          </w:p>
        </w:tc>
      </w:tr>
      <w:tr w:rsidR="00CF7ABE" w:rsidRPr="00B74E01" w14:paraId="07AC8687" w14:textId="77777777" w:rsidTr="009C2073">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3E5D5249"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Comparação com SPE</w:t>
            </w:r>
          </w:p>
        </w:tc>
        <w:tc>
          <w:tcPr>
            <w:tcW w:w="0" w:type="auto"/>
            <w:tcBorders>
              <w:top w:val="single" w:sz="4" w:space="0" w:color="auto"/>
              <w:left w:val="single" w:sz="4" w:space="0" w:color="auto"/>
              <w:bottom w:val="single" w:sz="4" w:space="0" w:color="auto"/>
              <w:right w:val="single" w:sz="4" w:space="0" w:color="auto"/>
            </w:tcBorders>
            <w:vAlign w:val="center"/>
            <w:hideMark/>
          </w:tcPr>
          <w:p w14:paraId="1D2AA299"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Feita sobre o desembolso efetivo municipal</w:t>
            </w:r>
          </w:p>
        </w:tc>
      </w:tr>
      <w:tr w:rsidR="00CF7ABE" w:rsidRPr="00B74E01" w14:paraId="56A849EB" w14:textId="77777777" w:rsidTr="009C2073">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00B18C57"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Finalidade</w:t>
            </w:r>
          </w:p>
        </w:tc>
        <w:tc>
          <w:tcPr>
            <w:tcW w:w="0" w:type="auto"/>
            <w:tcBorders>
              <w:top w:val="single" w:sz="4" w:space="0" w:color="auto"/>
              <w:left w:val="single" w:sz="4" w:space="0" w:color="auto"/>
              <w:bottom w:val="single" w:sz="4" w:space="0" w:color="auto"/>
              <w:right w:val="single" w:sz="4" w:space="0" w:color="auto"/>
            </w:tcBorders>
            <w:vAlign w:val="center"/>
            <w:hideMark/>
          </w:tcPr>
          <w:p w14:paraId="366187EC"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Demonstrar economia sobre valor real suportado</w:t>
            </w:r>
          </w:p>
        </w:tc>
      </w:tr>
    </w:tbl>
    <w:p w14:paraId="112891DE"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Esse tratamento evita discussão especulativa sobre tributos eventualmente recuperáveis, não incidentes, retidos ou não recolhidos, preservando a análise sobre o valor efetivamente cobrado do Município.</w:t>
      </w:r>
    </w:p>
    <w:p w14:paraId="5C70AECA"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Caso a Administração disponha de memória fiscal detalhada de cada fatura, com segregação segura de ICMS, PIS, COFINS, CIP, encargos setoriais e demais componentes, poderá ser produzido anexo específico de conciliação tributária e tarifária. Contudo, para fins do presente caderno econômico-financeiro, a referência principal é o valor total das faturas efetivamente pagas ou devidas.</w:t>
      </w:r>
    </w:p>
    <w:p w14:paraId="788A2EE4" w14:textId="77777777" w:rsidR="00CF7ABE" w:rsidRPr="00B74E01" w:rsidRDefault="00CF7ABE" w:rsidP="0005013F">
      <w:pPr>
        <w:pStyle w:val="Ttulo2"/>
        <w:rPr>
          <w:rFonts w:eastAsia="Times New Roman"/>
          <w:lang w:eastAsia="pt-BR"/>
        </w:rPr>
      </w:pPr>
      <w:bookmarkStart w:id="119" w:name="_Toc230204121"/>
      <w:r w:rsidRPr="00B74E01">
        <w:rPr>
          <w:rFonts w:eastAsia="Times New Roman"/>
          <w:lang w:eastAsia="pt-BR"/>
        </w:rPr>
        <w:t>10.13. Tratamento jurídico-regulatório da rubrica energética</w:t>
      </w:r>
      <w:bookmarkEnd w:id="119"/>
    </w:p>
    <w:p w14:paraId="6835DF61"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remuneração da SPE relacionada à energia deverá ser cuidadosamente estruturada no edital e no contrato.</w:t>
      </w:r>
    </w:p>
    <w:p w14:paraId="75C7847F"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O caderno recomenda evitar expressões como “venda direta de energia ao Município”, salvo se houver enquadramento jurídico-regulatório específico que autorize tal operação.</w:t>
      </w:r>
    </w:p>
    <w:p w14:paraId="0232EA6F"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lastRenderedPageBreak/>
        <w:t>A redação preferencial é:</w:t>
      </w:r>
    </w:p>
    <w:p w14:paraId="7658662F"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Remuneração pela disponibilização de capacidade energética renovável no âmbito da solução integrada da PPP.</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644"/>
        <w:gridCol w:w="4645"/>
      </w:tblGrid>
      <w:tr w:rsidR="00CF7ABE" w:rsidRPr="00B74E01" w14:paraId="212799B4" w14:textId="77777777" w:rsidTr="009C2073">
        <w:trPr>
          <w:tblHeader/>
          <w:tblCellSpacing w:w="15" w:type="dxa"/>
        </w:trPr>
        <w:tc>
          <w:tcPr>
            <w:tcW w:w="0" w:type="auto"/>
            <w:vAlign w:val="center"/>
            <w:hideMark/>
          </w:tcPr>
          <w:p w14:paraId="38550C51" w14:textId="77777777" w:rsidR="00CF7ABE" w:rsidRPr="00B74E01" w:rsidRDefault="00CF7ABE" w:rsidP="0005013F">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Ponto de atenção</w:t>
            </w:r>
          </w:p>
        </w:tc>
        <w:tc>
          <w:tcPr>
            <w:tcW w:w="0" w:type="auto"/>
            <w:vAlign w:val="center"/>
            <w:hideMark/>
          </w:tcPr>
          <w:p w14:paraId="31C657EB" w14:textId="77777777" w:rsidR="00CF7ABE" w:rsidRPr="00B74E01" w:rsidRDefault="00CF7ABE" w:rsidP="0005013F">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Diretriz recomendada</w:t>
            </w:r>
          </w:p>
        </w:tc>
      </w:tr>
      <w:tr w:rsidR="00CF7ABE" w:rsidRPr="00B74E01" w14:paraId="445E6692" w14:textId="77777777" w:rsidTr="009C2073">
        <w:trPr>
          <w:tblCellSpacing w:w="15" w:type="dxa"/>
        </w:trPr>
        <w:tc>
          <w:tcPr>
            <w:tcW w:w="0" w:type="auto"/>
            <w:vAlign w:val="center"/>
            <w:hideMark/>
          </w:tcPr>
          <w:p w14:paraId="0740653C"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Natureza da rubrica</w:t>
            </w:r>
          </w:p>
        </w:tc>
        <w:tc>
          <w:tcPr>
            <w:tcW w:w="0" w:type="auto"/>
            <w:vAlign w:val="center"/>
            <w:hideMark/>
          </w:tcPr>
          <w:p w14:paraId="4C787647"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Disponibilização de capacidade energética</w:t>
            </w:r>
          </w:p>
        </w:tc>
      </w:tr>
      <w:tr w:rsidR="00CF7ABE" w:rsidRPr="00B74E01" w14:paraId="63A75371" w14:textId="77777777" w:rsidTr="009C2073">
        <w:trPr>
          <w:tblCellSpacing w:w="15" w:type="dxa"/>
        </w:trPr>
        <w:tc>
          <w:tcPr>
            <w:tcW w:w="0" w:type="auto"/>
            <w:vAlign w:val="center"/>
            <w:hideMark/>
          </w:tcPr>
          <w:p w14:paraId="7491D4A4"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Vinculação</w:t>
            </w:r>
          </w:p>
        </w:tc>
        <w:tc>
          <w:tcPr>
            <w:tcW w:w="0" w:type="auto"/>
            <w:vAlign w:val="center"/>
            <w:hideMark/>
          </w:tcPr>
          <w:p w14:paraId="19977D1C"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Solução integrada da PPP</w:t>
            </w:r>
          </w:p>
        </w:tc>
      </w:tr>
      <w:tr w:rsidR="00CF7ABE" w:rsidRPr="00B74E01" w14:paraId="6BC981D1" w14:textId="77777777" w:rsidTr="009C2073">
        <w:trPr>
          <w:tblCellSpacing w:w="15" w:type="dxa"/>
        </w:trPr>
        <w:tc>
          <w:tcPr>
            <w:tcW w:w="0" w:type="auto"/>
            <w:vAlign w:val="center"/>
            <w:hideMark/>
          </w:tcPr>
          <w:p w14:paraId="2538FFB4"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Base econômica</w:t>
            </w:r>
          </w:p>
        </w:tc>
        <w:tc>
          <w:tcPr>
            <w:tcW w:w="0" w:type="auto"/>
            <w:vAlign w:val="center"/>
            <w:hideMark/>
          </w:tcPr>
          <w:p w14:paraId="16B65437"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Redução da despesa energética municipal</w:t>
            </w:r>
          </w:p>
        </w:tc>
      </w:tr>
      <w:tr w:rsidR="00CF7ABE" w:rsidRPr="00B74E01" w14:paraId="40818036" w14:textId="77777777" w:rsidTr="009C2073">
        <w:trPr>
          <w:tblCellSpacing w:w="15" w:type="dxa"/>
        </w:trPr>
        <w:tc>
          <w:tcPr>
            <w:tcW w:w="0" w:type="auto"/>
            <w:vAlign w:val="center"/>
            <w:hideMark/>
          </w:tcPr>
          <w:p w14:paraId="2C8625D7"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Enquadramento jurídico</w:t>
            </w:r>
          </w:p>
        </w:tc>
        <w:tc>
          <w:tcPr>
            <w:tcW w:w="0" w:type="auto"/>
            <w:vAlign w:val="center"/>
            <w:hideMark/>
          </w:tcPr>
          <w:p w14:paraId="316666C6"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 ser definido no edital e contrato</w:t>
            </w:r>
          </w:p>
        </w:tc>
      </w:tr>
      <w:tr w:rsidR="00CF7ABE" w:rsidRPr="00B74E01" w14:paraId="7EB84186" w14:textId="77777777" w:rsidTr="009C2073">
        <w:trPr>
          <w:tblCellSpacing w:w="15" w:type="dxa"/>
        </w:trPr>
        <w:tc>
          <w:tcPr>
            <w:tcW w:w="0" w:type="auto"/>
            <w:vAlign w:val="center"/>
            <w:hideMark/>
          </w:tcPr>
          <w:p w14:paraId="43207FFE"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Risco regulatório</w:t>
            </w:r>
          </w:p>
        </w:tc>
        <w:tc>
          <w:tcPr>
            <w:tcW w:w="0" w:type="auto"/>
            <w:vAlign w:val="center"/>
            <w:hideMark/>
          </w:tcPr>
          <w:p w14:paraId="50DB0E16"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Deve constar na matriz de riscos</w:t>
            </w:r>
          </w:p>
        </w:tc>
      </w:tr>
      <w:tr w:rsidR="00CF7ABE" w:rsidRPr="00B74E01" w14:paraId="05C15DFE" w14:textId="77777777" w:rsidTr="009C2073">
        <w:trPr>
          <w:tblCellSpacing w:w="15" w:type="dxa"/>
        </w:trPr>
        <w:tc>
          <w:tcPr>
            <w:tcW w:w="0" w:type="auto"/>
            <w:vAlign w:val="center"/>
            <w:hideMark/>
          </w:tcPr>
          <w:p w14:paraId="7DB6A238"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Medição e fiscalização</w:t>
            </w:r>
          </w:p>
        </w:tc>
        <w:tc>
          <w:tcPr>
            <w:tcW w:w="0" w:type="auto"/>
            <w:vAlign w:val="center"/>
            <w:hideMark/>
          </w:tcPr>
          <w:p w14:paraId="627A37F3" w14:textId="77777777" w:rsidR="00CF7ABE" w:rsidRPr="00B74E01" w:rsidRDefault="00CF7ABE" w:rsidP="0005013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Devem ser objetivas e auditáveis</w:t>
            </w:r>
          </w:p>
        </w:tc>
      </w:tr>
    </w:tbl>
    <w:p w14:paraId="663F7E49"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Esse cuidado reduz risco de questionamento por banca, Tribunal de Contas, Ministério Público, distribuidora, agência reguladora ou outros agentes do setor elétrico.</w:t>
      </w:r>
    </w:p>
    <w:p w14:paraId="28CDFABA" w14:textId="77777777" w:rsidR="00CF7ABE" w:rsidRPr="00B74E01" w:rsidRDefault="00CF7ABE" w:rsidP="0005013F">
      <w:pPr>
        <w:pStyle w:val="Ttulo2"/>
        <w:rPr>
          <w:rFonts w:eastAsia="Times New Roman"/>
          <w:lang w:eastAsia="pt-BR"/>
        </w:rPr>
      </w:pPr>
      <w:bookmarkStart w:id="120" w:name="_Toc230204122"/>
      <w:r w:rsidRPr="00B74E01">
        <w:rPr>
          <w:rFonts w:eastAsia="Times New Roman"/>
          <w:lang w:eastAsia="pt-BR"/>
        </w:rPr>
        <w:t>10.14. Aplicação do saldo positivo ao Fundo Municipal</w:t>
      </w:r>
      <w:bookmarkEnd w:id="120"/>
    </w:p>
    <w:p w14:paraId="01188438"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No cenário-base de </w:t>
      </w:r>
      <w:r w:rsidRPr="00B74E01">
        <w:rPr>
          <w:rFonts w:eastAsia="Times New Roman" w:cs="Arial"/>
          <w:b/>
          <w:bCs/>
          <w:kern w:val="0"/>
          <w:lang w:eastAsia="pt-BR"/>
          <w14:ligatures w14:val="none"/>
        </w:rPr>
        <w:t>R$ 95/t</w:t>
      </w:r>
      <w:r w:rsidRPr="00B74E01">
        <w:rPr>
          <w:rFonts w:eastAsia="Times New Roman" w:cs="Arial"/>
          <w:kern w:val="0"/>
          <w:lang w:eastAsia="pt-BR"/>
          <w14:ligatures w14:val="none"/>
        </w:rPr>
        <w:t xml:space="preserve">, a economia energética gera saldo positivo de </w:t>
      </w:r>
      <w:r w:rsidRPr="00B74E01">
        <w:rPr>
          <w:rFonts w:eastAsia="Times New Roman" w:cs="Arial"/>
          <w:b/>
          <w:bCs/>
          <w:kern w:val="0"/>
          <w:lang w:eastAsia="pt-BR"/>
          <w14:ligatures w14:val="none"/>
        </w:rPr>
        <w:t>R$ 24.668,54/mês</w:t>
      </w:r>
      <w:r w:rsidRPr="00B74E01">
        <w:rPr>
          <w:rFonts w:eastAsia="Times New Roman" w:cs="Arial"/>
          <w:kern w:val="0"/>
          <w:lang w:eastAsia="pt-BR"/>
          <w14:ligatures w14:val="none"/>
        </w:rPr>
        <w:t xml:space="preserve"> após o custeio da destinação/tratamento do RSU.</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217"/>
        <w:gridCol w:w="1575"/>
        <w:gridCol w:w="1670"/>
      </w:tblGrid>
      <w:tr w:rsidR="00CF7ABE" w:rsidRPr="00B74E01" w14:paraId="647DD725" w14:textId="77777777" w:rsidTr="009C2073">
        <w:trPr>
          <w:tblHeader/>
          <w:tblCellSpacing w:w="15" w:type="dxa"/>
        </w:trPr>
        <w:tc>
          <w:tcPr>
            <w:tcW w:w="0" w:type="auto"/>
            <w:vAlign w:val="center"/>
            <w:hideMark/>
          </w:tcPr>
          <w:p w14:paraId="2495193C" w14:textId="77777777" w:rsidR="00CF7ABE" w:rsidRPr="00B74E01" w:rsidRDefault="00CF7ABE" w:rsidP="004D0DA8">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Fonte</w:t>
            </w:r>
          </w:p>
        </w:tc>
        <w:tc>
          <w:tcPr>
            <w:tcW w:w="0" w:type="auto"/>
            <w:vAlign w:val="center"/>
            <w:hideMark/>
          </w:tcPr>
          <w:p w14:paraId="06F5D1D1" w14:textId="77777777" w:rsidR="00CF7ABE" w:rsidRPr="00B74E01" w:rsidRDefault="00CF7ABE" w:rsidP="004D0DA8">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 mensal</w:t>
            </w:r>
          </w:p>
        </w:tc>
        <w:tc>
          <w:tcPr>
            <w:tcW w:w="0" w:type="auto"/>
            <w:vAlign w:val="center"/>
            <w:hideMark/>
          </w:tcPr>
          <w:p w14:paraId="1F7EF4B0" w14:textId="77777777" w:rsidR="00CF7ABE" w:rsidRPr="00B74E01" w:rsidRDefault="00CF7ABE" w:rsidP="004D0DA8">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 anual</w:t>
            </w:r>
          </w:p>
        </w:tc>
      </w:tr>
      <w:tr w:rsidR="00CF7ABE" w:rsidRPr="00B74E01" w14:paraId="11F3C610" w14:textId="77777777" w:rsidTr="009C2073">
        <w:trPr>
          <w:tblCellSpacing w:w="15" w:type="dxa"/>
        </w:trPr>
        <w:tc>
          <w:tcPr>
            <w:tcW w:w="0" w:type="auto"/>
            <w:vAlign w:val="center"/>
            <w:hideMark/>
          </w:tcPr>
          <w:p w14:paraId="4AB38869" w14:textId="77777777" w:rsidR="00CF7ABE" w:rsidRPr="00B74E01" w:rsidRDefault="00CF7ABE" w:rsidP="004D0DA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Saldo positivo energia x RSU</w:t>
            </w:r>
          </w:p>
        </w:tc>
        <w:tc>
          <w:tcPr>
            <w:tcW w:w="0" w:type="auto"/>
            <w:vAlign w:val="center"/>
            <w:hideMark/>
          </w:tcPr>
          <w:p w14:paraId="6484FDC2" w14:textId="77777777" w:rsidR="00CF7ABE" w:rsidRPr="00B74E01" w:rsidRDefault="00CF7ABE" w:rsidP="004D0DA8">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R$ 24.668,54</w:t>
            </w:r>
          </w:p>
        </w:tc>
        <w:tc>
          <w:tcPr>
            <w:tcW w:w="0" w:type="auto"/>
            <w:vAlign w:val="center"/>
            <w:hideMark/>
          </w:tcPr>
          <w:p w14:paraId="5D07DE9B" w14:textId="77777777" w:rsidR="00CF7ABE" w:rsidRPr="00B74E01" w:rsidRDefault="00CF7ABE" w:rsidP="004D0DA8">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R$ 296.022,52</w:t>
            </w:r>
          </w:p>
        </w:tc>
      </w:tr>
    </w:tbl>
    <w:p w14:paraId="500220EA"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Recomenda-se que esse saldo seja destinado ao </w:t>
      </w:r>
      <w:r w:rsidRPr="00B74E01">
        <w:rPr>
          <w:rFonts w:eastAsia="Times New Roman" w:cs="Arial"/>
          <w:b/>
          <w:bCs/>
          <w:kern w:val="0"/>
          <w:lang w:eastAsia="pt-BR"/>
          <w14:ligatures w14:val="none"/>
        </w:rPr>
        <w:t>Fundo Municipal de Meio Ambiente e Tecnologia Pública</w:t>
      </w:r>
      <w:r w:rsidRPr="00B74E01">
        <w:rPr>
          <w:rFonts w:eastAsia="Times New Roman" w:cs="Arial"/>
          <w:kern w:val="0"/>
          <w:lang w:eastAsia="pt-BR"/>
          <w14:ligatures w14:val="none"/>
        </w:rPr>
        <w:t>, desde que haja previsão legal, orçamentária e contratual adequada.</w:t>
      </w:r>
    </w:p>
    <w:p w14:paraId="7CB58752"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destinação ao Fundo reforça a função pública da PPP, permitindo que a economia gerada seja reinvestida em ações como:</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193"/>
        <w:gridCol w:w="6868"/>
      </w:tblGrid>
      <w:tr w:rsidR="00CF7ABE" w:rsidRPr="00B74E01" w14:paraId="1C0DA02E" w14:textId="77777777" w:rsidTr="009C2073">
        <w:trPr>
          <w:tblHeader/>
          <w:tblCellSpacing w:w="15" w:type="dxa"/>
        </w:trPr>
        <w:tc>
          <w:tcPr>
            <w:tcW w:w="0" w:type="auto"/>
            <w:vAlign w:val="center"/>
            <w:hideMark/>
          </w:tcPr>
          <w:p w14:paraId="5B155E95" w14:textId="77777777" w:rsidR="00CF7ABE" w:rsidRPr="00B74E01" w:rsidRDefault="00CF7ABE" w:rsidP="004D0DA8">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lastRenderedPageBreak/>
              <w:t>Área de aplicação</w:t>
            </w:r>
          </w:p>
        </w:tc>
        <w:tc>
          <w:tcPr>
            <w:tcW w:w="0" w:type="auto"/>
            <w:vAlign w:val="center"/>
            <w:hideMark/>
          </w:tcPr>
          <w:p w14:paraId="5DDA5577" w14:textId="77777777" w:rsidR="00CF7ABE" w:rsidRPr="00B74E01" w:rsidRDefault="00CF7ABE" w:rsidP="004D0DA8">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Exemplos</w:t>
            </w:r>
          </w:p>
        </w:tc>
      </w:tr>
      <w:tr w:rsidR="00CF7ABE" w:rsidRPr="00B74E01" w14:paraId="56EC778C" w14:textId="77777777" w:rsidTr="009C2073">
        <w:trPr>
          <w:tblCellSpacing w:w="15" w:type="dxa"/>
        </w:trPr>
        <w:tc>
          <w:tcPr>
            <w:tcW w:w="0" w:type="auto"/>
            <w:vAlign w:val="center"/>
            <w:hideMark/>
          </w:tcPr>
          <w:p w14:paraId="51C6D868" w14:textId="77777777" w:rsidR="00CF7ABE" w:rsidRPr="00B74E01" w:rsidRDefault="00CF7ABE" w:rsidP="004D0DA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Meio ambiente</w:t>
            </w:r>
          </w:p>
        </w:tc>
        <w:tc>
          <w:tcPr>
            <w:tcW w:w="0" w:type="auto"/>
            <w:vAlign w:val="center"/>
            <w:hideMark/>
          </w:tcPr>
          <w:p w14:paraId="5468E380" w14:textId="77777777" w:rsidR="00CF7ABE" w:rsidRPr="00B74E01" w:rsidRDefault="00CF7ABE" w:rsidP="004D0DA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Recuperação de áreas degradadas, educação ambiental, fiscalização</w:t>
            </w:r>
          </w:p>
        </w:tc>
      </w:tr>
      <w:tr w:rsidR="00CF7ABE" w:rsidRPr="00B74E01" w14:paraId="7DFC1B35" w14:textId="77777777" w:rsidTr="009C2073">
        <w:trPr>
          <w:tblCellSpacing w:w="15" w:type="dxa"/>
        </w:trPr>
        <w:tc>
          <w:tcPr>
            <w:tcW w:w="0" w:type="auto"/>
            <w:vAlign w:val="center"/>
            <w:hideMark/>
          </w:tcPr>
          <w:p w14:paraId="48B30BBA" w14:textId="77777777" w:rsidR="00CF7ABE" w:rsidRPr="00B74E01" w:rsidRDefault="00CF7ABE" w:rsidP="004D0DA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Tecnologia pública</w:t>
            </w:r>
          </w:p>
        </w:tc>
        <w:tc>
          <w:tcPr>
            <w:tcW w:w="0" w:type="auto"/>
            <w:vAlign w:val="center"/>
            <w:hideMark/>
          </w:tcPr>
          <w:p w14:paraId="17D5BE8E" w14:textId="77777777" w:rsidR="00CF7ABE" w:rsidRPr="00B74E01" w:rsidRDefault="00CF7ABE" w:rsidP="004D0DA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Sistemas de monitoramento, controle e dados ambientais</w:t>
            </w:r>
          </w:p>
        </w:tc>
      </w:tr>
      <w:tr w:rsidR="00CF7ABE" w:rsidRPr="00B74E01" w14:paraId="4C29F78C" w14:textId="77777777" w:rsidTr="009C2073">
        <w:trPr>
          <w:tblCellSpacing w:w="15" w:type="dxa"/>
        </w:trPr>
        <w:tc>
          <w:tcPr>
            <w:tcW w:w="0" w:type="auto"/>
            <w:vAlign w:val="center"/>
            <w:hideMark/>
          </w:tcPr>
          <w:p w14:paraId="4BACC759" w14:textId="77777777" w:rsidR="00CF7ABE" w:rsidRPr="00B74E01" w:rsidRDefault="00CF7ABE" w:rsidP="004D0DA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Eficiência energética</w:t>
            </w:r>
          </w:p>
        </w:tc>
        <w:tc>
          <w:tcPr>
            <w:tcW w:w="0" w:type="auto"/>
            <w:vAlign w:val="center"/>
            <w:hideMark/>
          </w:tcPr>
          <w:p w14:paraId="3E688E5A" w14:textId="77777777" w:rsidR="00CF7ABE" w:rsidRPr="00B74E01" w:rsidRDefault="00CF7ABE" w:rsidP="004D0DA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Projetos de redução de consumo em prédios públicos</w:t>
            </w:r>
          </w:p>
        </w:tc>
      </w:tr>
      <w:tr w:rsidR="00CF7ABE" w:rsidRPr="00B74E01" w14:paraId="5986F015" w14:textId="77777777" w:rsidTr="009C2073">
        <w:trPr>
          <w:tblCellSpacing w:w="15" w:type="dxa"/>
        </w:trPr>
        <w:tc>
          <w:tcPr>
            <w:tcW w:w="0" w:type="auto"/>
            <w:vAlign w:val="center"/>
            <w:hideMark/>
          </w:tcPr>
          <w:p w14:paraId="010AA26F" w14:textId="77777777" w:rsidR="00CF7ABE" w:rsidRPr="00B74E01" w:rsidRDefault="00CF7ABE" w:rsidP="004D0DA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Gestão de resíduos</w:t>
            </w:r>
          </w:p>
        </w:tc>
        <w:tc>
          <w:tcPr>
            <w:tcW w:w="0" w:type="auto"/>
            <w:vAlign w:val="center"/>
            <w:hideMark/>
          </w:tcPr>
          <w:p w14:paraId="1006375F" w14:textId="77777777" w:rsidR="00CF7ABE" w:rsidRPr="00B74E01" w:rsidRDefault="00CF7ABE" w:rsidP="004D0DA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Coleta seletiva, triagem, campanhas e melhorias operacionais</w:t>
            </w:r>
          </w:p>
        </w:tc>
      </w:tr>
      <w:tr w:rsidR="00CF7ABE" w:rsidRPr="00B74E01" w14:paraId="0768D69D" w14:textId="77777777" w:rsidTr="009C2073">
        <w:trPr>
          <w:tblCellSpacing w:w="15" w:type="dxa"/>
        </w:trPr>
        <w:tc>
          <w:tcPr>
            <w:tcW w:w="0" w:type="auto"/>
            <w:vAlign w:val="center"/>
            <w:hideMark/>
          </w:tcPr>
          <w:p w14:paraId="28B5404B" w14:textId="77777777" w:rsidR="00CF7ABE" w:rsidRPr="00B74E01" w:rsidRDefault="00CF7ABE" w:rsidP="004D0DA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Inovação</w:t>
            </w:r>
          </w:p>
        </w:tc>
        <w:tc>
          <w:tcPr>
            <w:tcW w:w="0" w:type="auto"/>
            <w:vAlign w:val="center"/>
            <w:hideMark/>
          </w:tcPr>
          <w:p w14:paraId="4C703332" w14:textId="77777777" w:rsidR="00CF7ABE" w:rsidRPr="00B74E01" w:rsidRDefault="00CF7ABE" w:rsidP="004D0DA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Projetos-piloto, laboratórios, sensores e rastreabilidade</w:t>
            </w:r>
          </w:p>
        </w:tc>
      </w:tr>
    </w:tbl>
    <w:p w14:paraId="5BFE0985"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existência desse saldo fortalece a narrativa de que a PPP não apenas resolve um problema ambiental, mas também cria base econômica para políticas públicas permanentes.</w:t>
      </w:r>
    </w:p>
    <w:p w14:paraId="51E247E9" w14:textId="77777777" w:rsidR="00CF7ABE" w:rsidRPr="00B74E01" w:rsidRDefault="00CF7ABE" w:rsidP="004D0DA8">
      <w:pPr>
        <w:pStyle w:val="Ttulo2"/>
        <w:rPr>
          <w:rFonts w:eastAsia="Times New Roman"/>
          <w:lang w:eastAsia="pt-BR"/>
        </w:rPr>
      </w:pPr>
      <w:bookmarkStart w:id="121" w:name="_Toc230204123"/>
      <w:r w:rsidRPr="00B74E01">
        <w:rPr>
          <w:rFonts w:eastAsia="Times New Roman"/>
          <w:lang w:eastAsia="pt-BR"/>
        </w:rPr>
        <w:t>10.15. Conclusão do tópico</w:t>
      </w:r>
      <w:bookmarkEnd w:id="121"/>
    </w:p>
    <w:p w14:paraId="70ED8C2F"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análise da energia elétrica municipal demonstra que a PPP possui relevante componente de vantajosidade econômica.</w:t>
      </w:r>
    </w:p>
    <w:p w14:paraId="6427DF68"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 despesa atual considerada com energia elétrica é de </w:t>
      </w:r>
      <w:r w:rsidRPr="00B74E01">
        <w:rPr>
          <w:rFonts w:eastAsia="Times New Roman" w:cs="Arial"/>
          <w:b/>
          <w:bCs/>
          <w:kern w:val="0"/>
          <w:lang w:eastAsia="pt-BR"/>
          <w14:ligatures w14:val="none"/>
        </w:rPr>
        <w:t>R$ 724.745,63/mês</w:t>
      </w:r>
      <w:r w:rsidRPr="00B74E01">
        <w:rPr>
          <w:rFonts w:eastAsia="Times New Roman" w:cs="Arial"/>
          <w:kern w:val="0"/>
          <w:lang w:eastAsia="pt-BR"/>
          <w14:ligatures w14:val="none"/>
        </w:rPr>
        <w:t xml:space="preserve">, associada a consumo consolidado de </w:t>
      </w:r>
      <w:r w:rsidRPr="00B74E01">
        <w:rPr>
          <w:rFonts w:eastAsia="Times New Roman" w:cs="Arial"/>
          <w:b/>
          <w:bCs/>
          <w:kern w:val="0"/>
          <w:lang w:eastAsia="pt-BR"/>
          <w14:ligatures w14:val="none"/>
        </w:rPr>
        <w:t>1.059.797 kWh/mês</w:t>
      </w:r>
      <w:r w:rsidRPr="00B74E01">
        <w:rPr>
          <w:rFonts w:eastAsia="Times New Roman" w:cs="Arial"/>
          <w:kern w:val="0"/>
          <w:lang w:eastAsia="pt-BR"/>
          <w14:ligatures w14:val="none"/>
        </w:rPr>
        <w:t xml:space="preserve">. A remuneração projetada à SPE pela disponibilização de capacidade energética renovável é de </w:t>
      </w:r>
      <w:r w:rsidRPr="00B74E01">
        <w:rPr>
          <w:rFonts w:eastAsia="Times New Roman" w:cs="Arial"/>
          <w:b/>
          <w:bCs/>
          <w:kern w:val="0"/>
          <w:lang w:eastAsia="pt-BR"/>
          <w14:ligatures w14:val="none"/>
        </w:rPr>
        <w:t>R$ 468.910,42/mês</w:t>
      </w:r>
      <w:r w:rsidRPr="00B74E01">
        <w:rPr>
          <w:rFonts w:eastAsia="Times New Roman" w:cs="Arial"/>
          <w:kern w:val="0"/>
          <w:lang w:eastAsia="pt-BR"/>
          <w14:ligatures w14:val="none"/>
        </w:rPr>
        <w:t xml:space="preserve">, resultando em economia estimada de </w:t>
      </w:r>
      <w:r w:rsidRPr="00B74E01">
        <w:rPr>
          <w:rFonts w:eastAsia="Times New Roman" w:cs="Arial"/>
          <w:b/>
          <w:bCs/>
          <w:kern w:val="0"/>
          <w:lang w:eastAsia="pt-BR"/>
          <w14:ligatures w14:val="none"/>
        </w:rPr>
        <w:t>R$ 255.835,21/mês</w:t>
      </w:r>
      <w:r w:rsidRPr="00B74E01">
        <w:rPr>
          <w:rFonts w:eastAsia="Times New Roman" w:cs="Arial"/>
          <w:kern w:val="0"/>
          <w:lang w:eastAsia="pt-BR"/>
          <w14:ligatures w14:val="none"/>
        </w:rPr>
        <w:t xml:space="preserve">, equivalente a </w:t>
      </w:r>
      <w:r w:rsidRPr="00B74E01">
        <w:rPr>
          <w:rFonts w:eastAsia="Times New Roman" w:cs="Arial"/>
          <w:b/>
          <w:bCs/>
          <w:kern w:val="0"/>
          <w:lang w:eastAsia="pt-BR"/>
          <w14:ligatures w14:val="none"/>
        </w:rPr>
        <w:t>R$ 3.070.022,52/ano</w:t>
      </w:r>
      <w:r w:rsidRPr="00B74E01">
        <w:rPr>
          <w:rFonts w:eastAsia="Times New Roman" w:cs="Arial"/>
          <w:kern w:val="0"/>
          <w:lang w:eastAsia="pt-BR"/>
          <w14:ligatures w14:val="none"/>
        </w:rPr>
        <w:t>.</w:t>
      </w:r>
    </w:p>
    <w:p w14:paraId="68B28E31"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No cenário-base de destinação/tratamento de RSU a </w:t>
      </w:r>
      <w:r w:rsidRPr="00B74E01">
        <w:rPr>
          <w:rFonts w:eastAsia="Times New Roman" w:cs="Arial"/>
          <w:b/>
          <w:bCs/>
          <w:kern w:val="0"/>
          <w:lang w:eastAsia="pt-BR"/>
          <w14:ligatures w14:val="none"/>
        </w:rPr>
        <w:t>R$ 95/t</w:t>
      </w:r>
      <w:r w:rsidRPr="00B74E01">
        <w:rPr>
          <w:rFonts w:eastAsia="Times New Roman" w:cs="Arial"/>
          <w:kern w:val="0"/>
          <w:lang w:eastAsia="pt-BR"/>
          <w14:ligatures w14:val="none"/>
        </w:rPr>
        <w:t xml:space="preserve">, essa economia cobre integralmente o custo mensal de </w:t>
      </w:r>
      <w:r w:rsidRPr="00B74E01">
        <w:rPr>
          <w:rFonts w:eastAsia="Times New Roman" w:cs="Arial"/>
          <w:b/>
          <w:bCs/>
          <w:kern w:val="0"/>
          <w:lang w:eastAsia="pt-BR"/>
          <w14:ligatures w14:val="none"/>
        </w:rPr>
        <w:t>R$ 231.166,67</w:t>
      </w:r>
      <w:r w:rsidRPr="00B74E01">
        <w:rPr>
          <w:rFonts w:eastAsia="Times New Roman" w:cs="Arial"/>
          <w:kern w:val="0"/>
          <w:lang w:eastAsia="pt-BR"/>
          <w14:ligatures w14:val="none"/>
        </w:rPr>
        <w:t xml:space="preserve"> e gera saldo positivo de </w:t>
      </w:r>
      <w:r w:rsidRPr="00B74E01">
        <w:rPr>
          <w:rFonts w:eastAsia="Times New Roman" w:cs="Arial"/>
          <w:b/>
          <w:bCs/>
          <w:kern w:val="0"/>
          <w:lang w:eastAsia="pt-BR"/>
          <w14:ligatures w14:val="none"/>
        </w:rPr>
        <w:t>R$ 24.668,54/mês</w:t>
      </w:r>
      <w:r w:rsidRPr="00B74E01">
        <w:rPr>
          <w:rFonts w:eastAsia="Times New Roman" w:cs="Arial"/>
          <w:kern w:val="0"/>
          <w:lang w:eastAsia="pt-BR"/>
          <w14:ligatures w14:val="none"/>
        </w:rPr>
        <w:t xml:space="preserve"> ao Município.</w:t>
      </w:r>
    </w:p>
    <w:p w14:paraId="2505DFD8"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No cenário superior regional de </w:t>
      </w:r>
      <w:r w:rsidRPr="00B74E01">
        <w:rPr>
          <w:rFonts w:eastAsia="Times New Roman" w:cs="Arial"/>
          <w:b/>
          <w:bCs/>
          <w:kern w:val="0"/>
          <w:lang w:eastAsia="pt-BR"/>
          <w14:ligatures w14:val="none"/>
        </w:rPr>
        <w:t>R$ 140/t</w:t>
      </w:r>
      <w:r w:rsidRPr="00B74E01">
        <w:rPr>
          <w:rFonts w:eastAsia="Times New Roman" w:cs="Arial"/>
          <w:kern w:val="0"/>
          <w:lang w:eastAsia="pt-BR"/>
          <w14:ligatures w14:val="none"/>
        </w:rPr>
        <w:t>, a economia energética não cobre integralmente o custo da destinação, mas reduz substancialmente o impacto líquido municipal. Essa comparação é importante porque o aterro sanitário convencional pode praticar valores próximos ao limite superior regional sem entregar economia energética nem os demais benefícios integrados da PPP.</w:t>
      </w:r>
    </w:p>
    <w:p w14:paraId="6D69267A"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lastRenderedPageBreak/>
        <w:t>A rubrica energética deverá ser estruturada juridicamente como disponibilização de capacidade energética renovável no âmbito da solução integrada, com critérios objetivos de medição, pagamento, fiscalização e matriz de riscos.</w:t>
      </w:r>
    </w:p>
    <w:p w14:paraId="75F5FB52" w14:textId="77777777" w:rsidR="00CF7ABE" w:rsidRPr="00B74E01" w:rsidRDefault="00CF7ABE"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Com isso, a análise energética reforça a tese de que a PPP deve ser avaliada pelo conjunto econômico e institucional da solução, e não apenas pelo preço isolado da tonelada de RSU.</w:t>
      </w:r>
    </w:p>
    <w:p w14:paraId="68CC7732" w14:textId="77777777" w:rsidR="004D0DA8" w:rsidRDefault="004D0DA8" w:rsidP="00B74E01">
      <w:pPr>
        <w:spacing w:before="100" w:beforeAutospacing="1" w:after="100" w:afterAutospacing="1" w:line="360" w:lineRule="auto"/>
        <w:ind w:firstLine="709"/>
        <w:jc w:val="both"/>
        <w:outlineLvl w:val="0"/>
        <w:rPr>
          <w:rFonts w:eastAsia="Times New Roman" w:cs="Arial"/>
          <w:b/>
          <w:bCs/>
          <w:kern w:val="36"/>
          <w:lang w:eastAsia="pt-BR"/>
          <w14:ligatures w14:val="none"/>
        </w:rPr>
      </w:pPr>
    </w:p>
    <w:p w14:paraId="7CD9B40A" w14:textId="77777777" w:rsidR="004D0DA8" w:rsidRDefault="004D0DA8" w:rsidP="00B74E01">
      <w:pPr>
        <w:spacing w:before="100" w:beforeAutospacing="1" w:after="100" w:afterAutospacing="1" w:line="360" w:lineRule="auto"/>
        <w:ind w:firstLine="709"/>
        <w:jc w:val="both"/>
        <w:outlineLvl w:val="0"/>
        <w:rPr>
          <w:rFonts w:eastAsia="Times New Roman" w:cs="Arial"/>
          <w:b/>
          <w:bCs/>
          <w:kern w:val="36"/>
          <w:lang w:eastAsia="pt-BR"/>
          <w14:ligatures w14:val="none"/>
        </w:rPr>
      </w:pPr>
    </w:p>
    <w:p w14:paraId="224B8402" w14:textId="77777777" w:rsidR="004D0DA8" w:rsidRDefault="004D0DA8" w:rsidP="00B74E01">
      <w:pPr>
        <w:spacing w:before="100" w:beforeAutospacing="1" w:after="100" w:afterAutospacing="1" w:line="360" w:lineRule="auto"/>
        <w:ind w:firstLine="709"/>
        <w:jc w:val="both"/>
        <w:outlineLvl w:val="0"/>
        <w:rPr>
          <w:rFonts w:eastAsia="Times New Roman" w:cs="Arial"/>
          <w:b/>
          <w:bCs/>
          <w:kern w:val="36"/>
          <w:lang w:eastAsia="pt-BR"/>
          <w14:ligatures w14:val="none"/>
        </w:rPr>
      </w:pPr>
    </w:p>
    <w:p w14:paraId="07A8D3C3" w14:textId="77777777" w:rsidR="004D0DA8" w:rsidRDefault="004D0DA8" w:rsidP="00B74E01">
      <w:pPr>
        <w:spacing w:before="100" w:beforeAutospacing="1" w:after="100" w:afterAutospacing="1" w:line="360" w:lineRule="auto"/>
        <w:ind w:firstLine="709"/>
        <w:jc w:val="both"/>
        <w:outlineLvl w:val="0"/>
        <w:rPr>
          <w:rFonts w:eastAsia="Times New Roman" w:cs="Arial"/>
          <w:b/>
          <w:bCs/>
          <w:kern w:val="36"/>
          <w:lang w:eastAsia="pt-BR"/>
          <w14:ligatures w14:val="none"/>
        </w:rPr>
      </w:pPr>
    </w:p>
    <w:p w14:paraId="48B8A4B0" w14:textId="77777777" w:rsidR="004D0DA8" w:rsidRDefault="004D0DA8" w:rsidP="00B74E01">
      <w:pPr>
        <w:spacing w:before="100" w:beforeAutospacing="1" w:after="100" w:afterAutospacing="1" w:line="360" w:lineRule="auto"/>
        <w:ind w:firstLine="709"/>
        <w:jc w:val="both"/>
        <w:outlineLvl w:val="0"/>
        <w:rPr>
          <w:rFonts w:eastAsia="Times New Roman" w:cs="Arial"/>
          <w:b/>
          <w:bCs/>
          <w:kern w:val="36"/>
          <w:lang w:eastAsia="pt-BR"/>
          <w14:ligatures w14:val="none"/>
        </w:rPr>
      </w:pPr>
    </w:p>
    <w:p w14:paraId="1411F8C2" w14:textId="77777777" w:rsidR="004D0DA8" w:rsidRDefault="004D0DA8" w:rsidP="00B74E01">
      <w:pPr>
        <w:spacing w:before="100" w:beforeAutospacing="1" w:after="100" w:afterAutospacing="1" w:line="360" w:lineRule="auto"/>
        <w:ind w:firstLine="709"/>
        <w:jc w:val="both"/>
        <w:outlineLvl w:val="0"/>
        <w:rPr>
          <w:rFonts w:eastAsia="Times New Roman" w:cs="Arial"/>
          <w:b/>
          <w:bCs/>
          <w:kern w:val="36"/>
          <w:lang w:eastAsia="pt-BR"/>
          <w14:ligatures w14:val="none"/>
        </w:rPr>
      </w:pPr>
    </w:p>
    <w:p w14:paraId="3A513101" w14:textId="77777777" w:rsidR="004D0DA8" w:rsidRDefault="004D0DA8" w:rsidP="00B74E01">
      <w:pPr>
        <w:spacing w:before="100" w:beforeAutospacing="1" w:after="100" w:afterAutospacing="1" w:line="360" w:lineRule="auto"/>
        <w:ind w:firstLine="709"/>
        <w:jc w:val="both"/>
        <w:outlineLvl w:val="0"/>
        <w:rPr>
          <w:rFonts w:eastAsia="Times New Roman" w:cs="Arial"/>
          <w:b/>
          <w:bCs/>
          <w:kern w:val="36"/>
          <w:lang w:eastAsia="pt-BR"/>
          <w14:ligatures w14:val="none"/>
        </w:rPr>
      </w:pPr>
    </w:p>
    <w:p w14:paraId="25166872" w14:textId="77777777" w:rsidR="004D0DA8" w:rsidRDefault="004D0DA8" w:rsidP="00B74E01">
      <w:pPr>
        <w:spacing w:before="100" w:beforeAutospacing="1" w:after="100" w:afterAutospacing="1" w:line="360" w:lineRule="auto"/>
        <w:ind w:firstLine="709"/>
        <w:jc w:val="both"/>
        <w:outlineLvl w:val="0"/>
        <w:rPr>
          <w:rFonts w:eastAsia="Times New Roman" w:cs="Arial"/>
          <w:b/>
          <w:bCs/>
          <w:kern w:val="36"/>
          <w:lang w:eastAsia="pt-BR"/>
          <w14:ligatures w14:val="none"/>
        </w:rPr>
      </w:pPr>
    </w:p>
    <w:p w14:paraId="25ED2004" w14:textId="77777777" w:rsidR="004D0DA8" w:rsidRDefault="004D0DA8" w:rsidP="00B74E01">
      <w:pPr>
        <w:spacing w:before="100" w:beforeAutospacing="1" w:after="100" w:afterAutospacing="1" w:line="360" w:lineRule="auto"/>
        <w:ind w:firstLine="709"/>
        <w:jc w:val="both"/>
        <w:outlineLvl w:val="0"/>
        <w:rPr>
          <w:rFonts w:eastAsia="Times New Roman" w:cs="Arial"/>
          <w:b/>
          <w:bCs/>
          <w:kern w:val="36"/>
          <w:lang w:eastAsia="pt-BR"/>
          <w14:ligatures w14:val="none"/>
        </w:rPr>
      </w:pPr>
    </w:p>
    <w:p w14:paraId="204EF5CF" w14:textId="77777777" w:rsidR="004D0DA8" w:rsidRDefault="004D0DA8" w:rsidP="00B74E01">
      <w:pPr>
        <w:spacing w:before="100" w:beforeAutospacing="1" w:after="100" w:afterAutospacing="1" w:line="360" w:lineRule="auto"/>
        <w:ind w:firstLine="709"/>
        <w:jc w:val="both"/>
        <w:outlineLvl w:val="0"/>
        <w:rPr>
          <w:rFonts w:eastAsia="Times New Roman" w:cs="Arial"/>
          <w:b/>
          <w:bCs/>
          <w:kern w:val="36"/>
          <w:lang w:eastAsia="pt-BR"/>
          <w14:ligatures w14:val="none"/>
        </w:rPr>
      </w:pPr>
    </w:p>
    <w:p w14:paraId="6B886FE5" w14:textId="77777777" w:rsidR="004D0DA8" w:rsidRDefault="004D0DA8" w:rsidP="00B74E01">
      <w:pPr>
        <w:spacing w:before="100" w:beforeAutospacing="1" w:after="100" w:afterAutospacing="1" w:line="360" w:lineRule="auto"/>
        <w:ind w:firstLine="709"/>
        <w:jc w:val="both"/>
        <w:outlineLvl w:val="0"/>
        <w:rPr>
          <w:rFonts w:eastAsia="Times New Roman" w:cs="Arial"/>
          <w:b/>
          <w:bCs/>
          <w:kern w:val="36"/>
          <w:lang w:eastAsia="pt-BR"/>
          <w14:ligatures w14:val="none"/>
        </w:rPr>
      </w:pPr>
    </w:p>
    <w:p w14:paraId="7A47C9BA" w14:textId="77777777" w:rsidR="004D0DA8" w:rsidRDefault="004D0DA8" w:rsidP="00B74E01">
      <w:pPr>
        <w:spacing w:before="100" w:beforeAutospacing="1" w:after="100" w:afterAutospacing="1" w:line="360" w:lineRule="auto"/>
        <w:ind w:firstLine="709"/>
        <w:jc w:val="both"/>
        <w:outlineLvl w:val="0"/>
        <w:rPr>
          <w:rFonts w:eastAsia="Times New Roman" w:cs="Arial"/>
          <w:b/>
          <w:bCs/>
          <w:kern w:val="36"/>
          <w:lang w:eastAsia="pt-BR"/>
          <w14:ligatures w14:val="none"/>
        </w:rPr>
      </w:pPr>
    </w:p>
    <w:p w14:paraId="04498163" w14:textId="77777777" w:rsidR="004D0DA8" w:rsidRDefault="004D0DA8" w:rsidP="00B74E01">
      <w:pPr>
        <w:spacing w:before="100" w:beforeAutospacing="1" w:after="100" w:afterAutospacing="1" w:line="360" w:lineRule="auto"/>
        <w:ind w:firstLine="709"/>
        <w:jc w:val="both"/>
        <w:outlineLvl w:val="0"/>
        <w:rPr>
          <w:rFonts w:eastAsia="Times New Roman" w:cs="Arial"/>
          <w:b/>
          <w:bCs/>
          <w:kern w:val="36"/>
          <w:lang w:eastAsia="pt-BR"/>
          <w14:ligatures w14:val="none"/>
        </w:rPr>
      </w:pPr>
    </w:p>
    <w:p w14:paraId="694E46E8" w14:textId="77777777" w:rsidR="004D0DA8" w:rsidRDefault="004D0DA8" w:rsidP="00B74E01">
      <w:pPr>
        <w:spacing w:before="100" w:beforeAutospacing="1" w:after="100" w:afterAutospacing="1" w:line="360" w:lineRule="auto"/>
        <w:ind w:firstLine="709"/>
        <w:jc w:val="both"/>
        <w:outlineLvl w:val="0"/>
        <w:rPr>
          <w:rFonts w:eastAsia="Times New Roman" w:cs="Arial"/>
          <w:b/>
          <w:bCs/>
          <w:kern w:val="36"/>
          <w:lang w:eastAsia="pt-BR"/>
          <w14:ligatures w14:val="none"/>
        </w:rPr>
      </w:pPr>
    </w:p>
    <w:p w14:paraId="3F64EDE4" w14:textId="77777777" w:rsidR="004D0DA8" w:rsidRDefault="004D0DA8" w:rsidP="00B74E01">
      <w:pPr>
        <w:spacing w:before="100" w:beforeAutospacing="1" w:after="100" w:afterAutospacing="1" w:line="360" w:lineRule="auto"/>
        <w:ind w:firstLine="709"/>
        <w:jc w:val="both"/>
        <w:outlineLvl w:val="0"/>
        <w:rPr>
          <w:rFonts w:eastAsia="Times New Roman" w:cs="Arial"/>
          <w:b/>
          <w:bCs/>
          <w:kern w:val="36"/>
          <w:lang w:eastAsia="pt-BR"/>
          <w14:ligatures w14:val="none"/>
        </w:rPr>
      </w:pPr>
    </w:p>
    <w:p w14:paraId="23077343" w14:textId="77777777" w:rsidR="004D0DA8" w:rsidRDefault="004D0DA8" w:rsidP="004D0DA8">
      <w:pPr>
        <w:spacing w:before="100" w:beforeAutospacing="1" w:after="100" w:afterAutospacing="1" w:line="360" w:lineRule="auto"/>
        <w:jc w:val="both"/>
        <w:outlineLvl w:val="0"/>
        <w:rPr>
          <w:rFonts w:eastAsia="Times New Roman" w:cs="Arial"/>
          <w:b/>
          <w:bCs/>
          <w:kern w:val="36"/>
          <w:lang w:eastAsia="pt-BR"/>
          <w14:ligatures w14:val="none"/>
        </w:rPr>
      </w:pPr>
    </w:p>
    <w:p w14:paraId="10C0477E" w14:textId="33D8E64A" w:rsidR="00A3112D" w:rsidRPr="00B74E01" w:rsidRDefault="00A3112D" w:rsidP="004D0DA8">
      <w:pPr>
        <w:pStyle w:val="Ttulo1"/>
        <w:rPr>
          <w:rFonts w:eastAsia="Times New Roman"/>
          <w:lang w:eastAsia="pt-BR"/>
        </w:rPr>
      </w:pPr>
      <w:bookmarkStart w:id="122" w:name="_Toc230204124"/>
      <w:r w:rsidRPr="00B74E01">
        <w:rPr>
          <w:rFonts w:eastAsia="Times New Roman"/>
          <w:lang w:eastAsia="pt-BR"/>
        </w:rPr>
        <w:lastRenderedPageBreak/>
        <w:t>11. Receitas Acessórias</w:t>
      </w:r>
      <w:bookmarkEnd w:id="122"/>
    </w:p>
    <w:p w14:paraId="3B835563"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As receitas acessórias representam fontes econômicas adicionais da SPE, decorrentes da exploração de subprodutos, ativos ambientais, materiais recuperáveis ou oportunidades comerciais associadas à operação da planta.</w:t>
      </w:r>
    </w:p>
    <w:p w14:paraId="386F7BAD"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Elas são relevantes para a atratividade do projeto, para a melhoria dos indicadores financeiros, para o fortalecimento do caixa da SPE e para a ampliação dos benefícios públicos da PPP. Contudo, devem ser tratadas com prudência, pois dependem de fatores técnicos, regulatórios, comerciais e de mercado.</w:t>
      </w:r>
    </w:p>
    <w:p w14:paraId="27E864FB"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 lógica correta é: </w:t>
      </w:r>
      <w:r w:rsidRPr="00B74E01">
        <w:rPr>
          <w:rFonts w:eastAsia="Times New Roman" w:cs="Arial"/>
          <w:b/>
          <w:bCs/>
          <w:kern w:val="0"/>
          <w:lang w:eastAsia="pt-BR"/>
          <w14:ligatures w14:val="none"/>
        </w:rPr>
        <w:t>as receitas principais sustentam a PPP; as receitas acessórias fortalecem a PPP</w:t>
      </w:r>
      <w:r w:rsidRPr="00B74E01">
        <w:rPr>
          <w:rFonts w:eastAsia="Times New Roman" w:cs="Arial"/>
          <w:kern w:val="0"/>
          <w:lang w:eastAsia="pt-BR"/>
          <w14:ligatures w14:val="none"/>
        </w:rPr>
        <w:t>.</w:t>
      </w:r>
    </w:p>
    <w:p w14:paraId="7935A671" w14:textId="77777777" w:rsidR="00A3112D" w:rsidRPr="00B74E01" w:rsidRDefault="00A3112D" w:rsidP="004D0DA8">
      <w:pPr>
        <w:pStyle w:val="Ttulo2"/>
        <w:rPr>
          <w:rFonts w:eastAsia="Times New Roman"/>
          <w:lang w:eastAsia="pt-BR"/>
        </w:rPr>
      </w:pPr>
      <w:bookmarkStart w:id="123" w:name="_Toc230204125"/>
      <w:r w:rsidRPr="00B74E01">
        <w:rPr>
          <w:rFonts w:eastAsia="Times New Roman"/>
          <w:lang w:eastAsia="pt-BR"/>
        </w:rPr>
        <w:t>11.1. Conceito de receitas acessórias</w:t>
      </w:r>
      <w:bookmarkEnd w:id="123"/>
    </w:p>
    <w:p w14:paraId="1A3F2AD3"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Receitas acessórias são aquelas que não decorrem diretamente da contraprestação principal do Município, mas da capacidade da SPE de aproveitar economicamente produtos, subprodutos, créditos, materiais ou serviços decorrentes da operação.</w:t>
      </w:r>
    </w:p>
    <w:p w14:paraId="045A982E"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No presente modelo, as receitas acessórias potenciais consideradas são:</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126"/>
        <w:gridCol w:w="5935"/>
      </w:tblGrid>
      <w:tr w:rsidR="00A3112D" w:rsidRPr="00B74E01" w14:paraId="04F7D333" w14:textId="77777777" w:rsidTr="009C2073">
        <w:trPr>
          <w:tblHeader/>
          <w:tblCellSpacing w:w="15" w:type="dxa"/>
        </w:trPr>
        <w:tc>
          <w:tcPr>
            <w:tcW w:w="0" w:type="auto"/>
            <w:vAlign w:val="center"/>
            <w:hideMark/>
          </w:tcPr>
          <w:p w14:paraId="228CC0AE" w14:textId="77777777" w:rsidR="00A3112D" w:rsidRPr="00B74E01" w:rsidRDefault="00A3112D" w:rsidP="004D0DA8">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Receita acessória</w:t>
            </w:r>
          </w:p>
        </w:tc>
        <w:tc>
          <w:tcPr>
            <w:tcW w:w="0" w:type="auto"/>
            <w:vAlign w:val="center"/>
            <w:hideMark/>
          </w:tcPr>
          <w:p w14:paraId="0CC88DE2" w14:textId="77777777" w:rsidR="00A3112D" w:rsidRPr="00B74E01" w:rsidRDefault="00A3112D" w:rsidP="004D0DA8">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Natureza</w:t>
            </w:r>
          </w:p>
        </w:tc>
      </w:tr>
      <w:tr w:rsidR="00A3112D" w:rsidRPr="00B74E01" w14:paraId="688BD7CF" w14:textId="77777777" w:rsidTr="009C2073">
        <w:trPr>
          <w:tblCellSpacing w:w="15" w:type="dxa"/>
        </w:trPr>
        <w:tc>
          <w:tcPr>
            <w:tcW w:w="0" w:type="auto"/>
            <w:vAlign w:val="center"/>
            <w:hideMark/>
          </w:tcPr>
          <w:p w14:paraId="326DF291" w14:textId="77777777" w:rsidR="00A3112D" w:rsidRPr="00B74E01" w:rsidRDefault="00A3112D" w:rsidP="004D0DA8">
            <w:pPr>
              <w:spacing w:after="0" w:line="360" w:lineRule="auto"/>
              <w:rPr>
                <w:rFonts w:eastAsia="Times New Roman" w:cs="Arial"/>
                <w:kern w:val="0"/>
                <w:lang w:eastAsia="pt-BR"/>
                <w14:ligatures w14:val="none"/>
              </w:rPr>
            </w:pPr>
            <w:proofErr w:type="spellStart"/>
            <w:r w:rsidRPr="00B74E01">
              <w:rPr>
                <w:rFonts w:eastAsia="Times New Roman" w:cs="Arial"/>
                <w:kern w:val="0"/>
                <w:lang w:eastAsia="pt-BR"/>
                <w14:ligatures w14:val="none"/>
              </w:rPr>
              <w:t>Biochar</w:t>
            </w:r>
            <w:proofErr w:type="spellEnd"/>
            <w:r w:rsidRPr="00B74E01">
              <w:rPr>
                <w:rFonts w:eastAsia="Times New Roman" w:cs="Arial"/>
                <w:kern w:val="0"/>
                <w:lang w:eastAsia="pt-BR"/>
                <w14:ligatures w14:val="none"/>
              </w:rPr>
              <w:t xml:space="preserve"> / material carbonáceo</w:t>
            </w:r>
          </w:p>
        </w:tc>
        <w:tc>
          <w:tcPr>
            <w:tcW w:w="0" w:type="auto"/>
            <w:vAlign w:val="center"/>
            <w:hideMark/>
          </w:tcPr>
          <w:p w14:paraId="3EFF7081" w14:textId="77777777" w:rsidR="00A3112D" w:rsidRPr="00B74E01" w:rsidRDefault="00A3112D" w:rsidP="004D0DA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Subproduto sólido com potencial econômico, condicionado à qualidade e uso final</w:t>
            </w:r>
          </w:p>
        </w:tc>
      </w:tr>
      <w:tr w:rsidR="00A3112D" w:rsidRPr="00B74E01" w14:paraId="75D46275" w14:textId="77777777" w:rsidTr="009C2073">
        <w:trPr>
          <w:tblCellSpacing w:w="15" w:type="dxa"/>
        </w:trPr>
        <w:tc>
          <w:tcPr>
            <w:tcW w:w="0" w:type="auto"/>
            <w:vAlign w:val="center"/>
            <w:hideMark/>
          </w:tcPr>
          <w:p w14:paraId="57E2FCF6" w14:textId="77777777" w:rsidR="00A3112D" w:rsidRPr="00B74E01" w:rsidRDefault="00A3112D" w:rsidP="004D0DA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 xml:space="preserve">Óleo </w:t>
            </w:r>
            <w:proofErr w:type="spellStart"/>
            <w:r w:rsidRPr="00B74E01">
              <w:rPr>
                <w:rFonts w:eastAsia="Times New Roman" w:cs="Arial"/>
                <w:kern w:val="0"/>
                <w:lang w:eastAsia="pt-BR"/>
                <w14:ligatures w14:val="none"/>
              </w:rPr>
              <w:t>pirolítico</w:t>
            </w:r>
            <w:proofErr w:type="spellEnd"/>
            <w:r w:rsidRPr="00B74E01">
              <w:rPr>
                <w:rFonts w:eastAsia="Times New Roman" w:cs="Arial"/>
                <w:kern w:val="0"/>
                <w:lang w:eastAsia="pt-BR"/>
                <w14:ligatures w14:val="none"/>
              </w:rPr>
              <w:t xml:space="preserve"> / extrato líquido</w:t>
            </w:r>
          </w:p>
        </w:tc>
        <w:tc>
          <w:tcPr>
            <w:tcW w:w="0" w:type="auto"/>
            <w:vAlign w:val="center"/>
            <w:hideMark/>
          </w:tcPr>
          <w:p w14:paraId="3A0F3E43" w14:textId="77777777" w:rsidR="00A3112D" w:rsidRPr="00B74E01" w:rsidRDefault="00A3112D" w:rsidP="004D0DA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Subproduto líquido dependente de enquadramento técnico, regulatório e comprador</w:t>
            </w:r>
          </w:p>
        </w:tc>
      </w:tr>
      <w:tr w:rsidR="00A3112D" w:rsidRPr="00B74E01" w14:paraId="6E7FD98F" w14:textId="77777777" w:rsidTr="009C2073">
        <w:trPr>
          <w:tblCellSpacing w:w="15" w:type="dxa"/>
        </w:trPr>
        <w:tc>
          <w:tcPr>
            <w:tcW w:w="0" w:type="auto"/>
            <w:vAlign w:val="center"/>
            <w:hideMark/>
          </w:tcPr>
          <w:p w14:paraId="6FD225B3" w14:textId="77777777" w:rsidR="00A3112D" w:rsidRPr="00B74E01" w:rsidRDefault="00A3112D" w:rsidP="004D0DA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Créditos de carbono</w:t>
            </w:r>
          </w:p>
        </w:tc>
        <w:tc>
          <w:tcPr>
            <w:tcW w:w="0" w:type="auto"/>
            <w:vAlign w:val="center"/>
            <w:hideMark/>
          </w:tcPr>
          <w:p w14:paraId="6BFD4653" w14:textId="77777777" w:rsidR="00A3112D" w:rsidRPr="00B74E01" w:rsidRDefault="00A3112D" w:rsidP="004D0DA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Ativo ambiental dependente de metodologia, adicionalidade, MRV, certificação e mercado</w:t>
            </w:r>
          </w:p>
        </w:tc>
      </w:tr>
      <w:tr w:rsidR="00A3112D" w:rsidRPr="00B74E01" w14:paraId="0899E82A" w14:textId="77777777" w:rsidTr="009C2073">
        <w:trPr>
          <w:tblCellSpacing w:w="15" w:type="dxa"/>
        </w:trPr>
        <w:tc>
          <w:tcPr>
            <w:tcW w:w="0" w:type="auto"/>
            <w:vAlign w:val="center"/>
            <w:hideMark/>
          </w:tcPr>
          <w:p w14:paraId="39CA2315" w14:textId="77777777" w:rsidR="00A3112D" w:rsidRPr="00B74E01" w:rsidRDefault="00A3112D" w:rsidP="004D0DA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Recicláveis eventualmente aproveitáveis</w:t>
            </w:r>
          </w:p>
        </w:tc>
        <w:tc>
          <w:tcPr>
            <w:tcW w:w="0" w:type="auto"/>
            <w:vAlign w:val="center"/>
            <w:hideMark/>
          </w:tcPr>
          <w:p w14:paraId="1AB0B845" w14:textId="77777777" w:rsidR="00A3112D" w:rsidRPr="00B74E01" w:rsidRDefault="00A3112D" w:rsidP="004D0DA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Potencial adicional, condicionado à triagem, qualidade, contaminação e comprador</w:t>
            </w:r>
          </w:p>
        </w:tc>
      </w:tr>
      <w:tr w:rsidR="00A3112D" w:rsidRPr="00B74E01" w14:paraId="6E17BF85" w14:textId="77777777" w:rsidTr="009C2073">
        <w:trPr>
          <w:tblCellSpacing w:w="15" w:type="dxa"/>
        </w:trPr>
        <w:tc>
          <w:tcPr>
            <w:tcW w:w="0" w:type="auto"/>
            <w:vAlign w:val="center"/>
            <w:hideMark/>
          </w:tcPr>
          <w:p w14:paraId="136C5679" w14:textId="77777777" w:rsidR="00A3112D" w:rsidRPr="00B74E01" w:rsidRDefault="00A3112D" w:rsidP="004D0DA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lastRenderedPageBreak/>
              <w:t>Outros ativos econômicos admitidos</w:t>
            </w:r>
          </w:p>
        </w:tc>
        <w:tc>
          <w:tcPr>
            <w:tcW w:w="0" w:type="auto"/>
            <w:vAlign w:val="center"/>
            <w:hideMark/>
          </w:tcPr>
          <w:p w14:paraId="3E3E10D0" w14:textId="77777777" w:rsidR="00A3112D" w:rsidRPr="00B74E01" w:rsidRDefault="00A3112D" w:rsidP="004D0DA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Possíveis receitas futuras compatíveis com o contrato, a regulação e o licenciamento</w:t>
            </w:r>
          </w:p>
        </w:tc>
      </w:tr>
    </w:tbl>
    <w:p w14:paraId="201B47DB"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Essas receitas não devem ser confundidas com as receitas principais da PPP. Sua realização depende de eficiência operacional, qualidade da matéria-prima, mercado comprador, certificações e capacidade comercial da SPE.</w:t>
      </w:r>
    </w:p>
    <w:p w14:paraId="103C2326" w14:textId="77777777" w:rsidR="00A3112D" w:rsidRPr="00B74E01" w:rsidRDefault="00A3112D" w:rsidP="004D0DA8">
      <w:pPr>
        <w:pStyle w:val="Ttulo2"/>
        <w:rPr>
          <w:rFonts w:eastAsia="Times New Roman"/>
          <w:lang w:eastAsia="pt-BR"/>
        </w:rPr>
      </w:pPr>
      <w:bookmarkStart w:id="124" w:name="_Toc230204126"/>
      <w:r w:rsidRPr="00B74E01">
        <w:rPr>
          <w:rFonts w:eastAsia="Times New Roman"/>
          <w:lang w:eastAsia="pt-BR"/>
        </w:rPr>
        <w:t>11.2. Receitas acessórias consideradas na modelagem</w:t>
      </w:r>
      <w:bookmarkEnd w:id="124"/>
    </w:p>
    <w:p w14:paraId="6E1D24D2"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Para fins de modelagem econômico-financeira, foram consideradas três receitas acessórias principais: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376"/>
        <w:gridCol w:w="2768"/>
        <w:gridCol w:w="1926"/>
        <w:gridCol w:w="1991"/>
      </w:tblGrid>
      <w:tr w:rsidR="00A3112D" w:rsidRPr="00B74E01" w14:paraId="5BD438E2" w14:textId="77777777" w:rsidTr="009C2073">
        <w:trPr>
          <w:tblHeader/>
          <w:tblCellSpacing w:w="15" w:type="dxa"/>
        </w:trPr>
        <w:tc>
          <w:tcPr>
            <w:tcW w:w="0" w:type="auto"/>
            <w:vAlign w:val="center"/>
            <w:hideMark/>
          </w:tcPr>
          <w:p w14:paraId="6F1A7915" w14:textId="77777777" w:rsidR="00A3112D" w:rsidRPr="00B74E01" w:rsidRDefault="00A3112D" w:rsidP="004D0DA8">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Receita acessória</w:t>
            </w:r>
          </w:p>
        </w:tc>
        <w:tc>
          <w:tcPr>
            <w:tcW w:w="0" w:type="auto"/>
            <w:vAlign w:val="center"/>
            <w:hideMark/>
          </w:tcPr>
          <w:p w14:paraId="65A410F0" w14:textId="77777777" w:rsidR="00A3112D" w:rsidRPr="00B74E01" w:rsidRDefault="00A3112D" w:rsidP="004D0DA8">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Premissa de cálculo</w:t>
            </w:r>
          </w:p>
        </w:tc>
        <w:tc>
          <w:tcPr>
            <w:tcW w:w="0" w:type="auto"/>
            <w:vAlign w:val="center"/>
            <w:hideMark/>
          </w:tcPr>
          <w:p w14:paraId="622AC032" w14:textId="77777777" w:rsidR="00A3112D" w:rsidRPr="00B74E01" w:rsidRDefault="00A3112D" w:rsidP="004D0DA8">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Receita mensal bruta</w:t>
            </w:r>
          </w:p>
        </w:tc>
        <w:tc>
          <w:tcPr>
            <w:tcW w:w="0" w:type="auto"/>
            <w:vAlign w:val="center"/>
            <w:hideMark/>
          </w:tcPr>
          <w:p w14:paraId="1D1C256B" w14:textId="77777777" w:rsidR="00A3112D" w:rsidRPr="00B74E01" w:rsidRDefault="00A3112D" w:rsidP="004D0DA8">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Receita anual bruta</w:t>
            </w:r>
          </w:p>
        </w:tc>
      </w:tr>
      <w:tr w:rsidR="00A3112D" w:rsidRPr="00B74E01" w14:paraId="1962D5D4" w14:textId="77777777" w:rsidTr="009C2073">
        <w:trPr>
          <w:tblCellSpacing w:w="15" w:type="dxa"/>
        </w:trPr>
        <w:tc>
          <w:tcPr>
            <w:tcW w:w="0" w:type="auto"/>
            <w:vAlign w:val="center"/>
            <w:hideMark/>
          </w:tcPr>
          <w:p w14:paraId="77972D16" w14:textId="77777777" w:rsidR="00A3112D" w:rsidRPr="00B74E01" w:rsidRDefault="00A3112D" w:rsidP="004D0DA8">
            <w:pPr>
              <w:spacing w:after="0" w:line="360" w:lineRule="auto"/>
              <w:jc w:val="both"/>
              <w:rPr>
                <w:rFonts w:eastAsia="Times New Roman" w:cs="Arial"/>
                <w:kern w:val="0"/>
                <w:lang w:eastAsia="pt-BR"/>
                <w14:ligatures w14:val="none"/>
              </w:rPr>
            </w:pPr>
            <w:proofErr w:type="spellStart"/>
            <w:r w:rsidRPr="00B74E01">
              <w:rPr>
                <w:rFonts w:eastAsia="Times New Roman" w:cs="Arial"/>
                <w:kern w:val="0"/>
                <w:lang w:eastAsia="pt-BR"/>
                <w14:ligatures w14:val="none"/>
              </w:rPr>
              <w:t>Biochar</w:t>
            </w:r>
            <w:proofErr w:type="spellEnd"/>
            <w:r w:rsidRPr="00B74E01">
              <w:rPr>
                <w:rFonts w:eastAsia="Times New Roman" w:cs="Arial"/>
                <w:kern w:val="0"/>
                <w:lang w:eastAsia="pt-BR"/>
                <w14:ligatures w14:val="none"/>
              </w:rPr>
              <w:t xml:space="preserve"> / material carbonáceo</w:t>
            </w:r>
          </w:p>
        </w:tc>
        <w:tc>
          <w:tcPr>
            <w:tcW w:w="0" w:type="auto"/>
            <w:vAlign w:val="center"/>
            <w:hideMark/>
          </w:tcPr>
          <w:p w14:paraId="7DA98FE9" w14:textId="77777777" w:rsidR="00A3112D" w:rsidRPr="00B74E01" w:rsidRDefault="00A3112D" w:rsidP="004D0DA8">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8,3 t/dia × R$ 1.250,00/t × 365 ÷ 12</w:t>
            </w:r>
          </w:p>
        </w:tc>
        <w:tc>
          <w:tcPr>
            <w:tcW w:w="0" w:type="auto"/>
            <w:vAlign w:val="center"/>
            <w:hideMark/>
          </w:tcPr>
          <w:p w14:paraId="6D02E5A3" w14:textId="77777777" w:rsidR="00A3112D" w:rsidRPr="00B74E01" w:rsidRDefault="00A3112D" w:rsidP="004D0DA8">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R$ 315.604,17</w:t>
            </w:r>
          </w:p>
        </w:tc>
        <w:tc>
          <w:tcPr>
            <w:tcW w:w="0" w:type="auto"/>
            <w:vAlign w:val="center"/>
            <w:hideMark/>
          </w:tcPr>
          <w:p w14:paraId="23309222" w14:textId="77777777" w:rsidR="00A3112D" w:rsidRPr="00B74E01" w:rsidRDefault="00A3112D" w:rsidP="004D0DA8">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R$ 3.787.250,00</w:t>
            </w:r>
          </w:p>
        </w:tc>
      </w:tr>
      <w:tr w:rsidR="00A3112D" w:rsidRPr="00B74E01" w14:paraId="0B42042A" w14:textId="77777777" w:rsidTr="009C2073">
        <w:trPr>
          <w:tblCellSpacing w:w="15" w:type="dxa"/>
        </w:trPr>
        <w:tc>
          <w:tcPr>
            <w:tcW w:w="0" w:type="auto"/>
            <w:vAlign w:val="center"/>
            <w:hideMark/>
          </w:tcPr>
          <w:p w14:paraId="7FB1F7AF" w14:textId="77777777" w:rsidR="00A3112D" w:rsidRPr="00B74E01" w:rsidRDefault="00A3112D" w:rsidP="004D0DA8">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 xml:space="preserve">Óleo </w:t>
            </w:r>
            <w:proofErr w:type="spellStart"/>
            <w:r w:rsidRPr="00B74E01">
              <w:rPr>
                <w:rFonts w:eastAsia="Times New Roman" w:cs="Arial"/>
                <w:kern w:val="0"/>
                <w:lang w:eastAsia="pt-BR"/>
                <w14:ligatures w14:val="none"/>
              </w:rPr>
              <w:t>pirolítico</w:t>
            </w:r>
            <w:proofErr w:type="spellEnd"/>
            <w:r w:rsidRPr="00B74E01">
              <w:rPr>
                <w:rFonts w:eastAsia="Times New Roman" w:cs="Arial"/>
                <w:kern w:val="0"/>
                <w:lang w:eastAsia="pt-BR"/>
                <w14:ligatures w14:val="none"/>
              </w:rPr>
              <w:t xml:space="preserve"> / extrato líquido</w:t>
            </w:r>
          </w:p>
        </w:tc>
        <w:tc>
          <w:tcPr>
            <w:tcW w:w="0" w:type="auto"/>
            <w:vAlign w:val="center"/>
            <w:hideMark/>
          </w:tcPr>
          <w:p w14:paraId="6977F453" w14:textId="77777777" w:rsidR="00A3112D" w:rsidRPr="00B74E01" w:rsidRDefault="00A3112D" w:rsidP="004D0DA8">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4,15 t/dia × R$ 2.700,00/t × 365 ÷ 12</w:t>
            </w:r>
          </w:p>
        </w:tc>
        <w:tc>
          <w:tcPr>
            <w:tcW w:w="0" w:type="auto"/>
            <w:vAlign w:val="center"/>
            <w:hideMark/>
          </w:tcPr>
          <w:p w14:paraId="39E508D1" w14:textId="77777777" w:rsidR="00A3112D" w:rsidRPr="00B74E01" w:rsidRDefault="00A3112D" w:rsidP="004D0DA8">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R$ 340.818,75</w:t>
            </w:r>
          </w:p>
        </w:tc>
        <w:tc>
          <w:tcPr>
            <w:tcW w:w="0" w:type="auto"/>
            <w:vAlign w:val="center"/>
            <w:hideMark/>
          </w:tcPr>
          <w:p w14:paraId="22900CA6" w14:textId="77777777" w:rsidR="00A3112D" w:rsidRPr="00B74E01" w:rsidRDefault="00A3112D" w:rsidP="004D0DA8">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R$ 4.089.825,00</w:t>
            </w:r>
          </w:p>
        </w:tc>
      </w:tr>
      <w:tr w:rsidR="00A3112D" w:rsidRPr="00B74E01" w14:paraId="525B519A" w14:textId="77777777" w:rsidTr="009C2073">
        <w:trPr>
          <w:tblCellSpacing w:w="15" w:type="dxa"/>
        </w:trPr>
        <w:tc>
          <w:tcPr>
            <w:tcW w:w="0" w:type="auto"/>
            <w:vAlign w:val="center"/>
            <w:hideMark/>
          </w:tcPr>
          <w:p w14:paraId="7EA67A26" w14:textId="77777777" w:rsidR="00A3112D" w:rsidRPr="00B74E01" w:rsidRDefault="00A3112D" w:rsidP="004D0DA8">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Créditos de carbono</w:t>
            </w:r>
          </w:p>
        </w:tc>
        <w:tc>
          <w:tcPr>
            <w:tcW w:w="0" w:type="auto"/>
            <w:vAlign w:val="center"/>
            <w:hideMark/>
          </w:tcPr>
          <w:p w14:paraId="53A8FB2A" w14:textId="77777777" w:rsidR="00A3112D" w:rsidRPr="00B74E01" w:rsidRDefault="00A3112D" w:rsidP="004D0DA8">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43.800 créditos/ano × R$ 72,00 ÷ 12</w:t>
            </w:r>
          </w:p>
        </w:tc>
        <w:tc>
          <w:tcPr>
            <w:tcW w:w="0" w:type="auto"/>
            <w:vAlign w:val="center"/>
            <w:hideMark/>
          </w:tcPr>
          <w:p w14:paraId="14B861BD" w14:textId="77777777" w:rsidR="00A3112D" w:rsidRPr="00B74E01" w:rsidRDefault="00A3112D" w:rsidP="004D0DA8">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R$ 262.800,00</w:t>
            </w:r>
          </w:p>
        </w:tc>
        <w:tc>
          <w:tcPr>
            <w:tcW w:w="0" w:type="auto"/>
            <w:vAlign w:val="center"/>
            <w:hideMark/>
          </w:tcPr>
          <w:p w14:paraId="008A3D39" w14:textId="77777777" w:rsidR="00A3112D" w:rsidRPr="00B74E01" w:rsidRDefault="00A3112D" w:rsidP="004D0DA8">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R$ 3.153.600,00</w:t>
            </w:r>
          </w:p>
        </w:tc>
      </w:tr>
      <w:tr w:rsidR="00A3112D" w:rsidRPr="00B74E01" w14:paraId="5243A97C" w14:textId="77777777" w:rsidTr="009C2073">
        <w:trPr>
          <w:tblCellSpacing w:w="15" w:type="dxa"/>
        </w:trPr>
        <w:tc>
          <w:tcPr>
            <w:tcW w:w="0" w:type="auto"/>
            <w:vAlign w:val="center"/>
            <w:hideMark/>
          </w:tcPr>
          <w:p w14:paraId="14566CFF" w14:textId="77777777" w:rsidR="00A3112D" w:rsidRPr="00B74E01" w:rsidRDefault="00A3112D" w:rsidP="004D0DA8">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Total bruto potencial</w:t>
            </w:r>
          </w:p>
        </w:tc>
        <w:tc>
          <w:tcPr>
            <w:tcW w:w="0" w:type="auto"/>
            <w:vAlign w:val="center"/>
            <w:hideMark/>
          </w:tcPr>
          <w:p w14:paraId="52A02EBA" w14:textId="77777777" w:rsidR="00A3112D" w:rsidRPr="00B74E01" w:rsidRDefault="00A3112D" w:rsidP="004D0DA8">
            <w:pPr>
              <w:spacing w:after="0" w:line="360" w:lineRule="auto"/>
              <w:jc w:val="both"/>
              <w:rPr>
                <w:rFonts w:eastAsia="Times New Roman" w:cs="Arial"/>
                <w:kern w:val="0"/>
                <w:lang w:eastAsia="pt-BR"/>
                <w14:ligatures w14:val="none"/>
              </w:rPr>
            </w:pPr>
          </w:p>
        </w:tc>
        <w:tc>
          <w:tcPr>
            <w:tcW w:w="0" w:type="auto"/>
            <w:vAlign w:val="center"/>
            <w:hideMark/>
          </w:tcPr>
          <w:p w14:paraId="662D8955" w14:textId="77777777" w:rsidR="00A3112D" w:rsidRPr="00B74E01" w:rsidRDefault="00A3112D" w:rsidP="004D0DA8">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R$ 919.222,92</w:t>
            </w:r>
          </w:p>
        </w:tc>
        <w:tc>
          <w:tcPr>
            <w:tcW w:w="0" w:type="auto"/>
            <w:vAlign w:val="center"/>
            <w:hideMark/>
          </w:tcPr>
          <w:p w14:paraId="7BFA7411" w14:textId="77777777" w:rsidR="00A3112D" w:rsidRPr="00B74E01" w:rsidRDefault="00A3112D" w:rsidP="004D0DA8">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R$ 11.030.675,00</w:t>
            </w:r>
          </w:p>
        </w:tc>
      </w:tr>
    </w:tbl>
    <w:p w14:paraId="08C9D6E3" w14:textId="77777777" w:rsidR="00A3112D"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Esses valores integram o cenário ampliado de atratividade, e não o cenário mínimo contratual da PPP. O cenário mínimo deve continuar baseado nas receitas principais: destinação/tratamento de RSU e disponibilização de capacidade energética.</w:t>
      </w:r>
    </w:p>
    <w:p w14:paraId="713710F3" w14:textId="77777777" w:rsidR="004D0DA8" w:rsidRDefault="004D0DA8" w:rsidP="00B74E01">
      <w:pPr>
        <w:spacing w:before="100" w:beforeAutospacing="1" w:after="100" w:afterAutospacing="1" w:line="360" w:lineRule="auto"/>
        <w:ind w:firstLine="709"/>
        <w:jc w:val="both"/>
        <w:rPr>
          <w:rFonts w:eastAsia="Times New Roman" w:cs="Arial"/>
          <w:kern w:val="0"/>
          <w:lang w:eastAsia="pt-BR"/>
          <w14:ligatures w14:val="none"/>
        </w:rPr>
      </w:pPr>
    </w:p>
    <w:p w14:paraId="4B4AC455" w14:textId="77777777" w:rsidR="004D0DA8" w:rsidRDefault="004D0DA8" w:rsidP="00B74E01">
      <w:pPr>
        <w:spacing w:before="100" w:beforeAutospacing="1" w:after="100" w:afterAutospacing="1" w:line="360" w:lineRule="auto"/>
        <w:ind w:firstLine="709"/>
        <w:jc w:val="both"/>
        <w:rPr>
          <w:rFonts w:eastAsia="Times New Roman" w:cs="Arial"/>
          <w:kern w:val="0"/>
          <w:lang w:eastAsia="pt-BR"/>
          <w14:ligatures w14:val="none"/>
        </w:rPr>
      </w:pPr>
    </w:p>
    <w:p w14:paraId="7E180CBA" w14:textId="77777777" w:rsidR="00A3112D" w:rsidRPr="00B74E01" w:rsidRDefault="00A3112D" w:rsidP="004D0DA8">
      <w:pPr>
        <w:pStyle w:val="Ttulo2"/>
        <w:rPr>
          <w:rFonts w:eastAsia="Times New Roman"/>
          <w:lang w:eastAsia="pt-BR"/>
        </w:rPr>
      </w:pPr>
      <w:bookmarkStart w:id="125" w:name="_Toc230204127"/>
      <w:r w:rsidRPr="00B74E01">
        <w:rPr>
          <w:rFonts w:eastAsia="Times New Roman"/>
          <w:lang w:eastAsia="pt-BR"/>
        </w:rPr>
        <w:lastRenderedPageBreak/>
        <w:t>11.3. Memórias de cálculo das receitas acessórias</w:t>
      </w:r>
      <w:bookmarkEnd w:id="125"/>
    </w:p>
    <w:p w14:paraId="7BAD3F24" w14:textId="77777777" w:rsidR="00A3112D" w:rsidRPr="00B74E01" w:rsidRDefault="00A3112D" w:rsidP="004D0DA8">
      <w:pPr>
        <w:pStyle w:val="Ttulo3"/>
        <w:rPr>
          <w:rFonts w:eastAsia="Times New Roman"/>
          <w:lang w:eastAsia="pt-BR"/>
        </w:rPr>
      </w:pPr>
      <w:bookmarkStart w:id="126" w:name="_Toc230204128"/>
      <w:r w:rsidRPr="00B74E01">
        <w:rPr>
          <w:rFonts w:eastAsia="Times New Roman"/>
          <w:lang w:eastAsia="pt-BR"/>
        </w:rPr>
        <w:t xml:space="preserve">11.3.1. </w:t>
      </w:r>
      <w:proofErr w:type="spellStart"/>
      <w:r w:rsidRPr="00B74E01">
        <w:rPr>
          <w:rFonts w:eastAsia="Times New Roman"/>
          <w:lang w:eastAsia="pt-BR"/>
        </w:rPr>
        <w:t>Biochar</w:t>
      </w:r>
      <w:proofErr w:type="spellEnd"/>
      <w:r w:rsidRPr="00B74E01">
        <w:rPr>
          <w:rFonts w:eastAsia="Times New Roman"/>
          <w:lang w:eastAsia="pt-BR"/>
        </w:rPr>
        <w:t xml:space="preserve"> / material carbonáceo</w:t>
      </w:r>
      <w:bookmarkEnd w:id="126"/>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470"/>
        <w:gridCol w:w="1870"/>
      </w:tblGrid>
      <w:tr w:rsidR="00A3112D" w:rsidRPr="00B74E01" w14:paraId="37E10F77" w14:textId="77777777" w:rsidTr="009C2073">
        <w:trPr>
          <w:tblHeader/>
          <w:tblCellSpacing w:w="15" w:type="dxa"/>
        </w:trPr>
        <w:tc>
          <w:tcPr>
            <w:tcW w:w="0" w:type="auto"/>
            <w:vAlign w:val="center"/>
            <w:hideMark/>
          </w:tcPr>
          <w:p w14:paraId="405C46C8" w14:textId="77777777" w:rsidR="00A3112D" w:rsidRPr="00B74E01" w:rsidRDefault="00A3112D" w:rsidP="004D0DA8">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Premissa</w:t>
            </w:r>
          </w:p>
        </w:tc>
        <w:tc>
          <w:tcPr>
            <w:tcW w:w="0" w:type="auto"/>
            <w:vAlign w:val="center"/>
            <w:hideMark/>
          </w:tcPr>
          <w:p w14:paraId="2F14467E" w14:textId="77777777" w:rsidR="00A3112D" w:rsidRPr="00B74E01" w:rsidRDefault="00A3112D" w:rsidP="004D0DA8">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w:t>
            </w:r>
          </w:p>
        </w:tc>
      </w:tr>
      <w:tr w:rsidR="00A3112D" w:rsidRPr="00B74E01" w14:paraId="7F735CE6" w14:textId="77777777" w:rsidTr="009C2073">
        <w:trPr>
          <w:tblCellSpacing w:w="15" w:type="dxa"/>
        </w:trPr>
        <w:tc>
          <w:tcPr>
            <w:tcW w:w="0" w:type="auto"/>
            <w:vAlign w:val="center"/>
            <w:hideMark/>
          </w:tcPr>
          <w:p w14:paraId="501B0AD7" w14:textId="77777777" w:rsidR="00A3112D" w:rsidRPr="00B74E01" w:rsidRDefault="00A3112D" w:rsidP="004D0DA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Produção estimada</w:t>
            </w:r>
          </w:p>
        </w:tc>
        <w:tc>
          <w:tcPr>
            <w:tcW w:w="0" w:type="auto"/>
            <w:vAlign w:val="center"/>
            <w:hideMark/>
          </w:tcPr>
          <w:p w14:paraId="387BC64D" w14:textId="77777777" w:rsidR="00A3112D" w:rsidRPr="00B74E01" w:rsidRDefault="00A3112D" w:rsidP="004D0DA8">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8,3 t/dia</w:t>
            </w:r>
          </w:p>
        </w:tc>
      </w:tr>
      <w:tr w:rsidR="00A3112D" w:rsidRPr="00B74E01" w14:paraId="01EC726B" w14:textId="77777777" w:rsidTr="009C2073">
        <w:trPr>
          <w:tblCellSpacing w:w="15" w:type="dxa"/>
        </w:trPr>
        <w:tc>
          <w:tcPr>
            <w:tcW w:w="0" w:type="auto"/>
            <w:vAlign w:val="center"/>
            <w:hideMark/>
          </w:tcPr>
          <w:p w14:paraId="07BFD719" w14:textId="77777777" w:rsidR="00A3112D" w:rsidRPr="00B74E01" w:rsidRDefault="00A3112D" w:rsidP="004D0DA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Preço estimado</w:t>
            </w:r>
          </w:p>
        </w:tc>
        <w:tc>
          <w:tcPr>
            <w:tcW w:w="0" w:type="auto"/>
            <w:vAlign w:val="center"/>
            <w:hideMark/>
          </w:tcPr>
          <w:p w14:paraId="65AB9127" w14:textId="77777777" w:rsidR="00A3112D" w:rsidRPr="00B74E01" w:rsidRDefault="00A3112D" w:rsidP="004D0DA8">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R$ 1.250,00/t</w:t>
            </w:r>
          </w:p>
        </w:tc>
      </w:tr>
      <w:tr w:rsidR="00A3112D" w:rsidRPr="00B74E01" w14:paraId="46DFE229" w14:textId="77777777" w:rsidTr="009C2073">
        <w:trPr>
          <w:tblCellSpacing w:w="15" w:type="dxa"/>
        </w:trPr>
        <w:tc>
          <w:tcPr>
            <w:tcW w:w="0" w:type="auto"/>
            <w:vAlign w:val="center"/>
            <w:hideMark/>
          </w:tcPr>
          <w:p w14:paraId="66EE1FE7" w14:textId="77777777" w:rsidR="00A3112D" w:rsidRPr="00B74E01" w:rsidRDefault="00A3112D" w:rsidP="004D0DA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 diária</w:t>
            </w:r>
          </w:p>
        </w:tc>
        <w:tc>
          <w:tcPr>
            <w:tcW w:w="0" w:type="auto"/>
            <w:vAlign w:val="center"/>
            <w:hideMark/>
          </w:tcPr>
          <w:p w14:paraId="584AC121" w14:textId="77777777" w:rsidR="00A3112D" w:rsidRPr="00B74E01" w:rsidRDefault="00A3112D" w:rsidP="004D0DA8">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R$ 10.375,00</w:t>
            </w:r>
          </w:p>
        </w:tc>
      </w:tr>
      <w:tr w:rsidR="00A3112D" w:rsidRPr="00B74E01" w14:paraId="57A685B2" w14:textId="77777777" w:rsidTr="009C2073">
        <w:trPr>
          <w:tblCellSpacing w:w="15" w:type="dxa"/>
        </w:trPr>
        <w:tc>
          <w:tcPr>
            <w:tcW w:w="0" w:type="auto"/>
            <w:vAlign w:val="center"/>
            <w:hideMark/>
          </w:tcPr>
          <w:p w14:paraId="15F40A33" w14:textId="77777777" w:rsidR="00A3112D" w:rsidRPr="00B74E01" w:rsidRDefault="00A3112D" w:rsidP="004D0DA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 mensal média</w:t>
            </w:r>
          </w:p>
        </w:tc>
        <w:tc>
          <w:tcPr>
            <w:tcW w:w="0" w:type="auto"/>
            <w:vAlign w:val="center"/>
            <w:hideMark/>
          </w:tcPr>
          <w:p w14:paraId="4E380F0F" w14:textId="77777777" w:rsidR="00A3112D" w:rsidRPr="00B74E01" w:rsidRDefault="00A3112D" w:rsidP="004D0DA8">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R$ 315.604,17</w:t>
            </w:r>
          </w:p>
        </w:tc>
      </w:tr>
      <w:tr w:rsidR="00A3112D" w:rsidRPr="00B74E01" w14:paraId="20CA3734" w14:textId="77777777" w:rsidTr="009C2073">
        <w:trPr>
          <w:tblCellSpacing w:w="15" w:type="dxa"/>
        </w:trPr>
        <w:tc>
          <w:tcPr>
            <w:tcW w:w="0" w:type="auto"/>
            <w:vAlign w:val="center"/>
            <w:hideMark/>
          </w:tcPr>
          <w:p w14:paraId="2A63CFF0" w14:textId="77777777" w:rsidR="00A3112D" w:rsidRPr="00B74E01" w:rsidRDefault="00A3112D" w:rsidP="004D0DA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 anual</w:t>
            </w:r>
          </w:p>
        </w:tc>
        <w:tc>
          <w:tcPr>
            <w:tcW w:w="0" w:type="auto"/>
            <w:vAlign w:val="center"/>
            <w:hideMark/>
          </w:tcPr>
          <w:p w14:paraId="522CEE99" w14:textId="77777777" w:rsidR="00A3112D" w:rsidRPr="00B74E01" w:rsidRDefault="00A3112D" w:rsidP="004D0DA8">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R$ 3.787.250,00</w:t>
            </w:r>
          </w:p>
        </w:tc>
      </w:tr>
    </w:tbl>
    <w:p w14:paraId="472609DD" w14:textId="77777777" w:rsidR="00757B2F" w:rsidRDefault="00757B2F" w:rsidP="00757B2F">
      <w:pPr>
        <w:rPr>
          <w:lang w:eastAsia="pt-BR"/>
        </w:rPr>
      </w:pPr>
    </w:p>
    <w:p w14:paraId="08B494A5" w14:textId="15ADC9DE" w:rsidR="00A3112D" w:rsidRPr="00757B2F" w:rsidRDefault="00A3112D" w:rsidP="00757B2F">
      <w:pPr>
        <w:ind w:firstLine="708"/>
        <w:rPr>
          <w:b/>
          <w:bCs/>
          <w:lang w:eastAsia="pt-BR"/>
        </w:rPr>
      </w:pPr>
      <w:r w:rsidRPr="00757B2F">
        <w:rPr>
          <w:b/>
          <w:bCs/>
          <w:lang w:eastAsia="pt-BR"/>
        </w:rPr>
        <w:t>Memória de cálculo</w:t>
      </w:r>
    </w:p>
    <w:p w14:paraId="12B72DC0" w14:textId="18C0CAD3"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[8,3 \</w:t>
      </w:r>
      <w:proofErr w:type="spellStart"/>
      <w:proofErr w:type="gramStart"/>
      <w:r w:rsidRPr="00B74E01">
        <w:rPr>
          <w:rFonts w:eastAsia="Times New Roman" w:cs="Arial"/>
          <w:kern w:val="0"/>
          <w:lang w:eastAsia="pt-BR"/>
          <w14:ligatures w14:val="none"/>
        </w:rPr>
        <w:t>text</w:t>
      </w:r>
      <w:proofErr w:type="spellEnd"/>
      <w:r w:rsidRPr="00B74E01">
        <w:rPr>
          <w:rFonts w:eastAsia="Times New Roman" w:cs="Arial"/>
          <w:kern w:val="0"/>
          <w:lang w:eastAsia="pt-BR"/>
          <w14:ligatures w14:val="none"/>
        </w:rPr>
        <w:t>{ t</w:t>
      </w:r>
      <w:proofErr w:type="gramEnd"/>
      <w:r w:rsidRPr="00B74E01">
        <w:rPr>
          <w:rFonts w:eastAsia="Times New Roman" w:cs="Arial"/>
          <w:kern w:val="0"/>
          <w:lang w:eastAsia="pt-BR"/>
          <w14:ligatures w14:val="none"/>
        </w:rPr>
        <w:t>/dia} \times R$ 1.250,00/t = R$ 10.375,00/dia]</w:t>
      </w:r>
    </w:p>
    <w:p w14:paraId="1862CDE2" w14:textId="0C619EED"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[R$ 10.375,00/dia \times 365 = R$ 3.787.250,00/ano]</w:t>
      </w:r>
    </w:p>
    <w:p w14:paraId="2181143F" w14:textId="50F9381E"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[R$ 3.787.250,00 \</w:t>
      </w:r>
      <w:proofErr w:type="spellStart"/>
      <w:r w:rsidRPr="00B74E01">
        <w:rPr>
          <w:rFonts w:eastAsia="Times New Roman" w:cs="Arial"/>
          <w:kern w:val="0"/>
          <w:lang w:eastAsia="pt-BR"/>
          <w14:ligatures w14:val="none"/>
        </w:rPr>
        <w:t>div</w:t>
      </w:r>
      <w:proofErr w:type="spellEnd"/>
      <w:r w:rsidRPr="00B74E01">
        <w:rPr>
          <w:rFonts w:eastAsia="Times New Roman" w:cs="Arial"/>
          <w:kern w:val="0"/>
          <w:lang w:eastAsia="pt-BR"/>
          <w14:ligatures w14:val="none"/>
        </w:rPr>
        <w:t xml:space="preserve"> 12 = R$ 315.604,17/mês]</w:t>
      </w:r>
    </w:p>
    <w:p w14:paraId="42DC7AF9" w14:textId="77777777" w:rsidR="00A3112D" w:rsidRPr="00B74E01" w:rsidRDefault="00A3112D" w:rsidP="004D0DA8">
      <w:pPr>
        <w:pStyle w:val="Ttulo3"/>
        <w:rPr>
          <w:rFonts w:eastAsia="Times New Roman"/>
          <w:lang w:eastAsia="pt-BR"/>
        </w:rPr>
      </w:pPr>
      <w:bookmarkStart w:id="127" w:name="_Toc230204129"/>
      <w:r w:rsidRPr="00B74E01">
        <w:rPr>
          <w:rFonts w:eastAsia="Times New Roman"/>
          <w:lang w:eastAsia="pt-BR"/>
        </w:rPr>
        <w:t xml:space="preserve">11.3.2. Óleo </w:t>
      </w:r>
      <w:proofErr w:type="spellStart"/>
      <w:r w:rsidRPr="00B74E01">
        <w:rPr>
          <w:rFonts w:eastAsia="Times New Roman"/>
          <w:lang w:eastAsia="pt-BR"/>
        </w:rPr>
        <w:t>pirolítico</w:t>
      </w:r>
      <w:proofErr w:type="spellEnd"/>
      <w:r w:rsidRPr="00B74E01">
        <w:rPr>
          <w:rFonts w:eastAsia="Times New Roman"/>
          <w:lang w:eastAsia="pt-BR"/>
        </w:rPr>
        <w:t xml:space="preserve"> / extrato líquido</w:t>
      </w:r>
      <w:bookmarkEnd w:id="127"/>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470"/>
        <w:gridCol w:w="1870"/>
      </w:tblGrid>
      <w:tr w:rsidR="00A3112D" w:rsidRPr="00B74E01" w14:paraId="4243FABC" w14:textId="77777777" w:rsidTr="009C2073">
        <w:trPr>
          <w:tblHeader/>
          <w:tblCellSpacing w:w="15" w:type="dxa"/>
        </w:trPr>
        <w:tc>
          <w:tcPr>
            <w:tcW w:w="0" w:type="auto"/>
            <w:vAlign w:val="center"/>
            <w:hideMark/>
          </w:tcPr>
          <w:p w14:paraId="1F667ACD" w14:textId="77777777" w:rsidR="00A3112D" w:rsidRPr="00B74E01" w:rsidRDefault="00A3112D" w:rsidP="004D0DA8">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Premissa</w:t>
            </w:r>
          </w:p>
        </w:tc>
        <w:tc>
          <w:tcPr>
            <w:tcW w:w="0" w:type="auto"/>
            <w:vAlign w:val="center"/>
            <w:hideMark/>
          </w:tcPr>
          <w:p w14:paraId="3981C3DE" w14:textId="77777777" w:rsidR="00A3112D" w:rsidRPr="00B74E01" w:rsidRDefault="00A3112D" w:rsidP="004D0DA8">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w:t>
            </w:r>
          </w:p>
        </w:tc>
      </w:tr>
      <w:tr w:rsidR="00A3112D" w:rsidRPr="00B74E01" w14:paraId="522F9D3C" w14:textId="77777777" w:rsidTr="009C2073">
        <w:trPr>
          <w:tblCellSpacing w:w="15" w:type="dxa"/>
        </w:trPr>
        <w:tc>
          <w:tcPr>
            <w:tcW w:w="0" w:type="auto"/>
            <w:vAlign w:val="center"/>
            <w:hideMark/>
          </w:tcPr>
          <w:p w14:paraId="44F6C507" w14:textId="77777777" w:rsidR="00A3112D" w:rsidRPr="00B74E01" w:rsidRDefault="00A3112D" w:rsidP="004D0DA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Produção estimada</w:t>
            </w:r>
          </w:p>
        </w:tc>
        <w:tc>
          <w:tcPr>
            <w:tcW w:w="0" w:type="auto"/>
            <w:vAlign w:val="center"/>
            <w:hideMark/>
          </w:tcPr>
          <w:p w14:paraId="49F1895D" w14:textId="77777777" w:rsidR="00A3112D" w:rsidRPr="00B74E01" w:rsidRDefault="00A3112D" w:rsidP="004D0DA8">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4,15 t/dia</w:t>
            </w:r>
          </w:p>
        </w:tc>
      </w:tr>
      <w:tr w:rsidR="00A3112D" w:rsidRPr="00B74E01" w14:paraId="29891C44" w14:textId="77777777" w:rsidTr="009C2073">
        <w:trPr>
          <w:tblCellSpacing w:w="15" w:type="dxa"/>
        </w:trPr>
        <w:tc>
          <w:tcPr>
            <w:tcW w:w="0" w:type="auto"/>
            <w:vAlign w:val="center"/>
            <w:hideMark/>
          </w:tcPr>
          <w:p w14:paraId="07AFE895" w14:textId="77777777" w:rsidR="00A3112D" w:rsidRPr="00B74E01" w:rsidRDefault="00A3112D" w:rsidP="004D0DA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Preço estimado</w:t>
            </w:r>
          </w:p>
        </w:tc>
        <w:tc>
          <w:tcPr>
            <w:tcW w:w="0" w:type="auto"/>
            <w:vAlign w:val="center"/>
            <w:hideMark/>
          </w:tcPr>
          <w:p w14:paraId="027A512F" w14:textId="77777777" w:rsidR="00A3112D" w:rsidRPr="00B74E01" w:rsidRDefault="00A3112D" w:rsidP="004D0DA8">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R$ 2.700,00/t</w:t>
            </w:r>
          </w:p>
        </w:tc>
      </w:tr>
      <w:tr w:rsidR="00A3112D" w:rsidRPr="00B74E01" w14:paraId="33BACC4A" w14:textId="77777777" w:rsidTr="009C2073">
        <w:trPr>
          <w:tblCellSpacing w:w="15" w:type="dxa"/>
        </w:trPr>
        <w:tc>
          <w:tcPr>
            <w:tcW w:w="0" w:type="auto"/>
            <w:vAlign w:val="center"/>
            <w:hideMark/>
          </w:tcPr>
          <w:p w14:paraId="0C0E2C48" w14:textId="77777777" w:rsidR="00A3112D" w:rsidRPr="00B74E01" w:rsidRDefault="00A3112D" w:rsidP="004D0DA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 diária</w:t>
            </w:r>
          </w:p>
        </w:tc>
        <w:tc>
          <w:tcPr>
            <w:tcW w:w="0" w:type="auto"/>
            <w:vAlign w:val="center"/>
            <w:hideMark/>
          </w:tcPr>
          <w:p w14:paraId="16C58CE4" w14:textId="77777777" w:rsidR="00A3112D" w:rsidRPr="00B74E01" w:rsidRDefault="00A3112D" w:rsidP="004D0DA8">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R$ 11.205,00</w:t>
            </w:r>
          </w:p>
        </w:tc>
      </w:tr>
      <w:tr w:rsidR="00A3112D" w:rsidRPr="00B74E01" w14:paraId="0834FFCB" w14:textId="77777777" w:rsidTr="009C2073">
        <w:trPr>
          <w:tblCellSpacing w:w="15" w:type="dxa"/>
        </w:trPr>
        <w:tc>
          <w:tcPr>
            <w:tcW w:w="0" w:type="auto"/>
            <w:vAlign w:val="center"/>
            <w:hideMark/>
          </w:tcPr>
          <w:p w14:paraId="203BF4F9" w14:textId="77777777" w:rsidR="00A3112D" w:rsidRPr="00B74E01" w:rsidRDefault="00A3112D" w:rsidP="004D0DA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 mensal média</w:t>
            </w:r>
          </w:p>
        </w:tc>
        <w:tc>
          <w:tcPr>
            <w:tcW w:w="0" w:type="auto"/>
            <w:vAlign w:val="center"/>
            <w:hideMark/>
          </w:tcPr>
          <w:p w14:paraId="3731AFE0" w14:textId="77777777" w:rsidR="00A3112D" w:rsidRPr="00B74E01" w:rsidRDefault="00A3112D" w:rsidP="004D0DA8">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R$ 340.818,75</w:t>
            </w:r>
          </w:p>
        </w:tc>
      </w:tr>
      <w:tr w:rsidR="00A3112D" w:rsidRPr="00B74E01" w14:paraId="4668BF15" w14:textId="77777777" w:rsidTr="009C2073">
        <w:trPr>
          <w:tblCellSpacing w:w="15" w:type="dxa"/>
        </w:trPr>
        <w:tc>
          <w:tcPr>
            <w:tcW w:w="0" w:type="auto"/>
            <w:vAlign w:val="center"/>
            <w:hideMark/>
          </w:tcPr>
          <w:p w14:paraId="7445B2EF" w14:textId="77777777" w:rsidR="00A3112D" w:rsidRPr="00B74E01" w:rsidRDefault="00A3112D" w:rsidP="004D0DA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 anual</w:t>
            </w:r>
          </w:p>
        </w:tc>
        <w:tc>
          <w:tcPr>
            <w:tcW w:w="0" w:type="auto"/>
            <w:vAlign w:val="center"/>
            <w:hideMark/>
          </w:tcPr>
          <w:p w14:paraId="30EE70C3" w14:textId="77777777" w:rsidR="00A3112D" w:rsidRPr="00B74E01" w:rsidRDefault="00A3112D" w:rsidP="004D0DA8">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R$ 4.089.825,00</w:t>
            </w:r>
          </w:p>
        </w:tc>
      </w:tr>
    </w:tbl>
    <w:p w14:paraId="19FEDAB4" w14:textId="77777777" w:rsidR="00757B2F" w:rsidRDefault="00757B2F" w:rsidP="00757B2F">
      <w:pPr>
        <w:rPr>
          <w:lang w:eastAsia="pt-BR"/>
        </w:rPr>
      </w:pPr>
    </w:p>
    <w:p w14:paraId="3B776517" w14:textId="39B96FB2" w:rsidR="00A3112D" w:rsidRPr="00757B2F" w:rsidRDefault="00A3112D" w:rsidP="00757B2F">
      <w:pPr>
        <w:ind w:firstLine="708"/>
        <w:rPr>
          <w:b/>
          <w:bCs/>
          <w:lang w:eastAsia="pt-BR"/>
        </w:rPr>
      </w:pPr>
      <w:r w:rsidRPr="00757B2F">
        <w:rPr>
          <w:b/>
          <w:bCs/>
          <w:lang w:eastAsia="pt-BR"/>
        </w:rPr>
        <w:t>Memória de cálculo</w:t>
      </w:r>
    </w:p>
    <w:p w14:paraId="6E6E02BD" w14:textId="5BEA4715"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[4,15 \</w:t>
      </w:r>
      <w:proofErr w:type="spellStart"/>
      <w:proofErr w:type="gramStart"/>
      <w:r w:rsidRPr="00B74E01">
        <w:rPr>
          <w:rFonts w:eastAsia="Times New Roman" w:cs="Arial"/>
          <w:kern w:val="0"/>
          <w:lang w:eastAsia="pt-BR"/>
          <w14:ligatures w14:val="none"/>
        </w:rPr>
        <w:t>text</w:t>
      </w:r>
      <w:proofErr w:type="spellEnd"/>
      <w:r w:rsidRPr="00B74E01">
        <w:rPr>
          <w:rFonts w:eastAsia="Times New Roman" w:cs="Arial"/>
          <w:kern w:val="0"/>
          <w:lang w:eastAsia="pt-BR"/>
          <w14:ligatures w14:val="none"/>
        </w:rPr>
        <w:t>{ t</w:t>
      </w:r>
      <w:proofErr w:type="gramEnd"/>
      <w:r w:rsidRPr="00B74E01">
        <w:rPr>
          <w:rFonts w:eastAsia="Times New Roman" w:cs="Arial"/>
          <w:kern w:val="0"/>
          <w:lang w:eastAsia="pt-BR"/>
          <w14:ligatures w14:val="none"/>
        </w:rPr>
        <w:t>/dia} \times R$ 2.700,00/t = R$ 11.205,00/dia]</w:t>
      </w:r>
    </w:p>
    <w:p w14:paraId="0D6BEF45" w14:textId="6D63E9E3"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[R$ 11.205,00/dia \times 365 = R$ 4.089.825,00/ano]</w:t>
      </w:r>
    </w:p>
    <w:p w14:paraId="00C6DF0B" w14:textId="72F67AB1"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[R$ 4.089.825,00 \</w:t>
      </w:r>
      <w:proofErr w:type="spellStart"/>
      <w:r w:rsidRPr="00B74E01">
        <w:rPr>
          <w:rFonts w:eastAsia="Times New Roman" w:cs="Arial"/>
          <w:kern w:val="0"/>
          <w:lang w:eastAsia="pt-BR"/>
          <w14:ligatures w14:val="none"/>
        </w:rPr>
        <w:t>div</w:t>
      </w:r>
      <w:proofErr w:type="spellEnd"/>
      <w:r w:rsidRPr="00B74E01">
        <w:rPr>
          <w:rFonts w:eastAsia="Times New Roman" w:cs="Arial"/>
          <w:kern w:val="0"/>
          <w:lang w:eastAsia="pt-BR"/>
          <w14:ligatures w14:val="none"/>
        </w:rPr>
        <w:t xml:space="preserve"> 12 = R$ 340.818,75/mês]</w:t>
      </w:r>
    </w:p>
    <w:p w14:paraId="62BD63D3" w14:textId="77777777" w:rsidR="00A3112D" w:rsidRPr="00B74E01" w:rsidRDefault="00A3112D" w:rsidP="004D0DA8">
      <w:pPr>
        <w:pStyle w:val="Ttulo2"/>
        <w:rPr>
          <w:rFonts w:eastAsia="Times New Roman"/>
          <w:lang w:eastAsia="pt-BR"/>
        </w:rPr>
      </w:pPr>
      <w:bookmarkStart w:id="128" w:name="_Toc230204130"/>
      <w:r w:rsidRPr="00B74E01">
        <w:rPr>
          <w:rFonts w:eastAsia="Times New Roman"/>
          <w:lang w:eastAsia="pt-BR"/>
        </w:rPr>
        <w:lastRenderedPageBreak/>
        <w:t>11.3.3. Créditos de carbono</w:t>
      </w:r>
      <w:bookmarkEnd w:id="128"/>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551"/>
        <w:gridCol w:w="2323"/>
      </w:tblGrid>
      <w:tr w:rsidR="00A3112D" w:rsidRPr="00B74E01" w14:paraId="0FB5A617" w14:textId="77777777" w:rsidTr="009C2073">
        <w:trPr>
          <w:tblHeader/>
          <w:tblCellSpacing w:w="15" w:type="dxa"/>
        </w:trPr>
        <w:tc>
          <w:tcPr>
            <w:tcW w:w="0" w:type="auto"/>
            <w:vAlign w:val="center"/>
            <w:hideMark/>
          </w:tcPr>
          <w:p w14:paraId="16AB76D6" w14:textId="77777777" w:rsidR="00A3112D" w:rsidRPr="00B74E01" w:rsidRDefault="00A3112D" w:rsidP="004D0DA8">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Premissa</w:t>
            </w:r>
          </w:p>
        </w:tc>
        <w:tc>
          <w:tcPr>
            <w:tcW w:w="0" w:type="auto"/>
            <w:vAlign w:val="center"/>
            <w:hideMark/>
          </w:tcPr>
          <w:p w14:paraId="4AFAB9C5" w14:textId="77777777" w:rsidR="00A3112D" w:rsidRPr="00B74E01" w:rsidRDefault="00A3112D" w:rsidP="004D0DA8">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w:t>
            </w:r>
          </w:p>
        </w:tc>
      </w:tr>
      <w:tr w:rsidR="00A3112D" w:rsidRPr="00B74E01" w14:paraId="3CBC517C" w14:textId="77777777" w:rsidTr="009C2073">
        <w:trPr>
          <w:tblCellSpacing w:w="15" w:type="dxa"/>
        </w:trPr>
        <w:tc>
          <w:tcPr>
            <w:tcW w:w="0" w:type="auto"/>
            <w:vAlign w:val="center"/>
            <w:hideMark/>
          </w:tcPr>
          <w:p w14:paraId="46B18CEF" w14:textId="77777777" w:rsidR="00A3112D" w:rsidRPr="00B74E01" w:rsidRDefault="00A3112D" w:rsidP="004D0DA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Quantidade de RSU processada</w:t>
            </w:r>
          </w:p>
        </w:tc>
        <w:tc>
          <w:tcPr>
            <w:tcW w:w="0" w:type="auto"/>
            <w:vAlign w:val="center"/>
            <w:hideMark/>
          </w:tcPr>
          <w:p w14:paraId="247878BB" w14:textId="77777777" w:rsidR="00A3112D" w:rsidRPr="00B74E01" w:rsidRDefault="00A3112D" w:rsidP="004D0DA8">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80 t/dia</w:t>
            </w:r>
          </w:p>
        </w:tc>
      </w:tr>
      <w:tr w:rsidR="00A3112D" w:rsidRPr="00B74E01" w14:paraId="2E4C2ADB" w14:textId="77777777" w:rsidTr="009C2073">
        <w:trPr>
          <w:tblCellSpacing w:w="15" w:type="dxa"/>
        </w:trPr>
        <w:tc>
          <w:tcPr>
            <w:tcW w:w="0" w:type="auto"/>
            <w:vAlign w:val="center"/>
            <w:hideMark/>
          </w:tcPr>
          <w:p w14:paraId="1F8EDAB0" w14:textId="77777777" w:rsidR="00A3112D" w:rsidRPr="00B74E01" w:rsidRDefault="00A3112D" w:rsidP="004D0DA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Fator estimado</w:t>
            </w:r>
          </w:p>
        </w:tc>
        <w:tc>
          <w:tcPr>
            <w:tcW w:w="0" w:type="auto"/>
            <w:vAlign w:val="center"/>
            <w:hideMark/>
          </w:tcPr>
          <w:p w14:paraId="46686735" w14:textId="77777777" w:rsidR="00A3112D" w:rsidRPr="00B74E01" w:rsidRDefault="00A3112D" w:rsidP="004D0DA8">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1,5 crédito/t</w:t>
            </w:r>
          </w:p>
        </w:tc>
      </w:tr>
      <w:tr w:rsidR="00A3112D" w:rsidRPr="00B74E01" w14:paraId="0EFE0BA8" w14:textId="77777777" w:rsidTr="009C2073">
        <w:trPr>
          <w:tblCellSpacing w:w="15" w:type="dxa"/>
        </w:trPr>
        <w:tc>
          <w:tcPr>
            <w:tcW w:w="0" w:type="auto"/>
            <w:vAlign w:val="center"/>
            <w:hideMark/>
          </w:tcPr>
          <w:p w14:paraId="3B14DBCA" w14:textId="77777777" w:rsidR="00A3112D" w:rsidRPr="00B74E01" w:rsidRDefault="00A3112D" w:rsidP="004D0DA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Créditos diários estimados</w:t>
            </w:r>
          </w:p>
        </w:tc>
        <w:tc>
          <w:tcPr>
            <w:tcW w:w="0" w:type="auto"/>
            <w:vAlign w:val="center"/>
            <w:hideMark/>
          </w:tcPr>
          <w:p w14:paraId="2A40B21F" w14:textId="77777777" w:rsidR="00A3112D" w:rsidRPr="00B74E01" w:rsidRDefault="00A3112D" w:rsidP="004D0DA8">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120 créditos/dia</w:t>
            </w:r>
          </w:p>
        </w:tc>
      </w:tr>
      <w:tr w:rsidR="00A3112D" w:rsidRPr="00B74E01" w14:paraId="3987396C" w14:textId="77777777" w:rsidTr="009C2073">
        <w:trPr>
          <w:tblCellSpacing w:w="15" w:type="dxa"/>
        </w:trPr>
        <w:tc>
          <w:tcPr>
            <w:tcW w:w="0" w:type="auto"/>
            <w:vAlign w:val="center"/>
            <w:hideMark/>
          </w:tcPr>
          <w:p w14:paraId="4311EEF1" w14:textId="77777777" w:rsidR="00A3112D" w:rsidRPr="00B74E01" w:rsidRDefault="00A3112D" w:rsidP="004D0DA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Créditos anuais estimados</w:t>
            </w:r>
          </w:p>
        </w:tc>
        <w:tc>
          <w:tcPr>
            <w:tcW w:w="0" w:type="auto"/>
            <w:vAlign w:val="center"/>
            <w:hideMark/>
          </w:tcPr>
          <w:p w14:paraId="22087542" w14:textId="77777777" w:rsidR="00A3112D" w:rsidRPr="00B74E01" w:rsidRDefault="00A3112D" w:rsidP="004D0DA8">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43.800 créditos/ano</w:t>
            </w:r>
          </w:p>
        </w:tc>
      </w:tr>
      <w:tr w:rsidR="00A3112D" w:rsidRPr="00B74E01" w14:paraId="43B12F15" w14:textId="77777777" w:rsidTr="009C2073">
        <w:trPr>
          <w:tblCellSpacing w:w="15" w:type="dxa"/>
        </w:trPr>
        <w:tc>
          <w:tcPr>
            <w:tcW w:w="0" w:type="auto"/>
            <w:vAlign w:val="center"/>
            <w:hideMark/>
          </w:tcPr>
          <w:p w14:paraId="13B2B2EA" w14:textId="77777777" w:rsidR="00A3112D" w:rsidRPr="00B74E01" w:rsidRDefault="00A3112D" w:rsidP="004D0DA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Preço estimado</w:t>
            </w:r>
          </w:p>
        </w:tc>
        <w:tc>
          <w:tcPr>
            <w:tcW w:w="0" w:type="auto"/>
            <w:vAlign w:val="center"/>
            <w:hideMark/>
          </w:tcPr>
          <w:p w14:paraId="498663D8" w14:textId="77777777" w:rsidR="00A3112D" w:rsidRPr="00B74E01" w:rsidRDefault="00A3112D" w:rsidP="004D0DA8">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R$ 72,00/crédito</w:t>
            </w:r>
          </w:p>
        </w:tc>
      </w:tr>
      <w:tr w:rsidR="00A3112D" w:rsidRPr="00B74E01" w14:paraId="3DD0EFAF" w14:textId="77777777" w:rsidTr="009C2073">
        <w:trPr>
          <w:tblCellSpacing w:w="15" w:type="dxa"/>
        </w:trPr>
        <w:tc>
          <w:tcPr>
            <w:tcW w:w="0" w:type="auto"/>
            <w:vAlign w:val="center"/>
            <w:hideMark/>
          </w:tcPr>
          <w:p w14:paraId="7F681BC1" w14:textId="77777777" w:rsidR="00A3112D" w:rsidRPr="00B74E01" w:rsidRDefault="00A3112D" w:rsidP="004D0DA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 mensal média</w:t>
            </w:r>
          </w:p>
        </w:tc>
        <w:tc>
          <w:tcPr>
            <w:tcW w:w="0" w:type="auto"/>
            <w:vAlign w:val="center"/>
            <w:hideMark/>
          </w:tcPr>
          <w:p w14:paraId="57FDC73A" w14:textId="77777777" w:rsidR="00A3112D" w:rsidRPr="00B74E01" w:rsidRDefault="00A3112D" w:rsidP="004D0DA8">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R$ 262.800,00</w:t>
            </w:r>
          </w:p>
        </w:tc>
      </w:tr>
      <w:tr w:rsidR="00A3112D" w:rsidRPr="00B74E01" w14:paraId="5BF636E7" w14:textId="77777777" w:rsidTr="009C2073">
        <w:trPr>
          <w:tblCellSpacing w:w="15" w:type="dxa"/>
        </w:trPr>
        <w:tc>
          <w:tcPr>
            <w:tcW w:w="0" w:type="auto"/>
            <w:vAlign w:val="center"/>
            <w:hideMark/>
          </w:tcPr>
          <w:p w14:paraId="1387F0D5" w14:textId="77777777" w:rsidR="00A3112D" w:rsidRPr="00B74E01" w:rsidRDefault="00A3112D" w:rsidP="004D0DA8">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 anual</w:t>
            </w:r>
          </w:p>
        </w:tc>
        <w:tc>
          <w:tcPr>
            <w:tcW w:w="0" w:type="auto"/>
            <w:vAlign w:val="center"/>
            <w:hideMark/>
          </w:tcPr>
          <w:p w14:paraId="612ED034" w14:textId="77777777" w:rsidR="00A3112D" w:rsidRPr="00B74E01" w:rsidRDefault="00A3112D" w:rsidP="004D0DA8">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R$ 3.153.600,00</w:t>
            </w:r>
          </w:p>
        </w:tc>
      </w:tr>
    </w:tbl>
    <w:p w14:paraId="55943DEB" w14:textId="77777777" w:rsidR="00757B2F" w:rsidRDefault="00757B2F" w:rsidP="00757B2F">
      <w:pPr>
        <w:rPr>
          <w:lang w:eastAsia="pt-BR"/>
        </w:rPr>
      </w:pPr>
    </w:p>
    <w:p w14:paraId="0FA517DC" w14:textId="782C465C" w:rsidR="00A3112D" w:rsidRPr="00757B2F" w:rsidRDefault="00A3112D" w:rsidP="00757B2F">
      <w:pPr>
        <w:ind w:firstLine="708"/>
        <w:rPr>
          <w:b/>
          <w:bCs/>
          <w:lang w:eastAsia="pt-BR"/>
        </w:rPr>
      </w:pPr>
      <w:r w:rsidRPr="00757B2F">
        <w:rPr>
          <w:b/>
          <w:bCs/>
          <w:lang w:eastAsia="pt-BR"/>
        </w:rPr>
        <w:t>Memória de cálculo</w:t>
      </w:r>
    </w:p>
    <w:p w14:paraId="4B910187" w14:textId="14E6E1FE"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[80 \</w:t>
      </w:r>
      <w:proofErr w:type="spellStart"/>
      <w:proofErr w:type="gramStart"/>
      <w:r w:rsidRPr="00B74E01">
        <w:rPr>
          <w:rFonts w:eastAsia="Times New Roman" w:cs="Arial"/>
          <w:kern w:val="0"/>
          <w:lang w:eastAsia="pt-BR"/>
          <w14:ligatures w14:val="none"/>
        </w:rPr>
        <w:t>text</w:t>
      </w:r>
      <w:proofErr w:type="spellEnd"/>
      <w:r w:rsidRPr="00B74E01">
        <w:rPr>
          <w:rFonts w:eastAsia="Times New Roman" w:cs="Arial"/>
          <w:kern w:val="0"/>
          <w:lang w:eastAsia="pt-BR"/>
          <w14:ligatures w14:val="none"/>
        </w:rPr>
        <w:t>{ t</w:t>
      </w:r>
      <w:proofErr w:type="gramEnd"/>
      <w:r w:rsidRPr="00B74E01">
        <w:rPr>
          <w:rFonts w:eastAsia="Times New Roman" w:cs="Arial"/>
          <w:kern w:val="0"/>
          <w:lang w:eastAsia="pt-BR"/>
          <w14:ligatures w14:val="none"/>
        </w:rPr>
        <w:t>/dia} \times 1,5 \</w:t>
      </w:r>
      <w:proofErr w:type="spellStart"/>
      <w:proofErr w:type="gramStart"/>
      <w:r w:rsidRPr="00B74E01">
        <w:rPr>
          <w:rFonts w:eastAsia="Times New Roman" w:cs="Arial"/>
          <w:kern w:val="0"/>
          <w:lang w:eastAsia="pt-BR"/>
          <w14:ligatures w14:val="none"/>
        </w:rPr>
        <w:t>text</w:t>
      </w:r>
      <w:proofErr w:type="spellEnd"/>
      <w:r w:rsidRPr="00B74E01">
        <w:rPr>
          <w:rFonts w:eastAsia="Times New Roman" w:cs="Arial"/>
          <w:kern w:val="0"/>
          <w:lang w:eastAsia="pt-BR"/>
          <w14:ligatures w14:val="none"/>
        </w:rPr>
        <w:t>{ crédito</w:t>
      </w:r>
      <w:proofErr w:type="gramEnd"/>
      <w:r w:rsidRPr="00B74E01">
        <w:rPr>
          <w:rFonts w:eastAsia="Times New Roman" w:cs="Arial"/>
          <w:kern w:val="0"/>
          <w:lang w:eastAsia="pt-BR"/>
          <w14:ligatures w14:val="none"/>
        </w:rPr>
        <w:t>/t} = 120 \</w:t>
      </w:r>
      <w:proofErr w:type="spellStart"/>
      <w:proofErr w:type="gramStart"/>
      <w:r w:rsidRPr="00B74E01">
        <w:rPr>
          <w:rFonts w:eastAsia="Times New Roman" w:cs="Arial"/>
          <w:kern w:val="0"/>
          <w:lang w:eastAsia="pt-BR"/>
          <w14:ligatures w14:val="none"/>
        </w:rPr>
        <w:t>text</w:t>
      </w:r>
      <w:proofErr w:type="spellEnd"/>
      <w:r w:rsidRPr="00B74E01">
        <w:rPr>
          <w:rFonts w:eastAsia="Times New Roman" w:cs="Arial"/>
          <w:kern w:val="0"/>
          <w:lang w:eastAsia="pt-BR"/>
          <w14:ligatures w14:val="none"/>
        </w:rPr>
        <w:t>{ créditos</w:t>
      </w:r>
      <w:proofErr w:type="gramEnd"/>
      <w:r w:rsidRPr="00B74E01">
        <w:rPr>
          <w:rFonts w:eastAsia="Times New Roman" w:cs="Arial"/>
          <w:kern w:val="0"/>
          <w:lang w:eastAsia="pt-BR"/>
          <w14:ligatures w14:val="none"/>
        </w:rPr>
        <w:t>/dia}]</w:t>
      </w:r>
    </w:p>
    <w:p w14:paraId="14F47123" w14:textId="45D86A6B"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[120 \</w:t>
      </w:r>
      <w:proofErr w:type="spellStart"/>
      <w:proofErr w:type="gramStart"/>
      <w:r w:rsidRPr="00B74E01">
        <w:rPr>
          <w:rFonts w:eastAsia="Times New Roman" w:cs="Arial"/>
          <w:kern w:val="0"/>
          <w:lang w:eastAsia="pt-BR"/>
          <w14:ligatures w14:val="none"/>
        </w:rPr>
        <w:t>text</w:t>
      </w:r>
      <w:proofErr w:type="spellEnd"/>
      <w:r w:rsidRPr="00B74E01">
        <w:rPr>
          <w:rFonts w:eastAsia="Times New Roman" w:cs="Arial"/>
          <w:kern w:val="0"/>
          <w:lang w:eastAsia="pt-BR"/>
          <w14:ligatures w14:val="none"/>
        </w:rPr>
        <w:t>{ créditos</w:t>
      </w:r>
      <w:proofErr w:type="gramEnd"/>
      <w:r w:rsidRPr="00B74E01">
        <w:rPr>
          <w:rFonts w:eastAsia="Times New Roman" w:cs="Arial"/>
          <w:kern w:val="0"/>
          <w:lang w:eastAsia="pt-BR"/>
          <w14:ligatures w14:val="none"/>
        </w:rPr>
        <w:t>/dia} \times 365 = 43.800 \</w:t>
      </w:r>
      <w:proofErr w:type="spellStart"/>
      <w:proofErr w:type="gramStart"/>
      <w:r w:rsidRPr="00B74E01">
        <w:rPr>
          <w:rFonts w:eastAsia="Times New Roman" w:cs="Arial"/>
          <w:kern w:val="0"/>
          <w:lang w:eastAsia="pt-BR"/>
          <w14:ligatures w14:val="none"/>
        </w:rPr>
        <w:t>text</w:t>
      </w:r>
      <w:proofErr w:type="spellEnd"/>
      <w:r w:rsidRPr="00B74E01">
        <w:rPr>
          <w:rFonts w:eastAsia="Times New Roman" w:cs="Arial"/>
          <w:kern w:val="0"/>
          <w:lang w:eastAsia="pt-BR"/>
          <w14:ligatures w14:val="none"/>
        </w:rPr>
        <w:t>{ créditos</w:t>
      </w:r>
      <w:proofErr w:type="gramEnd"/>
      <w:r w:rsidRPr="00B74E01">
        <w:rPr>
          <w:rFonts w:eastAsia="Times New Roman" w:cs="Arial"/>
          <w:kern w:val="0"/>
          <w:lang w:eastAsia="pt-BR"/>
          <w14:ligatures w14:val="none"/>
        </w:rPr>
        <w:t>/ano}]</w:t>
      </w:r>
    </w:p>
    <w:p w14:paraId="00A4FE12" w14:textId="6F2085A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[43.800 \</w:t>
      </w:r>
      <w:proofErr w:type="spellStart"/>
      <w:proofErr w:type="gramStart"/>
      <w:r w:rsidRPr="00B74E01">
        <w:rPr>
          <w:rFonts w:eastAsia="Times New Roman" w:cs="Arial"/>
          <w:kern w:val="0"/>
          <w:lang w:eastAsia="pt-BR"/>
          <w14:ligatures w14:val="none"/>
        </w:rPr>
        <w:t>text</w:t>
      </w:r>
      <w:proofErr w:type="spellEnd"/>
      <w:r w:rsidRPr="00B74E01">
        <w:rPr>
          <w:rFonts w:eastAsia="Times New Roman" w:cs="Arial"/>
          <w:kern w:val="0"/>
          <w:lang w:eastAsia="pt-BR"/>
          <w14:ligatures w14:val="none"/>
        </w:rPr>
        <w:t>{ créditos</w:t>
      </w:r>
      <w:proofErr w:type="gramEnd"/>
      <w:r w:rsidRPr="00B74E01">
        <w:rPr>
          <w:rFonts w:eastAsia="Times New Roman" w:cs="Arial"/>
          <w:kern w:val="0"/>
          <w:lang w:eastAsia="pt-BR"/>
          <w14:ligatures w14:val="none"/>
        </w:rPr>
        <w:t>/ano} \times R$ 72,00 = R$ 3.153.600,00/ano]</w:t>
      </w:r>
    </w:p>
    <w:p w14:paraId="54B3AE69" w14:textId="1793BAAE"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[R$ 3.153.600,00 \</w:t>
      </w:r>
      <w:proofErr w:type="spellStart"/>
      <w:r w:rsidRPr="00B74E01">
        <w:rPr>
          <w:rFonts w:eastAsia="Times New Roman" w:cs="Arial"/>
          <w:kern w:val="0"/>
          <w:lang w:eastAsia="pt-BR"/>
          <w14:ligatures w14:val="none"/>
        </w:rPr>
        <w:t>div</w:t>
      </w:r>
      <w:proofErr w:type="spellEnd"/>
      <w:r w:rsidRPr="00B74E01">
        <w:rPr>
          <w:rFonts w:eastAsia="Times New Roman" w:cs="Arial"/>
          <w:kern w:val="0"/>
          <w:lang w:eastAsia="pt-BR"/>
          <w14:ligatures w14:val="none"/>
        </w:rPr>
        <w:t xml:space="preserve"> 12 = R$ 262.800,00/mês]</w:t>
      </w:r>
    </w:p>
    <w:p w14:paraId="30AED7FB" w14:textId="77777777" w:rsidR="00A3112D" w:rsidRPr="00B74E01" w:rsidRDefault="00A3112D" w:rsidP="004D0DA8">
      <w:pPr>
        <w:pStyle w:val="Ttulo2"/>
        <w:rPr>
          <w:rFonts w:eastAsia="Times New Roman"/>
          <w:lang w:eastAsia="pt-BR"/>
        </w:rPr>
      </w:pPr>
      <w:bookmarkStart w:id="129" w:name="_Toc230204131"/>
      <w:r w:rsidRPr="00B74E01">
        <w:rPr>
          <w:rFonts w:eastAsia="Times New Roman"/>
          <w:lang w:eastAsia="pt-BR"/>
        </w:rPr>
        <w:t>11.4. Receita acessória bruta, tributos e receita líquida</w:t>
      </w:r>
      <w:bookmarkEnd w:id="129"/>
    </w:p>
    <w:p w14:paraId="3EA08A61"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Para fins de modelagem, considera-se incidência estimada de </w:t>
      </w:r>
      <w:r w:rsidRPr="00B74E01">
        <w:rPr>
          <w:rFonts w:eastAsia="Times New Roman" w:cs="Arial"/>
          <w:b/>
          <w:bCs/>
          <w:kern w:val="0"/>
          <w:lang w:eastAsia="pt-BR"/>
          <w14:ligatures w14:val="none"/>
        </w:rPr>
        <w:t>PIS/COFINS de 9,25%</w:t>
      </w:r>
      <w:r w:rsidRPr="00B74E01">
        <w:rPr>
          <w:rFonts w:eastAsia="Times New Roman" w:cs="Arial"/>
          <w:kern w:val="0"/>
          <w:lang w:eastAsia="pt-BR"/>
          <w14:ligatures w14:val="none"/>
        </w:rPr>
        <w:t xml:space="preserve"> sobre as receitas acessórias.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071"/>
        <w:gridCol w:w="1655"/>
        <w:gridCol w:w="2004"/>
      </w:tblGrid>
      <w:tr w:rsidR="00A3112D" w:rsidRPr="00B74E01" w14:paraId="0BD61FF6" w14:textId="77777777" w:rsidTr="009C2073">
        <w:trPr>
          <w:tblHeader/>
          <w:tblCellSpacing w:w="15" w:type="dxa"/>
        </w:trPr>
        <w:tc>
          <w:tcPr>
            <w:tcW w:w="0" w:type="auto"/>
            <w:vAlign w:val="center"/>
            <w:hideMark/>
          </w:tcPr>
          <w:p w14:paraId="2FE98F0B" w14:textId="77777777" w:rsidR="00A3112D" w:rsidRPr="00B74E01" w:rsidRDefault="00A3112D" w:rsidP="00E04C44">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Item</w:t>
            </w:r>
          </w:p>
        </w:tc>
        <w:tc>
          <w:tcPr>
            <w:tcW w:w="0" w:type="auto"/>
            <w:vAlign w:val="center"/>
            <w:hideMark/>
          </w:tcPr>
          <w:p w14:paraId="2E2170BD" w14:textId="77777777" w:rsidR="00A3112D" w:rsidRPr="00B74E01" w:rsidRDefault="00A3112D" w:rsidP="00E04C44">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Valor mensal</w:t>
            </w:r>
          </w:p>
        </w:tc>
        <w:tc>
          <w:tcPr>
            <w:tcW w:w="0" w:type="auto"/>
            <w:vAlign w:val="center"/>
            <w:hideMark/>
          </w:tcPr>
          <w:p w14:paraId="53EED109" w14:textId="77777777" w:rsidR="00A3112D" w:rsidRPr="00B74E01" w:rsidRDefault="00A3112D" w:rsidP="00E04C44">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Valor anual</w:t>
            </w:r>
          </w:p>
        </w:tc>
      </w:tr>
      <w:tr w:rsidR="00A3112D" w:rsidRPr="00B74E01" w14:paraId="154E1AD2" w14:textId="77777777" w:rsidTr="009C2073">
        <w:trPr>
          <w:tblCellSpacing w:w="15" w:type="dxa"/>
        </w:trPr>
        <w:tc>
          <w:tcPr>
            <w:tcW w:w="0" w:type="auto"/>
            <w:vAlign w:val="center"/>
            <w:hideMark/>
          </w:tcPr>
          <w:p w14:paraId="3094E41B" w14:textId="77777777" w:rsidR="00A3112D" w:rsidRPr="00B74E01" w:rsidRDefault="00A3112D" w:rsidP="00E04C44">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Receita acessória bruta potencial</w:t>
            </w:r>
          </w:p>
        </w:tc>
        <w:tc>
          <w:tcPr>
            <w:tcW w:w="0" w:type="auto"/>
            <w:vAlign w:val="center"/>
            <w:hideMark/>
          </w:tcPr>
          <w:p w14:paraId="5AFF9B13" w14:textId="77777777" w:rsidR="00A3112D" w:rsidRPr="00B74E01" w:rsidRDefault="00A3112D" w:rsidP="00E04C44">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R$ 919.222,92</w:t>
            </w:r>
          </w:p>
        </w:tc>
        <w:tc>
          <w:tcPr>
            <w:tcW w:w="0" w:type="auto"/>
            <w:vAlign w:val="center"/>
            <w:hideMark/>
          </w:tcPr>
          <w:p w14:paraId="1AED1BBE" w14:textId="77777777" w:rsidR="00A3112D" w:rsidRPr="00B74E01" w:rsidRDefault="00A3112D" w:rsidP="00E04C44">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R$ 11.030.675,00</w:t>
            </w:r>
          </w:p>
        </w:tc>
      </w:tr>
      <w:tr w:rsidR="00A3112D" w:rsidRPr="00B74E01" w14:paraId="67D1AA4E" w14:textId="77777777" w:rsidTr="009C2073">
        <w:trPr>
          <w:tblCellSpacing w:w="15" w:type="dxa"/>
        </w:trPr>
        <w:tc>
          <w:tcPr>
            <w:tcW w:w="0" w:type="auto"/>
            <w:vAlign w:val="center"/>
            <w:hideMark/>
          </w:tcPr>
          <w:p w14:paraId="7067B91C" w14:textId="77777777" w:rsidR="00A3112D" w:rsidRPr="00B74E01" w:rsidRDefault="00A3112D" w:rsidP="00E04C44">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PIS/COFINS estimado — 9,25%</w:t>
            </w:r>
          </w:p>
        </w:tc>
        <w:tc>
          <w:tcPr>
            <w:tcW w:w="0" w:type="auto"/>
            <w:vAlign w:val="center"/>
            <w:hideMark/>
          </w:tcPr>
          <w:p w14:paraId="56356AAC" w14:textId="77777777" w:rsidR="00A3112D" w:rsidRPr="00B74E01" w:rsidRDefault="00A3112D" w:rsidP="00E04C44">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-R$ 85.028,12</w:t>
            </w:r>
          </w:p>
        </w:tc>
        <w:tc>
          <w:tcPr>
            <w:tcW w:w="0" w:type="auto"/>
            <w:vAlign w:val="center"/>
            <w:hideMark/>
          </w:tcPr>
          <w:p w14:paraId="5A4A19EE" w14:textId="77777777" w:rsidR="00A3112D" w:rsidRPr="00B74E01" w:rsidRDefault="00A3112D" w:rsidP="00E04C44">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-R$ 1.020.337,44</w:t>
            </w:r>
          </w:p>
        </w:tc>
      </w:tr>
      <w:tr w:rsidR="00A3112D" w:rsidRPr="00B74E01" w14:paraId="1FDF6A53" w14:textId="77777777" w:rsidTr="009C2073">
        <w:trPr>
          <w:tblCellSpacing w:w="15" w:type="dxa"/>
        </w:trPr>
        <w:tc>
          <w:tcPr>
            <w:tcW w:w="0" w:type="auto"/>
            <w:vAlign w:val="center"/>
            <w:hideMark/>
          </w:tcPr>
          <w:p w14:paraId="717F7349" w14:textId="77777777" w:rsidR="00A3112D" w:rsidRPr="00B74E01" w:rsidRDefault="00A3112D" w:rsidP="00E04C44">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Receita acessória líquida estimada</w:t>
            </w:r>
          </w:p>
        </w:tc>
        <w:tc>
          <w:tcPr>
            <w:tcW w:w="0" w:type="auto"/>
            <w:vAlign w:val="center"/>
            <w:hideMark/>
          </w:tcPr>
          <w:p w14:paraId="4176A883" w14:textId="77777777" w:rsidR="00A3112D" w:rsidRPr="00B74E01" w:rsidRDefault="00A3112D" w:rsidP="00E04C44">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R$ 834.194,80</w:t>
            </w:r>
          </w:p>
        </w:tc>
        <w:tc>
          <w:tcPr>
            <w:tcW w:w="0" w:type="auto"/>
            <w:vAlign w:val="center"/>
            <w:hideMark/>
          </w:tcPr>
          <w:p w14:paraId="002B8023" w14:textId="77777777" w:rsidR="00A3112D" w:rsidRPr="00B74E01" w:rsidRDefault="00A3112D" w:rsidP="00E04C44">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R$ 10.010.337,56</w:t>
            </w:r>
          </w:p>
        </w:tc>
      </w:tr>
    </w:tbl>
    <w:p w14:paraId="58FEC10D"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lastRenderedPageBreak/>
        <w:t>A receita acessória líquida estimada representa o valor após dedução do PIS/COFINS adotado na modelagem, antes da destinação de parcela ao Fundo Municipal de Meio Ambiente e Tecnologia Pública.</w:t>
      </w:r>
    </w:p>
    <w:p w14:paraId="18FEC070" w14:textId="77777777" w:rsidR="00A3112D" w:rsidRPr="00B74E01" w:rsidRDefault="00A3112D" w:rsidP="00E04C44">
      <w:pPr>
        <w:pStyle w:val="Ttulo2"/>
        <w:rPr>
          <w:rFonts w:eastAsia="Times New Roman"/>
          <w:lang w:eastAsia="pt-BR"/>
        </w:rPr>
      </w:pPr>
      <w:bookmarkStart w:id="130" w:name="_Toc230204132"/>
      <w:r w:rsidRPr="00B74E01">
        <w:rPr>
          <w:rFonts w:eastAsia="Times New Roman"/>
          <w:lang w:eastAsia="pt-BR"/>
        </w:rPr>
        <w:t>11.5. Destinação de 5% ao Fundo Municipal</w:t>
      </w:r>
      <w:bookmarkEnd w:id="130"/>
    </w:p>
    <w:p w14:paraId="002954F8"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 modelagem recomenda a destinação de </w:t>
      </w:r>
      <w:r w:rsidRPr="00B74E01">
        <w:rPr>
          <w:rFonts w:eastAsia="Times New Roman" w:cs="Arial"/>
          <w:b/>
          <w:bCs/>
          <w:kern w:val="0"/>
          <w:lang w:eastAsia="pt-BR"/>
          <w14:ligatures w14:val="none"/>
        </w:rPr>
        <w:t>5% da receita acessória líquida efetivamente realizada</w:t>
      </w:r>
      <w:r w:rsidRPr="00B74E01">
        <w:rPr>
          <w:rFonts w:eastAsia="Times New Roman" w:cs="Arial"/>
          <w:kern w:val="0"/>
          <w:lang w:eastAsia="pt-BR"/>
          <w14:ligatures w14:val="none"/>
        </w:rPr>
        <w:t xml:space="preserve"> ao Fundo Municipal de Meio Ambiente e Tecnologia Pública.</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084"/>
        <w:gridCol w:w="1655"/>
        <w:gridCol w:w="2004"/>
      </w:tblGrid>
      <w:tr w:rsidR="00A3112D" w:rsidRPr="00B74E01" w14:paraId="7791B14A" w14:textId="77777777" w:rsidTr="009C2073">
        <w:trPr>
          <w:tblHeader/>
          <w:tblCellSpacing w:w="15" w:type="dxa"/>
        </w:trPr>
        <w:tc>
          <w:tcPr>
            <w:tcW w:w="0" w:type="auto"/>
            <w:vAlign w:val="center"/>
            <w:hideMark/>
          </w:tcPr>
          <w:p w14:paraId="4CAD5E1F" w14:textId="77777777" w:rsidR="00A3112D" w:rsidRPr="00B74E01" w:rsidRDefault="00A3112D" w:rsidP="00E04C4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Item</w:t>
            </w:r>
          </w:p>
        </w:tc>
        <w:tc>
          <w:tcPr>
            <w:tcW w:w="0" w:type="auto"/>
            <w:vAlign w:val="center"/>
            <w:hideMark/>
          </w:tcPr>
          <w:p w14:paraId="3200B5AA" w14:textId="77777777" w:rsidR="00A3112D" w:rsidRPr="00B74E01" w:rsidRDefault="00A3112D" w:rsidP="00E04C4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 mensal</w:t>
            </w:r>
          </w:p>
        </w:tc>
        <w:tc>
          <w:tcPr>
            <w:tcW w:w="0" w:type="auto"/>
            <w:vAlign w:val="center"/>
            <w:hideMark/>
          </w:tcPr>
          <w:p w14:paraId="6045F9EC" w14:textId="77777777" w:rsidR="00A3112D" w:rsidRPr="00B74E01" w:rsidRDefault="00A3112D" w:rsidP="00E04C4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 anual</w:t>
            </w:r>
          </w:p>
        </w:tc>
      </w:tr>
      <w:tr w:rsidR="00A3112D" w:rsidRPr="00B74E01" w14:paraId="0E6CC1DA" w14:textId="77777777" w:rsidTr="009C2073">
        <w:trPr>
          <w:tblCellSpacing w:w="15" w:type="dxa"/>
        </w:trPr>
        <w:tc>
          <w:tcPr>
            <w:tcW w:w="0" w:type="auto"/>
            <w:vAlign w:val="center"/>
            <w:hideMark/>
          </w:tcPr>
          <w:p w14:paraId="2B4B6CEE"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 acessória líquida estimada</w:t>
            </w:r>
          </w:p>
        </w:tc>
        <w:tc>
          <w:tcPr>
            <w:tcW w:w="0" w:type="auto"/>
            <w:vAlign w:val="center"/>
            <w:hideMark/>
          </w:tcPr>
          <w:p w14:paraId="079EA27B"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R$ 834.194,80</w:t>
            </w:r>
          </w:p>
        </w:tc>
        <w:tc>
          <w:tcPr>
            <w:tcW w:w="0" w:type="auto"/>
            <w:vAlign w:val="center"/>
            <w:hideMark/>
          </w:tcPr>
          <w:p w14:paraId="6BCC0F1D"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R$ 10.010.337,56</w:t>
            </w:r>
          </w:p>
        </w:tc>
      </w:tr>
      <w:tr w:rsidR="00A3112D" w:rsidRPr="00B74E01" w14:paraId="53A2B23C" w14:textId="77777777" w:rsidTr="009C2073">
        <w:trPr>
          <w:tblCellSpacing w:w="15" w:type="dxa"/>
        </w:trPr>
        <w:tc>
          <w:tcPr>
            <w:tcW w:w="0" w:type="auto"/>
            <w:vAlign w:val="center"/>
            <w:hideMark/>
          </w:tcPr>
          <w:p w14:paraId="7D557479"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5% ao Fundo Municipal</w:t>
            </w:r>
          </w:p>
        </w:tc>
        <w:tc>
          <w:tcPr>
            <w:tcW w:w="0" w:type="auto"/>
            <w:vAlign w:val="center"/>
            <w:hideMark/>
          </w:tcPr>
          <w:p w14:paraId="52625392"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R$ 41.709,74</w:t>
            </w:r>
          </w:p>
        </w:tc>
        <w:tc>
          <w:tcPr>
            <w:tcW w:w="0" w:type="auto"/>
            <w:vAlign w:val="center"/>
            <w:hideMark/>
          </w:tcPr>
          <w:p w14:paraId="212CED92"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R$ 500.516,88</w:t>
            </w:r>
          </w:p>
        </w:tc>
      </w:tr>
      <w:tr w:rsidR="00A3112D" w:rsidRPr="00B74E01" w14:paraId="500913B6" w14:textId="77777777" w:rsidTr="009C2073">
        <w:trPr>
          <w:tblCellSpacing w:w="15" w:type="dxa"/>
        </w:trPr>
        <w:tc>
          <w:tcPr>
            <w:tcW w:w="0" w:type="auto"/>
            <w:vAlign w:val="center"/>
            <w:hideMark/>
          </w:tcPr>
          <w:p w14:paraId="239C8A7B"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Acréscimo líquido ao caixa da SPE</w:t>
            </w:r>
          </w:p>
        </w:tc>
        <w:tc>
          <w:tcPr>
            <w:tcW w:w="0" w:type="auto"/>
            <w:vAlign w:val="center"/>
            <w:hideMark/>
          </w:tcPr>
          <w:p w14:paraId="47794CA0"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R$ 792.485,06</w:t>
            </w:r>
          </w:p>
        </w:tc>
        <w:tc>
          <w:tcPr>
            <w:tcW w:w="0" w:type="auto"/>
            <w:vAlign w:val="center"/>
            <w:hideMark/>
          </w:tcPr>
          <w:p w14:paraId="137D7BF5"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R$ 9.509.820,68</w:t>
            </w:r>
          </w:p>
        </w:tc>
      </w:tr>
    </w:tbl>
    <w:p w14:paraId="0745FF51"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destinação de 5% não decorre de obrigação legal automática. Trata-se de mecanismo recomendado de governança, repartição de benefícios e fortalecimento das políticas públicas ambientais e tecnológicas do Município.</w:t>
      </w:r>
    </w:p>
    <w:p w14:paraId="236083DE"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 redação contratual deverá definir com precisão a base de cálculo: receita bruta, receita líquida ou resultado líquido. A modelagem atual adota como referência a </w:t>
      </w:r>
      <w:r w:rsidRPr="00B74E01">
        <w:rPr>
          <w:rFonts w:eastAsia="Times New Roman" w:cs="Arial"/>
          <w:b/>
          <w:bCs/>
          <w:kern w:val="0"/>
          <w:lang w:eastAsia="pt-BR"/>
          <w14:ligatures w14:val="none"/>
        </w:rPr>
        <w:t>receita acessória líquida efetivamente realizada</w:t>
      </w:r>
      <w:r w:rsidRPr="00B74E01">
        <w:rPr>
          <w:rFonts w:eastAsia="Times New Roman" w:cs="Arial"/>
          <w:kern w:val="0"/>
          <w:lang w:eastAsia="pt-BR"/>
          <w14:ligatures w14:val="none"/>
        </w:rPr>
        <w:t>, por ser critério mais equilibrado entre interesse público e sustentabilidade da SPE.</w:t>
      </w:r>
    </w:p>
    <w:p w14:paraId="1781D1B5" w14:textId="77777777" w:rsidR="00A3112D" w:rsidRPr="00B74E01" w:rsidRDefault="00A3112D" w:rsidP="00E04C44">
      <w:pPr>
        <w:pStyle w:val="Ttulo2"/>
        <w:rPr>
          <w:rFonts w:eastAsia="Times New Roman"/>
          <w:lang w:eastAsia="pt-BR"/>
        </w:rPr>
      </w:pPr>
      <w:bookmarkStart w:id="131" w:name="_Toc230204133"/>
      <w:r w:rsidRPr="00B74E01">
        <w:rPr>
          <w:rFonts w:eastAsia="Times New Roman"/>
          <w:lang w:eastAsia="pt-BR"/>
        </w:rPr>
        <w:t>11.6. Alternativas de base de cálculo para o Fundo Municipal</w:t>
      </w:r>
      <w:bookmarkEnd w:id="131"/>
    </w:p>
    <w:p w14:paraId="6A56C014"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 definição da base de cálculo dos </w:t>
      </w:r>
      <w:proofErr w:type="gramStart"/>
      <w:r w:rsidRPr="00B74E01">
        <w:rPr>
          <w:rFonts w:eastAsia="Times New Roman" w:cs="Arial"/>
          <w:kern w:val="0"/>
          <w:lang w:eastAsia="pt-BR"/>
          <w14:ligatures w14:val="none"/>
        </w:rPr>
        <w:t>5% é</w:t>
      </w:r>
      <w:proofErr w:type="gramEnd"/>
      <w:r w:rsidRPr="00B74E01">
        <w:rPr>
          <w:rFonts w:eastAsia="Times New Roman" w:cs="Arial"/>
          <w:kern w:val="0"/>
          <w:lang w:eastAsia="pt-BR"/>
          <w14:ligatures w14:val="none"/>
        </w:rPr>
        <w:t xml:space="preserve"> relevante porque impacta o valor destinado ao Fundo e o caixa da SPE.</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011"/>
        <w:gridCol w:w="2555"/>
        <w:gridCol w:w="1963"/>
        <w:gridCol w:w="2532"/>
      </w:tblGrid>
      <w:tr w:rsidR="00A3112D" w:rsidRPr="00B74E01" w14:paraId="1724B9D1" w14:textId="77777777" w:rsidTr="009C2073">
        <w:trPr>
          <w:tblHeader/>
          <w:tblCellSpacing w:w="15" w:type="dxa"/>
        </w:trPr>
        <w:tc>
          <w:tcPr>
            <w:tcW w:w="0" w:type="auto"/>
            <w:vAlign w:val="center"/>
            <w:hideMark/>
          </w:tcPr>
          <w:p w14:paraId="1D13A95E" w14:textId="77777777" w:rsidR="00A3112D" w:rsidRPr="00B74E01" w:rsidRDefault="00A3112D" w:rsidP="00E04C4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Base de cálculo</w:t>
            </w:r>
          </w:p>
        </w:tc>
        <w:tc>
          <w:tcPr>
            <w:tcW w:w="0" w:type="auto"/>
            <w:vAlign w:val="center"/>
            <w:hideMark/>
          </w:tcPr>
          <w:p w14:paraId="1655366B" w14:textId="77777777" w:rsidR="00A3112D" w:rsidRPr="00B74E01" w:rsidRDefault="00A3112D" w:rsidP="00E04C4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Característica</w:t>
            </w:r>
          </w:p>
        </w:tc>
        <w:tc>
          <w:tcPr>
            <w:tcW w:w="0" w:type="auto"/>
            <w:vAlign w:val="center"/>
            <w:hideMark/>
          </w:tcPr>
          <w:p w14:paraId="5E157458" w14:textId="77777777" w:rsidR="00A3112D" w:rsidRPr="00B74E01" w:rsidRDefault="00A3112D" w:rsidP="00E04C4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Vantagem</w:t>
            </w:r>
          </w:p>
        </w:tc>
        <w:tc>
          <w:tcPr>
            <w:tcW w:w="0" w:type="auto"/>
            <w:vAlign w:val="center"/>
            <w:hideMark/>
          </w:tcPr>
          <w:p w14:paraId="781D4D20" w14:textId="77777777" w:rsidR="00A3112D" w:rsidRPr="00B74E01" w:rsidRDefault="00A3112D" w:rsidP="00E04C4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Atenção</w:t>
            </w:r>
          </w:p>
        </w:tc>
      </w:tr>
      <w:tr w:rsidR="00A3112D" w:rsidRPr="00B74E01" w14:paraId="30DE45CE" w14:textId="77777777" w:rsidTr="009C2073">
        <w:trPr>
          <w:tblCellSpacing w:w="15" w:type="dxa"/>
        </w:trPr>
        <w:tc>
          <w:tcPr>
            <w:tcW w:w="0" w:type="auto"/>
            <w:vAlign w:val="center"/>
            <w:hideMark/>
          </w:tcPr>
          <w:p w14:paraId="76F93DB2"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 acessória bruta</w:t>
            </w:r>
          </w:p>
        </w:tc>
        <w:tc>
          <w:tcPr>
            <w:tcW w:w="0" w:type="auto"/>
            <w:vAlign w:val="center"/>
            <w:hideMark/>
          </w:tcPr>
          <w:p w14:paraId="52C0CD66"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Incide antes da dedução de tributos e custos</w:t>
            </w:r>
          </w:p>
        </w:tc>
        <w:tc>
          <w:tcPr>
            <w:tcW w:w="0" w:type="auto"/>
            <w:vAlign w:val="center"/>
            <w:hideMark/>
          </w:tcPr>
          <w:p w14:paraId="4994A615"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Mais simples e favorável ao Fundo</w:t>
            </w:r>
          </w:p>
        </w:tc>
        <w:tc>
          <w:tcPr>
            <w:tcW w:w="0" w:type="auto"/>
            <w:vAlign w:val="center"/>
            <w:hideMark/>
          </w:tcPr>
          <w:p w14:paraId="66B46046"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Pode onerar a SPE antes de deduções obrigatórias</w:t>
            </w:r>
          </w:p>
        </w:tc>
      </w:tr>
      <w:tr w:rsidR="00A3112D" w:rsidRPr="00B74E01" w14:paraId="3F107FBC" w14:textId="77777777" w:rsidTr="009C2073">
        <w:trPr>
          <w:tblCellSpacing w:w="15" w:type="dxa"/>
        </w:trPr>
        <w:tc>
          <w:tcPr>
            <w:tcW w:w="0" w:type="auto"/>
            <w:vAlign w:val="center"/>
            <w:hideMark/>
          </w:tcPr>
          <w:p w14:paraId="5A28CAA6"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lastRenderedPageBreak/>
              <w:t>Receita acessória líquida</w:t>
            </w:r>
          </w:p>
        </w:tc>
        <w:tc>
          <w:tcPr>
            <w:tcW w:w="0" w:type="auto"/>
            <w:vAlign w:val="center"/>
            <w:hideMark/>
          </w:tcPr>
          <w:p w14:paraId="69F321D6"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Incide após tributos diretamente incidentes</w:t>
            </w:r>
          </w:p>
        </w:tc>
        <w:tc>
          <w:tcPr>
            <w:tcW w:w="0" w:type="auto"/>
            <w:vAlign w:val="center"/>
            <w:hideMark/>
          </w:tcPr>
          <w:p w14:paraId="2F65FF49"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Mais equilibrada</w:t>
            </w:r>
          </w:p>
        </w:tc>
        <w:tc>
          <w:tcPr>
            <w:tcW w:w="0" w:type="auto"/>
            <w:vAlign w:val="center"/>
            <w:hideMark/>
          </w:tcPr>
          <w:p w14:paraId="76FF669D"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Exige definição clara das deduções permitidas</w:t>
            </w:r>
          </w:p>
        </w:tc>
      </w:tr>
      <w:tr w:rsidR="00A3112D" w:rsidRPr="00B74E01" w14:paraId="0BACC79D" w14:textId="77777777" w:rsidTr="009C2073">
        <w:trPr>
          <w:tblCellSpacing w:w="15" w:type="dxa"/>
        </w:trPr>
        <w:tc>
          <w:tcPr>
            <w:tcW w:w="0" w:type="auto"/>
            <w:vAlign w:val="center"/>
            <w:hideMark/>
          </w:tcPr>
          <w:p w14:paraId="77011BF2"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Resultado líquido da receita acessória</w:t>
            </w:r>
          </w:p>
        </w:tc>
        <w:tc>
          <w:tcPr>
            <w:tcW w:w="0" w:type="auto"/>
            <w:vAlign w:val="center"/>
            <w:hideMark/>
          </w:tcPr>
          <w:p w14:paraId="009A0C27"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Incide após tributos e custos específicos</w:t>
            </w:r>
          </w:p>
        </w:tc>
        <w:tc>
          <w:tcPr>
            <w:tcW w:w="0" w:type="auto"/>
            <w:vAlign w:val="center"/>
            <w:hideMark/>
          </w:tcPr>
          <w:p w14:paraId="30D0E3C0"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Mais favorável à SPE</w:t>
            </w:r>
          </w:p>
        </w:tc>
        <w:tc>
          <w:tcPr>
            <w:tcW w:w="0" w:type="auto"/>
            <w:vAlign w:val="center"/>
            <w:hideMark/>
          </w:tcPr>
          <w:p w14:paraId="58BDFD57"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Pode gerar discussão sobre custos dedutíveis</w:t>
            </w:r>
          </w:p>
        </w:tc>
      </w:tr>
    </w:tbl>
    <w:p w14:paraId="7E729B76"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 recomendação técnica é adotar </w:t>
      </w:r>
      <w:r w:rsidRPr="00B74E01">
        <w:rPr>
          <w:rFonts w:eastAsia="Times New Roman" w:cs="Arial"/>
          <w:b/>
          <w:bCs/>
          <w:kern w:val="0"/>
          <w:lang w:eastAsia="pt-BR"/>
          <w14:ligatures w14:val="none"/>
        </w:rPr>
        <w:t>receita acessória líquida efetivamente realizada</w:t>
      </w:r>
      <w:r w:rsidRPr="00B74E01">
        <w:rPr>
          <w:rFonts w:eastAsia="Times New Roman" w:cs="Arial"/>
          <w:kern w:val="0"/>
          <w:lang w:eastAsia="pt-BR"/>
          <w14:ligatures w14:val="none"/>
        </w:rPr>
        <w:t>, com definição objetiva das deduções permitidas, evitando disputa futura sobre a base de cálculo.</w:t>
      </w:r>
    </w:p>
    <w:p w14:paraId="0CA549C6" w14:textId="77777777" w:rsidR="00A3112D" w:rsidRPr="00B74E01" w:rsidRDefault="00A3112D" w:rsidP="00E04C44">
      <w:pPr>
        <w:pStyle w:val="Ttulo2"/>
        <w:rPr>
          <w:rFonts w:eastAsia="Times New Roman"/>
          <w:lang w:eastAsia="pt-BR"/>
        </w:rPr>
      </w:pPr>
      <w:bookmarkStart w:id="132" w:name="_Toc230204134"/>
      <w:r w:rsidRPr="00B74E01">
        <w:rPr>
          <w:rFonts w:eastAsia="Times New Roman"/>
          <w:lang w:eastAsia="pt-BR"/>
        </w:rPr>
        <w:t>11.7. Condicionantes técnicas e comerciais</w:t>
      </w:r>
      <w:bookmarkEnd w:id="132"/>
    </w:p>
    <w:p w14:paraId="3C0BDA71"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As receitas acessórias dependem de condições específicas. Por isso, não devem ser apresentadas como receita certa sem comprovação.</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83"/>
        <w:gridCol w:w="6878"/>
      </w:tblGrid>
      <w:tr w:rsidR="00A3112D" w:rsidRPr="00B74E01" w14:paraId="37EC46AA" w14:textId="77777777" w:rsidTr="009C2073">
        <w:trPr>
          <w:tblHeade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2DC7ECA8" w14:textId="77777777" w:rsidR="00A3112D" w:rsidRPr="00B74E01" w:rsidRDefault="00A3112D" w:rsidP="00E04C4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Receita acessória</w:t>
            </w:r>
          </w:p>
        </w:tc>
        <w:tc>
          <w:tcPr>
            <w:tcW w:w="0" w:type="auto"/>
            <w:tcBorders>
              <w:top w:val="single" w:sz="4" w:space="0" w:color="auto"/>
              <w:left w:val="single" w:sz="4" w:space="0" w:color="auto"/>
              <w:bottom w:val="single" w:sz="4" w:space="0" w:color="auto"/>
              <w:right w:val="single" w:sz="4" w:space="0" w:color="auto"/>
            </w:tcBorders>
            <w:vAlign w:val="center"/>
            <w:hideMark/>
          </w:tcPr>
          <w:p w14:paraId="69CEA712" w14:textId="77777777" w:rsidR="00A3112D" w:rsidRPr="00B74E01" w:rsidRDefault="00A3112D" w:rsidP="00E04C4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Condicionantes</w:t>
            </w:r>
          </w:p>
        </w:tc>
      </w:tr>
      <w:tr w:rsidR="00A3112D" w:rsidRPr="00B74E01" w14:paraId="4AD101EF" w14:textId="77777777" w:rsidTr="009C2073">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7E5FBB86" w14:textId="77777777" w:rsidR="00A3112D" w:rsidRPr="00B74E01" w:rsidRDefault="00A3112D" w:rsidP="00E04C44">
            <w:pPr>
              <w:spacing w:after="0" w:line="360" w:lineRule="auto"/>
              <w:rPr>
                <w:rFonts w:eastAsia="Times New Roman" w:cs="Arial"/>
                <w:kern w:val="0"/>
                <w:lang w:eastAsia="pt-BR"/>
                <w14:ligatures w14:val="none"/>
              </w:rPr>
            </w:pPr>
            <w:proofErr w:type="spellStart"/>
            <w:r w:rsidRPr="00B74E01">
              <w:rPr>
                <w:rFonts w:eastAsia="Times New Roman" w:cs="Arial"/>
                <w:kern w:val="0"/>
                <w:lang w:eastAsia="pt-BR"/>
                <w14:ligatures w14:val="none"/>
              </w:rPr>
              <w:t>Biochar</w:t>
            </w:r>
            <w:proofErr w:type="spellEnd"/>
            <w:r w:rsidRPr="00B74E01">
              <w:rPr>
                <w:rFonts w:eastAsia="Times New Roman" w:cs="Arial"/>
                <w:kern w:val="0"/>
                <w:lang w:eastAsia="pt-BR"/>
                <w14:ligatures w14:val="none"/>
              </w:rPr>
              <w:t xml:space="preserve"> / material carbonáceo</w:t>
            </w:r>
          </w:p>
        </w:tc>
        <w:tc>
          <w:tcPr>
            <w:tcW w:w="0" w:type="auto"/>
            <w:tcBorders>
              <w:top w:val="single" w:sz="4" w:space="0" w:color="auto"/>
              <w:left w:val="single" w:sz="4" w:space="0" w:color="auto"/>
              <w:bottom w:val="single" w:sz="4" w:space="0" w:color="auto"/>
              <w:right w:val="single" w:sz="4" w:space="0" w:color="auto"/>
            </w:tcBorders>
            <w:vAlign w:val="center"/>
            <w:hideMark/>
          </w:tcPr>
          <w:p w14:paraId="39AA06BB"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Qualidade, umidade, contaminantes, laudos, granulometria, mercado comprador, logística e uso final</w:t>
            </w:r>
          </w:p>
        </w:tc>
      </w:tr>
      <w:tr w:rsidR="00A3112D" w:rsidRPr="00B74E01" w14:paraId="381DB06E" w14:textId="77777777" w:rsidTr="009C2073">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4F440B09"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 xml:space="preserve">Óleo </w:t>
            </w:r>
            <w:proofErr w:type="spellStart"/>
            <w:r w:rsidRPr="00B74E01">
              <w:rPr>
                <w:rFonts w:eastAsia="Times New Roman" w:cs="Arial"/>
                <w:kern w:val="0"/>
                <w:lang w:eastAsia="pt-BR"/>
                <w14:ligatures w14:val="none"/>
              </w:rPr>
              <w:t>pirolítico</w:t>
            </w:r>
            <w:proofErr w:type="spellEnd"/>
            <w:r w:rsidRPr="00B74E01">
              <w:rPr>
                <w:rFonts w:eastAsia="Times New Roman" w:cs="Arial"/>
                <w:kern w:val="0"/>
                <w:lang w:eastAsia="pt-BR"/>
                <w14:ligatures w14:val="none"/>
              </w:rPr>
              <w:t xml:space="preserve"> / extrato líquido</w:t>
            </w:r>
          </w:p>
        </w:tc>
        <w:tc>
          <w:tcPr>
            <w:tcW w:w="0" w:type="auto"/>
            <w:tcBorders>
              <w:top w:val="single" w:sz="4" w:space="0" w:color="auto"/>
              <w:left w:val="single" w:sz="4" w:space="0" w:color="auto"/>
              <w:bottom w:val="single" w:sz="4" w:space="0" w:color="auto"/>
              <w:right w:val="single" w:sz="4" w:space="0" w:color="auto"/>
            </w:tcBorders>
            <w:vAlign w:val="center"/>
            <w:hideMark/>
          </w:tcPr>
          <w:p w14:paraId="0068309D"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Especificação técnica, estabilidade, enquadramento regulatório, armazenamento, transporte, destinação permitida e comprador</w:t>
            </w:r>
          </w:p>
        </w:tc>
      </w:tr>
      <w:tr w:rsidR="00A3112D" w:rsidRPr="00B74E01" w14:paraId="50A58F59" w14:textId="77777777" w:rsidTr="009C2073">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66064B0B"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Créditos de carbono</w:t>
            </w:r>
          </w:p>
        </w:tc>
        <w:tc>
          <w:tcPr>
            <w:tcW w:w="0" w:type="auto"/>
            <w:tcBorders>
              <w:top w:val="single" w:sz="4" w:space="0" w:color="auto"/>
              <w:left w:val="single" w:sz="4" w:space="0" w:color="auto"/>
              <w:bottom w:val="single" w:sz="4" w:space="0" w:color="auto"/>
              <w:right w:val="single" w:sz="4" w:space="0" w:color="auto"/>
            </w:tcBorders>
            <w:vAlign w:val="center"/>
            <w:hideMark/>
          </w:tcPr>
          <w:p w14:paraId="1A79E07B"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Metodologia, adicionalidade, linha de base, monitoramento, relato, verificação, certificadora e preço de mercado</w:t>
            </w:r>
          </w:p>
        </w:tc>
      </w:tr>
      <w:tr w:rsidR="00A3112D" w:rsidRPr="00B74E01" w14:paraId="2F5AF22A" w14:textId="77777777" w:rsidTr="009C2073">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7A7919CD"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Recicláveis</w:t>
            </w:r>
          </w:p>
        </w:tc>
        <w:tc>
          <w:tcPr>
            <w:tcW w:w="0" w:type="auto"/>
            <w:tcBorders>
              <w:top w:val="single" w:sz="4" w:space="0" w:color="auto"/>
              <w:left w:val="single" w:sz="4" w:space="0" w:color="auto"/>
              <w:bottom w:val="single" w:sz="4" w:space="0" w:color="auto"/>
              <w:right w:val="single" w:sz="4" w:space="0" w:color="auto"/>
            </w:tcBorders>
            <w:vAlign w:val="center"/>
            <w:hideMark/>
          </w:tcPr>
          <w:p w14:paraId="12DFD0D3"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Triagem, contaminação, volume, separação, preço de mercado, logística e comprador</w:t>
            </w:r>
          </w:p>
        </w:tc>
      </w:tr>
      <w:tr w:rsidR="00A3112D" w:rsidRPr="00B74E01" w14:paraId="729B79A2" w14:textId="77777777" w:rsidTr="009C2073">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4F0901FC"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Outros ativos econômicos</w:t>
            </w:r>
          </w:p>
        </w:tc>
        <w:tc>
          <w:tcPr>
            <w:tcW w:w="0" w:type="auto"/>
            <w:tcBorders>
              <w:top w:val="single" w:sz="4" w:space="0" w:color="auto"/>
              <w:left w:val="single" w:sz="4" w:space="0" w:color="auto"/>
              <w:bottom w:val="single" w:sz="4" w:space="0" w:color="auto"/>
              <w:right w:val="single" w:sz="4" w:space="0" w:color="auto"/>
            </w:tcBorders>
            <w:vAlign w:val="center"/>
            <w:hideMark/>
          </w:tcPr>
          <w:p w14:paraId="279DFA63"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Compatibilidade técnica, autorização contratual, regulação, licenciamento e mercado</w:t>
            </w:r>
          </w:p>
        </w:tc>
      </w:tr>
    </w:tbl>
    <w:p w14:paraId="51963B9B"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O RSU é matéria-prima heterogênea. Sua composição varia diariamente e pode conter umidade, contaminantes, materiais inadequados, rejeitos, inertes e </w:t>
      </w:r>
      <w:r w:rsidRPr="00B74E01">
        <w:rPr>
          <w:rFonts w:eastAsia="Times New Roman" w:cs="Arial"/>
          <w:kern w:val="0"/>
          <w:lang w:eastAsia="pt-BR"/>
          <w14:ligatures w14:val="none"/>
        </w:rPr>
        <w:lastRenderedPageBreak/>
        <w:t>frações de menor valor comercial. Isso impõe cautela à projeção das receitas acessórias.</w:t>
      </w:r>
    </w:p>
    <w:p w14:paraId="4DEE6E64" w14:textId="77777777" w:rsidR="00A3112D" w:rsidRPr="00B74E01" w:rsidRDefault="00A3112D" w:rsidP="00E04C44">
      <w:pPr>
        <w:pStyle w:val="Ttulo2"/>
        <w:rPr>
          <w:rFonts w:eastAsia="Times New Roman"/>
          <w:lang w:eastAsia="pt-BR"/>
        </w:rPr>
      </w:pPr>
      <w:bookmarkStart w:id="133" w:name="_Toc230204135"/>
      <w:r w:rsidRPr="00B74E01">
        <w:rPr>
          <w:rFonts w:eastAsia="Times New Roman"/>
          <w:lang w:eastAsia="pt-BR"/>
        </w:rPr>
        <w:t>11.8. Recicláveis como receita acessória potencial adicional</w:t>
      </w:r>
      <w:bookmarkEnd w:id="133"/>
    </w:p>
    <w:p w14:paraId="4F0DE08C"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Os recicláveis eventualmente recuperados poderão ser tratados como receita acessória potencial adicional, desde que haja comprovação técnica e comercial.</w:t>
      </w:r>
    </w:p>
    <w:p w14:paraId="626C3C1D"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Por prudência, essa receita não foi incorporada ao cenário-base da modelagem financeira.</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297"/>
        <w:gridCol w:w="5232"/>
      </w:tblGrid>
      <w:tr w:rsidR="00A3112D" w:rsidRPr="00B74E01" w14:paraId="65821F2B" w14:textId="77777777" w:rsidTr="009C2073">
        <w:trPr>
          <w:tblHeader/>
          <w:tblCellSpacing w:w="15" w:type="dxa"/>
        </w:trPr>
        <w:tc>
          <w:tcPr>
            <w:tcW w:w="0" w:type="auto"/>
            <w:vAlign w:val="center"/>
            <w:hideMark/>
          </w:tcPr>
          <w:p w14:paraId="6D4B1BE5" w14:textId="77777777" w:rsidR="00A3112D" w:rsidRPr="00B74E01" w:rsidRDefault="00A3112D" w:rsidP="00E04C4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Aspecto</w:t>
            </w:r>
          </w:p>
        </w:tc>
        <w:tc>
          <w:tcPr>
            <w:tcW w:w="0" w:type="auto"/>
            <w:vAlign w:val="center"/>
            <w:hideMark/>
          </w:tcPr>
          <w:p w14:paraId="757A0797" w14:textId="77777777" w:rsidR="00A3112D" w:rsidRPr="00B74E01" w:rsidRDefault="00A3112D" w:rsidP="00E04C4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Tratamento recomendado</w:t>
            </w:r>
          </w:p>
        </w:tc>
      </w:tr>
      <w:tr w:rsidR="00A3112D" w:rsidRPr="00B74E01" w14:paraId="3F8156E9" w14:textId="77777777" w:rsidTr="009C2073">
        <w:trPr>
          <w:tblCellSpacing w:w="15" w:type="dxa"/>
        </w:trPr>
        <w:tc>
          <w:tcPr>
            <w:tcW w:w="0" w:type="auto"/>
            <w:vAlign w:val="center"/>
            <w:hideMark/>
          </w:tcPr>
          <w:p w14:paraId="4BF2A371"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Inclusão no cenário-base</w:t>
            </w:r>
          </w:p>
        </w:tc>
        <w:tc>
          <w:tcPr>
            <w:tcW w:w="0" w:type="auto"/>
            <w:vAlign w:val="center"/>
            <w:hideMark/>
          </w:tcPr>
          <w:p w14:paraId="3674F254"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Não recomendada sem comprovação</w:t>
            </w:r>
          </w:p>
        </w:tc>
      </w:tr>
      <w:tr w:rsidR="00A3112D" w:rsidRPr="00B74E01" w14:paraId="4795AE0D" w14:textId="77777777" w:rsidTr="009C2073">
        <w:trPr>
          <w:tblCellSpacing w:w="15" w:type="dxa"/>
        </w:trPr>
        <w:tc>
          <w:tcPr>
            <w:tcW w:w="0" w:type="auto"/>
            <w:vAlign w:val="center"/>
            <w:hideMark/>
          </w:tcPr>
          <w:p w14:paraId="5FEFECAE"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Tratamento no caderno</w:t>
            </w:r>
          </w:p>
        </w:tc>
        <w:tc>
          <w:tcPr>
            <w:tcW w:w="0" w:type="auto"/>
            <w:vAlign w:val="center"/>
            <w:hideMark/>
          </w:tcPr>
          <w:p w14:paraId="1257A65B"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 acessória potencial adicional</w:t>
            </w:r>
          </w:p>
        </w:tc>
      </w:tr>
      <w:tr w:rsidR="00A3112D" w:rsidRPr="00B74E01" w14:paraId="506B4407" w14:textId="77777777" w:rsidTr="009C2073">
        <w:trPr>
          <w:tblCellSpacing w:w="15" w:type="dxa"/>
        </w:trPr>
        <w:tc>
          <w:tcPr>
            <w:tcW w:w="0" w:type="auto"/>
            <w:vAlign w:val="center"/>
            <w:hideMark/>
          </w:tcPr>
          <w:p w14:paraId="5442FD04"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Demonstração pelos licitantes</w:t>
            </w:r>
          </w:p>
        </w:tc>
        <w:tc>
          <w:tcPr>
            <w:tcW w:w="0" w:type="auto"/>
            <w:vAlign w:val="center"/>
            <w:hideMark/>
          </w:tcPr>
          <w:p w14:paraId="28F1698E"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Recomendável</w:t>
            </w:r>
          </w:p>
        </w:tc>
      </w:tr>
      <w:tr w:rsidR="00A3112D" w:rsidRPr="00B74E01" w14:paraId="7597BD3D" w14:textId="77777777" w:rsidTr="009C2073">
        <w:trPr>
          <w:tblCellSpacing w:w="15" w:type="dxa"/>
        </w:trPr>
        <w:tc>
          <w:tcPr>
            <w:tcW w:w="0" w:type="auto"/>
            <w:vAlign w:val="center"/>
            <w:hideMark/>
          </w:tcPr>
          <w:p w14:paraId="3E1D9969"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Condição para monetização</w:t>
            </w:r>
          </w:p>
        </w:tc>
        <w:tc>
          <w:tcPr>
            <w:tcW w:w="0" w:type="auto"/>
            <w:vAlign w:val="center"/>
            <w:hideMark/>
          </w:tcPr>
          <w:p w14:paraId="109314F5"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Volume, qualidade, preço e mercado comprador</w:t>
            </w:r>
          </w:p>
        </w:tc>
      </w:tr>
      <w:tr w:rsidR="00A3112D" w:rsidRPr="00B74E01" w14:paraId="3F9153D2" w14:textId="77777777" w:rsidTr="009C2073">
        <w:trPr>
          <w:tblCellSpacing w:w="15" w:type="dxa"/>
        </w:trPr>
        <w:tc>
          <w:tcPr>
            <w:tcW w:w="0" w:type="auto"/>
            <w:vAlign w:val="center"/>
            <w:hideMark/>
          </w:tcPr>
          <w:p w14:paraId="5943BCE1"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Risco de realização</w:t>
            </w:r>
          </w:p>
        </w:tc>
        <w:tc>
          <w:tcPr>
            <w:tcW w:w="0" w:type="auto"/>
            <w:vAlign w:val="center"/>
            <w:hideMark/>
          </w:tcPr>
          <w:p w14:paraId="16B1D6FD"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SPE</w:t>
            </w:r>
          </w:p>
        </w:tc>
      </w:tr>
      <w:tr w:rsidR="00A3112D" w:rsidRPr="00B74E01" w14:paraId="4CE6B80E" w14:textId="77777777" w:rsidTr="009C2073">
        <w:trPr>
          <w:tblCellSpacing w:w="15" w:type="dxa"/>
        </w:trPr>
        <w:tc>
          <w:tcPr>
            <w:tcW w:w="0" w:type="auto"/>
            <w:vAlign w:val="center"/>
            <w:hideMark/>
          </w:tcPr>
          <w:p w14:paraId="454963B3"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Reequilíbrio por frustração</w:t>
            </w:r>
          </w:p>
        </w:tc>
        <w:tc>
          <w:tcPr>
            <w:tcW w:w="0" w:type="auto"/>
            <w:vAlign w:val="center"/>
            <w:hideMark/>
          </w:tcPr>
          <w:p w14:paraId="2B829DA6"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Não recomendado, salvo hipótese expressa</w:t>
            </w:r>
          </w:p>
        </w:tc>
      </w:tr>
    </w:tbl>
    <w:p w14:paraId="4A2FC741"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Essa abordagem evita inflar artificialmente o resultado do projeto e mantém coerência com a natureza variável do RSU misto.</w:t>
      </w:r>
    </w:p>
    <w:p w14:paraId="4A849550" w14:textId="77777777" w:rsidR="00A3112D" w:rsidRPr="00B74E01" w:rsidRDefault="00A3112D" w:rsidP="00E04C44">
      <w:pPr>
        <w:pStyle w:val="Ttulo2"/>
        <w:rPr>
          <w:rFonts w:eastAsia="Times New Roman"/>
          <w:lang w:eastAsia="pt-BR"/>
        </w:rPr>
      </w:pPr>
      <w:bookmarkStart w:id="134" w:name="_Toc230204136"/>
      <w:r w:rsidRPr="00B74E01">
        <w:rPr>
          <w:rFonts w:eastAsia="Times New Roman"/>
          <w:lang w:eastAsia="pt-BR"/>
        </w:rPr>
        <w:t>11.9. Receitas acessórias e risco da SPE</w:t>
      </w:r>
      <w:bookmarkEnd w:id="134"/>
    </w:p>
    <w:p w14:paraId="5B61004B"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As receitas acessórias deverão ser tratadas, em regra, como risco da SPE. Isso significa que sua frustração, redução ou atraso não deve gerar direito automático ao reequilíbrio econômico-financeiro.</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478"/>
        <w:gridCol w:w="4583"/>
      </w:tblGrid>
      <w:tr w:rsidR="00A3112D" w:rsidRPr="00B74E01" w14:paraId="7986A1D2" w14:textId="77777777" w:rsidTr="009C2073">
        <w:trPr>
          <w:tblHeade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33551C1B" w14:textId="77777777" w:rsidR="00A3112D" w:rsidRPr="00B74E01" w:rsidRDefault="00A3112D" w:rsidP="00E04C44">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Evento</w:t>
            </w:r>
          </w:p>
        </w:tc>
        <w:tc>
          <w:tcPr>
            <w:tcW w:w="0" w:type="auto"/>
            <w:tcBorders>
              <w:top w:val="single" w:sz="4" w:space="0" w:color="auto"/>
              <w:left w:val="single" w:sz="4" w:space="0" w:color="auto"/>
              <w:bottom w:val="single" w:sz="4" w:space="0" w:color="auto"/>
              <w:right w:val="single" w:sz="4" w:space="0" w:color="auto"/>
            </w:tcBorders>
            <w:vAlign w:val="center"/>
            <w:hideMark/>
          </w:tcPr>
          <w:p w14:paraId="63240FFF" w14:textId="77777777" w:rsidR="00A3112D" w:rsidRPr="00B74E01" w:rsidRDefault="00A3112D" w:rsidP="00E04C44">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Tratamento recomendado</w:t>
            </w:r>
          </w:p>
        </w:tc>
      </w:tr>
      <w:tr w:rsidR="00A3112D" w:rsidRPr="00B74E01" w14:paraId="19D0DEFA" w14:textId="77777777" w:rsidTr="009C2073">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3CFADC9E" w14:textId="77777777" w:rsidR="00A3112D" w:rsidRPr="00B74E01" w:rsidRDefault="00A3112D" w:rsidP="00E04C44">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Preço inferior ao estimado</w:t>
            </w:r>
          </w:p>
        </w:tc>
        <w:tc>
          <w:tcPr>
            <w:tcW w:w="0" w:type="auto"/>
            <w:tcBorders>
              <w:top w:val="single" w:sz="4" w:space="0" w:color="auto"/>
              <w:left w:val="single" w:sz="4" w:space="0" w:color="auto"/>
              <w:bottom w:val="single" w:sz="4" w:space="0" w:color="auto"/>
              <w:right w:val="single" w:sz="4" w:space="0" w:color="auto"/>
            </w:tcBorders>
            <w:vAlign w:val="center"/>
            <w:hideMark/>
          </w:tcPr>
          <w:p w14:paraId="7EEE5F74" w14:textId="77777777" w:rsidR="00A3112D" w:rsidRPr="00B74E01" w:rsidRDefault="00A3112D" w:rsidP="00E04C44">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Risco da SPE</w:t>
            </w:r>
          </w:p>
        </w:tc>
      </w:tr>
      <w:tr w:rsidR="00A3112D" w:rsidRPr="00B74E01" w14:paraId="762CA903" w14:textId="77777777" w:rsidTr="009C2073">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7D06DDC8" w14:textId="77777777" w:rsidR="00A3112D" w:rsidRPr="00B74E01" w:rsidRDefault="00A3112D" w:rsidP="00E04C44">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Ausência de comprador</w:t>
            </w:r>
          </w:p>
        </w:tc>
        <w:tc>
          <w:tcPr>
            <w:tcW w:w="0" w:type="auto"/>
            <w:tcBorders>
              <w:top w:val="single" w:sz="4" w:space="0" w:color="auto"/>
              <w:left w:val="single" w:sz="4" w:space="0" w:color="auto"/>
              <w:bottom w:val="single" w:sz="4" w:space="0" w:color="auto"/>
              <w:right w:val="single" w:sz="4" w:space="0" w:color="auto"/>
            </w:tcBorders>
            <w:vAlign w:val="center"/>
            <w:hideMark/>
          </w:tcPr>
          <w:p w14:paraId="0B772E02" w14:textId="77777777" w:rsidR="00A3112D" w:rsidRPr="00B74E01" w:rsidRDefault="00A3112D" w:rsidP="00E04C44">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Risco da SPE</w:t>
            </w:r>
          </w:p>
        </w:tc>
      </w:tr>
      <w:tr w:rsidR="00A3112D" w:rsidRPr="00B74E01" w14:paraId="6BD006AB" w14:textId="77777777" w:rsidTr="009C2073">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2A5CD153" w14:textId="77777777" w:rsidR="00A3112D" w:rsidRPr="00B74E01" w:rsidRDefault="00A3112D" w:rsidP="00E04C44">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Produto fora de especificação comercial</w:t>
            </w:r>
          </w:p>
        </w:tc>
        <w:tc>
          <w:tcPr>
            <w:tcW w:w="0" w:type="auto"/>
            <w:tcBorders>
              <w:top w:val="single" w:sz="4" w:space="0" w:color="auto"/>
              <w:left w:val="single" w:sz="4" w:space="0" w:color="auto"/>
              <w:bottom w:val="single" w:sz="4" w:space="0" w:color="auto"/>
              <w:right w:val="single" w:sz="4" w:space="0" w:color="auto"/>
            </w:tcBorders>
            <w:vAlign w:val="center"/>
            <w:hideMark/>
          </w:tcPr>
          <w:p w14:paraId="45D73318" w14:textId="77777777" w:rsidR="00A3112D" w:rsidRPr="00B74E01" w:rsidRDefault="00A3112D" w:rsidP="00E04C44">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Risco da SPE</w:t>
            </w:r>
          </w:p>
        </w:tc>
      </w:tr>
      <w:tr w:rsidR="00A3112D" w:rsidRPr="00B74E01" w14:paraId="123F86C0" w14:textId="77777777" w:rsidTr="009C2073">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269CBDFE" w14:textId="77777777" w:rsidR="00A3112D" w:rsidRPr="00B74E01" w:rsidRDefault="00A3112D" w:rsidP="00E04C44">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lastRenderedPageBreak/>
              <w:t>Não certificação de créditos de carbono</w:t>
            </w:r>
          </w:p>
        </w:tc>
        <w:tc>
          <w:tcPr>
            <w:tcW w:w="0" w:type="auto"/>
            <w:tcBorders>
              <w:top w:val="single" w:sz="4" w:space="0" w:color="auto"/>
              <w:left w:val="single" w:sz="4" w:space="0" w:color="auto"/>
              <w:bottom w:val="single" w:sz="4" w:space="0" w:color="auto"/>
              <w:right w:val="single" w:sz="4" w:space="0" w:color="auto"/>
            </w:tcBorders>
            <w:vAlign w:val="center"/>
            <w:hideMark/>
          </w:tcPr>
          <w:p w14:paraId="66317417" w14:textId="77777777" w:rsidR="00A3112D" w:rsidRPr="00B74E01" w:rsidRDefault="00A3112D" w:rsidP="00E04C44">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Risco da SPE</w:t>
            </w:r>
          </w:p>
        </w:tc>
      </w:tr>
      <w:tr w:rsidR="00A3112D" w:rsidRPr="00B74E01" w14:paraId="7301C99B" w14:textId="77777777" w:rsidTr="009C2073">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2A2138E9" w14:textId="77777777" w:rsidR="00A3112D" w:rsidRPr="00B74E01" w:rsidRDefault="00A3112D" w:rsidP="00E04C44">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Custo de certificação superior ao previsto</w:t>
            </w:r>
          </w:p>
        </w:tc>
        <w:tc>
          <w:tcPr>
            <w:tcW w:w="0" w:type="auto"/>
            <w:tcBorders>
              <w:top w:val="single" w:sz="4" w:space="0" w:color="auto"/>
              <w:left w:val="single" w:sz="4" w:space="0" w:color="auto"/>
              <w:bottom w:val="single" w:sz="4" w:space="0" w:color="auto"/>
              <w:right w:val="single" w:sz="4" w:space="0" w:color="auto"/>
            </w:tcBorders>
            <w:vAlign w:val="center"/>
            <w:hideMark/>
          </w:tcPr>
          <w:p w14:paraId="57910F38" w14:textId="77777777" w:rsidR="00A3112D" w:rsidRPr="00B74E01" w:rsidRDefault="00A3112D" w:rsidP="00E04C44">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Risco da SPE</w:t>
            </w:r>
          </w:p>
        </w:tc>
      </w:tr>
      <w:tr w:rsidR="00A3112D" w:rsidRPr="00B74E01" w14:paraId="588D8B9E" w14:textId="77777777" w:rsidTr="009C2073">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26A03F96" w14:textId="77777777" w:rsidR="00A3112D" w:rsidRPr="00B74E01" w:rsidRDefault="00A3112D" w:rsidP="00E04C44">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Variação ordinária de mercado</w:t>
            </w:r>
          </w:p>
        </w:tc>
        <w:tc>
          <w:tcPr>
            <w:tcW w:w="0" w:type="auto"/>
            <w:tcBorders>
              <w:top w:val="single" w:sz="4" w:space="0" w:color="auto"/>
              <w:left w:val="single" w:sz="4" w:space="0" w:color="auto"/>
              <w:bottom w:val="single" w:sz="4" w:space="0" w:color="auto"/>
              <w:right w:val="single" w:sz="4" w:space="0" w:color="auto"/>
            </w:tcBorders>
            <w:vAlign w:val="center"/>
            <w:hideMark/>
          </w:tcPr>
          <w:p w14:paraId="6CB43621" w14:textId="77777777" w:rsidR="00A3112D" w:rsidRPr="00B74E01" w:rsidRDefault="00A3112D" w:rsidP="00E04C44">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Risco da SPE</w:t>
            </w:r>
          </w:p>
        </w:tc>
      </w:tr>
      <w:tr w:rsidR="00A3112D" w:rsidRPr="00B74E01" w14:paraId="61580BF8" w14:textId="77777777" w:rsidTr="009C2073">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49322183" w14:textId="77777777" w:rsidR="00A3112D" w:rsidRPr="00B74E01" w:rsidRDefault="00A3112D" w:rsidP="00E04C44">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Restrição causada por ato do Poder Concedente</w:t>
            </w:r>
          </w:p>
        </w:tc>
        <w:tc>
          <w:tcPr>
            <w:tcW w:w="0" w:type="auto"/>
            <w:tcBorders>
              <w:top w:val="single" w:sz="4" w:space="0" w:color="auto"/>
              <w:left w:val="single" w:sz="4" w:space="0" w:color="auto"/>
              <w:bottom w:val="single" w:sz="4" w:space="0" w:color="auto"/>
              <w:right w:val="single" w:sz="4" w:space="0" w:color="auto"/>
            </w:tcBorders>
            <w:vAlign w:val="center"/>
            <w:hideMark/>
          </w:tcPr>
          <w:p w14:paraId="233C74C2" w14:textId="77777777" w:rsidR="00A3112D" w:rsidRPr="00B74E01" w:rsidRDefault="00A3112D" w:rsidP="00E04C44">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Avaliação de reequilíbrio, se comprovado impacto</w:t>
            </w:r>
          </w:p>
        </w:tc>
      </w:tr>
      <w:tr w:rsidR="00A3112D" w:rsidRPr="00B74E01" w14:paraId="091DA96D" w14:textId="77777777" w:rsidTr="009C2073">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09D00C9A" w14:textId="77777777" w:rsidR="00A3112D" w:rsidRPr="00B74E01" w:rsidRDefault="00A3112D" w:rsidP="00E04C44">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Alteração normativa extraordinária e específica</w:t>
            </w:r>
          </w:p>
        </w:tc>
        <w:tc>
          <w:tcPr>
            <w:tcW w:w="0" w:type="auto"/>
            <w:tcBorders>
              <w:top w:val="single" w:sz="4" w:space="0" w:color="auto"/>
              <w:left w:val="single" w:sz="4" w:space="0" w:color="auto"/>
              <w:bottom w:val="single" w:sz="4" w:space="0" w:color="auto"/>
              <w:right w:val="single" w:sz="4" w:space="0" w:color="auto"/>
            </w:tcBorders>
            <w:vAlign w:val="center"/>
            <w:hideMark/>
          </w:tcPr>
          <w:p w14:paraId="0D802BD1" w14:textId="77777777" w:rsidR="00A3112D" w:rsidRPr="00B74E01" w:rsidRDefault="00A3112D" w:rsidP="00E04C44">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Avaliação conforme matriz de riscos</w:t>
            </w:r>
          </w:p>
        </w:tc>
      </w:tr>
    </w:tbl>
    <w:p w14:paraId="51F96C6D" w14:textId="2AB940B0"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Essa alocação protege o Município contra </w:t>
      </w:r>
      <w:r w:rsidR="00E04C44">
        <w:rPr>
          <w:rFonts w:eastAsia="Times New Roman" w:cs="Arial"/>
          <w:kern w:val="0"/>
          <w:lang w:eastAsia="pt-BR"/>
          <w14:ligatures w14:val="none"/>
        </w:rPr>
        <w:t xml:space="preserve">a </w:t>
      </w:r>
      <w:r w:rsidRPr="00B74E01">
        <w:rPr>
          <w:rFonts w:eastAsia="Times New Roman" w:cs="Arial"/>
          <w:kern w:val="0"/>
          <w:lang w:eastAsia="pt-BR"/>
          <w14:ligatures w14:val="none"/>
        </w:rPr>
        <w:t>transferência indevida de risco empresarial. A SPE deve capturar os ganhos das receitas acessórias, mas também assumir o risco ordinário de sua realização.</w:t>
      </w:r>
    </w:p>
    <w:p w14:paraId="5E0FE732" w14:textId="77777777" w:rsidR="00A3112D" w:rsidRPr="00B74E01" w:rsidRDefault="00A3112D" w:rsidP="00E04C44">
      <w:pPr>
        <w:pStyle w:val="Ttulo2"/>
        <w:rPr>
          <w:rFonts w:eastAsia="Times New Roman"/>
          <w:lang w:eastAsia="pt-BR"/>
        </w:rPr>
      </w:pPr>
      <w:bookmarkStart w:id="135" w:name="_Toc230204137"/>
      <w:r w:rsidRPr="00B74E01">
        <w:rPr>
          <w:rFonts w:eastAsia="Times New Roman"/>
          <w:lang w:eastAsia="pt-BR"/>
        </w:rPr>
        <w:t>11.10. Cláusula recomendada sobre frustração de receitas acessórias</w:t>
      </w:r>
      <w:bookmarkEnd w:id="135"/>
    </w:p>
    <w:p w14:paraId="23255583"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Para preservar a segurança jurídica da PPP, recomenda-se inserir diretriz semelhante </w:t>
      </w:r>
      <w:proofErr w:type="gramStart"/>
      <w:r w:rsidRPr="00B74E01">
        <w:rPr>
          <w:rFonts w:eastAsia="Times New Roman" w:cs="Arial"/>
          <w:kern w:val="0"/>
          <w:lang w:eastAsia="pt-BR"/>
          <w14:ligatures w14:val="none"/>
        </w:rPr>
        <w:t>à</w:t>
      </w:r>
      <w:proofErr w:type="gramEnd"/>
      <w:r w:rsidRPr="00B74E01">
        <w:rPr>
          <w:rFonts w:eastAsia="Times New Roman" w:cs="Arial"/>
          <w:kern w:val="0"/>
          <w:lang w:eastAsia="pt-BR"/>
          <w14:ligatures w14:val="none"/>
        </w:rPr>
        <w:t xml:space="preserve"> seguinte no contrato:</w:t>
      </w:r>
    </w:p>
    <w:p w14:paraId="6A4E4F17"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frustração, redução, atraso, não certificação, não comercialização ou variação de preço das receitas acessórias não ensejará, por si só, direito automático ao reequilíbrio econômico-financeiro do contrato, por se tratar de risco ordinário da SPE, salvo quando decorrer de ato imputável ao Poder Concedente, alteração normativa superveniente específica, fato da Administração ou evento expressamente previsto na matriz de riscos.</w:t>
      </w:r>
    </w:p>
    <w:p w14:paraId="593D10A7" w14:textId="77777777" w:rsidR="00A3112D"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Essa cláusula é importante para evitar que receitas acessórias projetadas sejam futuramente utilizadas como fundamento para pleitos indevidos contra o Município.</w:t>
      </w:r>
    </w:p>
    <w:p w14:paraId="02389ED8" w14:textId="77777777" w:rsidR="00E04C44" w:rsidRDefault="00E04C44" w:rsidP="00B74E01">
      <w:pPr>
        <w:spacing w:before="100" w:beforeAutospacing="1" w:after="100" w:afterAutospacing="1" w:line="360" w:lineRule="auto"/>
        <w:ind w:firstLine="709"/>
        <w:jc w:val="both"/>
        <w:rPr>
          <w:rFonts w:eastAsia="Times New Roman" w:cs="Arial"/>
          <w:kern w:val="0"/>
          <w:lang w:eastAsia="pt-BR"/>
          <w14:ligatures w14:val="none"/>
        </w:rPr>
      </w:pPr>
    </w:p>
    <w:p w14:paraId="1780F87B" w14:textId="77777777" w:rsidR="00E04C44" w:rsidRDefault="00E04C44" w:rsidP="00B74E01">
      <w:pPr>
        <w:spacing w:before="100" w:beforeAutospacing="1" w:after="100" w:afterAutospacing="1" w:line="360" w:lineRule="auto"/>
        <w:ind w:firstLine="709"/>
        <w:jc w:val="both"/>
        <w:rPr>
          <w:rFonts w:eastAsia="Times New Roman" w:cs="Arial"/>
          <w:kern w:val="0"/>
          <w:lang w:eastAsia="pt-BR"/>
          <w14:ligatures w14:val="none"/>
        </w:rPr>
      </w:pPr>
    </w:p>
    <w:p w14:paraId="4897FF41" w14:textId="77777777" w:rsidR="00E04C44" w:rsidRDefault="00E04C44" w:rsidP="00B74E01">
      <w:pPr>
        <w:spacing w:before="100" w:beforeAutospacing="1" w:after="100" w:afterAutospacing="1" w:line="360" w:lineRule="auto"/>
        <w:ind w:firstLine="709"/>
        <w:jc w:val="both"/>
        <w:rPr>
          <w:rFonts w:eastAsia="Times New Roman" w:cs="Arial"/>
          <w:kern w:val="0"/>
          <w:lang w:eastAsia="pt-BR"/>
          <w14:ligatures w14:val="none"/>
        </w:rPr>
      </w:pPr>
    </w:p>
    <w:p w14:paraId="2D8535A8" w14:textId="77777777" w:rsidR="00A3112D" w:rsidRPr="00B74E01" w:rsidRDefault="00A3112D" w:rsidP="00E04C44">
      <w:pPr>
        <w:pStyle w:val="Ttulo2"/>
        <w:rPr>
          <w:rFonts w:eastAsia="Times New Roman"/>
          <w:lang w:eastAsia="pt-BR"/>
        </w:rPr>
      </w:pPr>
      <w:bookmarkStart w:id="136" w:name="_Toc230204138"/>
      <w:r w:rsidRPr="00B74E01">
        <w:rPr>
          <w:rFonts w:eastAsia="Times New Roman"/>
          <w:lang w:eastAsia="pt-BR"/>
        </w:rPr>
        <w:lastRenderedPageBreak/>
        <w:t>11.11. Impacto das receitas acessórias no EBITDA</w:t>
      </w:r>
      <w:bookmarkEnd w:id="136"/>
    </w:p>
    <w:p w14:paraId="6A6846D2"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As receitas acessórias ampliam significativamente o EBITDA da SPE.</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564"/>
        <w:gridCol w:w="1855"/>
        <w:gridCol w:w="2004"/>
      </w:tblGrid>
      <w:tr w:rsidR="00A3112D" w:rsidRPr="00B74E01" w14:paraId="6AF5ED97" w14:textId="77777777" w:rsidTr="009C2073">
        <w:trPr>
          <w:tblHeader/>
          <w:tblCellSpacing w:w="15" w:type="dxa"/>
        </w:trPr>
        <w:tc>
          <w:tcPr>
            <w:tcW w:w="0" w:type="auto"/>
            <w:vAlign w:val="center"/>
            <w:hideMark/>
          </w:tcPr>
          <w:p w14:paraId="3D71C97F" w14:textId="77777777" w:rsidR="00A3112D" w:rsidRPr="00B74E01" w:rsidRDefault="00A3112D" w:rsidP="00E04C44">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Item</w:t>
            </w:r>
          </w:p>
        </w:tc>
        <w:tc>
          <w:tcPr>
            <w:tcW w:w="0" w:type="auto"/>
            <w:vAlign w:val="center"/>
            <w:hideMark/>
          </w:tcPr>
          <w:p w14:paraId="514BD37E" w14:textId="77777777" w:rsidR="00A3112D" w:rsidRPr="00B74E01" w:rsidRDefault="00A3112D" w:rsidP="00E04C44">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Valor mensal</w:t>
            </w:r>
          </w:p>
        </w:tc>
        <w:tc>
          <w:tcPr>
            <w:tcW w:w="0" w:type="auto"/>
            <w:vAlign w:val="center"/>
            <w:hideMark/>
          </w:tcPr>
          <w:p w14:paraId="64FD781D" w14:textId="77777777" w:rsidR="00A3112D" w:rsidRPr="00B74E01" w:rsidRDefault="00A3112D" w:rsidP="00E04C44">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Valor anual</w:t>
            </w:r>
          </w:p>
        </w:tc>
      </w:tr>
      <w:tr w:rsidR="00A3112D" w:rsidRPr="00B74E01" w14:paraId="7EB96E5E" w14:textId="77777777" w:rsidTr="009C2073">
        <w:trPr>
          <w:tblCellSpacing w:w="15" w:type="dxa"/>
        </w:trPr>
        <w:tc>
          <w:tcPr>
            <w:tcW w:w="0" w:type="auto"/>
            <w:vAlign w:val="center"/>
            <w:hideMark/>
          </w:tcPr>
          <w:p w14:paraId="77A899C3" w14:textId="77777777" w:rsidR="00A3112D" w:rsidRPr="00B74E01" w:rsidRDefault="00A3112D" w:rsidP="00E04C44">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EBITDA sem receitas acessórias</w:t>
            </w:r>
          </w:p>
        </w:tc>
        <w:tc>
          <w:tcPr>
            <w:tcW w:w="0" w:type="auto"/>
            <w:vAlign w:val="center"/>
            <w:hideMark/>
          </w:tcPr>
          <w:p w14:paraId="1A1FBADD" w14:textId="77777777" w:rsidR="00A3112D" w:rsidRPr="00B74E01" w:rsidRDefault="00A3112D" w:rsidP="00E04C44">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R$ 314.606,70</w:t>
            </w:r>
          </w:p>
        </w:tc>
        <w:tc>
          <w:tcPr>
            <w:tcW w:w="0" w:type="auto"/>
            <w:vAlign w:val="center"/>
            <w:hideMark/>
          </w:tcPr>
          <w:p w14:paraId="4E506EDA" w14:textId="77777777" w:rsidR="00A3112D" w:rsidRPr="00B74E01" w:rsidRDefault="00A3112D" w:rsidP="00E04C44">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R$ 3.775.280,29</w:t>
            </w:r>
          </w:p>
        </w:tc>
      </w:tr>
      <w:tr w:rsidR="00A3112D" w:rsidRPr="00B74E01" w14:paraId="01FA9C94" w14:textId="77777777" w:rsidTr="009C2073">
        <w:trPr>
          <w:tblCellSpacing w:w="15" w:type="dxa"/>
        </w:trPr>
        <w:tc>
          <w:tcPr>
            <w:tcW w:w="0" w:type="auto"/>
            <w:vAlign w:val="center"/>
            <w:hideMark/>
          </w:tcPr>
          <w:p w14:paraId="2ACC0FCD" w14:textId="77777777" w:rsidR="00A3112D" w:rsidRPr="00B74E01" w:rsidRDefault="00A3112D" w:rsidP="00E04C44">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Acréscimo líquido das receitas acessórias</w:t>
            </w:r>
          </w:p>
        </w:tc>
        <w:tc>
          <w:tcPr>
            <w:tcW w:w="0" w:type="auto"/>
            <w:vAlign w:val="center"/>
            <w:hideMark/>
          </w:tcPr>
          <w:p w14:paraId="7186E47E" w14:textId="77777777" w:rsidR="00A3112D" w:rsidRPr="00B74E01" w:rsidRDefault="00A3112D" w:rsidP="00E04C44">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R$ 792.485,06</w:t>
            </w:r>
          </w:p>
        </w:tc>
        <w:tc>
          <w:tcPr>
            <w:tcW w:w="0" w:type="auto"/>
            <w:vAlign w:val="center"/>
            <w:hideMark/>
          </w:tcPr>
          <w:p w14:paraId="5EF89861" w14:textId="77777777" w:rsidR="00A3112D" w:rsidRPr="00B74E01" w:rsidRDefault="00A3112D" w:rsidP="00E04C44">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R$ 9.509.820,68</w:t>
            </w:r>
          </w:p>
        </w:tc>
      </w:tr>
      <w:tr w:rsidR="00A3112D" w:rsidRPr="00B74E01" w14:paraId="66D4E5BA" w14:textId="77777777" w:rsidTr="009C2073">
        <w:trPr>
          <w:tblCellSpacing w:w="15" w:type="dxa"/>
        </w:trPr>
        <w:tc>
          <w:tcPr>
            <w:tcW w:w="0" w:type="auto"/>
            <w:vAlign w:val="center"/>
            <w:hideMark/>
          </w:tcPr>
          <w:p w14:paraId="06559D5B" w14:textId="77777777" w:rsidR="00A3112D" w:rsidRPr="00B74E01" w:rsidRDefault="00A3112D" w:rsidP="00E04C44">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EBITDA com receitas acessórias</w:t>
            </w:r>
          </w:p>
        </w:tc>
        <w:tc>
          <w:tcPr>
            <w:tcW w:w="0" w:type="auto"/>
            <w:vAlign w:val="center"/>
            <w:hideMark/>
          </w:tcPr>
          <w:p w14:paraId="1D825965" w14:textId="77777777" w:rsidR="00A3112D" w:rsidRPr="00B74E01" w:rsidRDefault="00A3112D" w:rsidP="00E04C44">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R$ 1.107.091,76</w:t>
            </w:r>
          </w:p>
        </w:tc>
        <w:tc>
          <w:tcPr>
            <w:tcW w:w="0" w:type="auto"/>
            <w:vAlign w:val="center"/>
            <w:hideMark/>
          </w:tcPr>
          <w:p w14:paraId="2CAC3E0B" w14:textId="77777777" w:rsidR="00A3112D" w:rsidRPr="00B74E01" w:rsidRDefault="00A3112D" w:rsidP="00E04C44">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R$ 13.285.100,97</w:t>
            </w:r>
          </w:p>
        </w:tc>
      </w:tr>
    </w:tbl>
    <w:p w14:paraId="107DFBD5"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Essa diferença demonstra a importância das receitas acessórias para a robustez do projeto. Contudo, também </w:t>
      </w:r>
      <w:proofErr w:type="gramStart"/>
      <w:r w:rsidRPr="00B74E01">
        <w:rPr>
          <w:rFonts w:eastAsia="Times New Roman" w:cs="Arial"/>
          <w:kern w:val="0"/>
          <w:lang w:eastAsia="pt-BR"/>
          <w14:ligatures w14:val="none"/>
        </w:rPr>
        <w:t>evidencia</w:t>
      </w:r>
      <w:proofErr w:type="gramEnd"/>
      <w:r w:rsidRPr="00B74E01">
        <w:rPr>
          <w:rFonts w:eastAsia="Times New Roman" w:cs="Arial"/>
          <w:kern w:val="0"/>
          <w:lang w:eastAsia="pt-BR"/>
          <w14:ligatures w14:val="none"/>
        </w:rPr>
        <w:t xml:space="preserve"> </w:t>
      </w:r>
      <w:proofErr w:type="gramStart"/>
      <w:r w:rsidRPr="00B74E01">
        <w:rPr>
          <w:rFonts w:eastAsia="Times New Roman" w:cs="Arial"/>
          <w:kern w:val="0"/>
          <w:lang w:eastAsia="pt-BR"/>
          <w14:ligatures w14:val="none"/>
        </w:rPr>
        <w:t>por que</w:t>
      </w:r>
      <w:proofErr w:type="gramEnd"/>
      <w:r w:rsidRPr="00B74E01">
        <w:rPr>
          <w:rFonts w:eastAsia="Times New Roman" w:cs="Arial"/>
          <w:kern w:val="0"/>
          <w:lang w:eastAsia="pt-BR"/>
          <w14:ligatures w14:val="none"/>
        </w:rPr>
        <w:t xml:space="preserve"> elas devem ser tratadas com cautela: sua realização altera fortemente os indicadores financeiros.</w:t>
      </w:r>
    </w:p>
    <w:p w14:paraId="5709D9F5" w14:textId="77777777" w:rsidR="00A3112D" w:rsidRPr="00B74E01" w:rsidRDefault="00A3112D" w:rsidP="00E04C44">
      <w:pPr>
        <w:pStyle w:val="Ttulo2"/>
        <w:rPr>
          <w:rFonts w:eastAsia="Times New Roman"/>
          <w:lang w:eastAsia="pt-BR"/>
        </w:rPr>
      </w:pPr>
      <w:bookmarkStart w:id="137" w:name="_Toc230204139"/>
      <w:r w:rsidRPr="00B74E01">
        <w:rPr>
          <w:rFonts w:eastAsia="Times New Roman"/>
          <w:lang w:eastAsia="pt-BR"/>
        </w:rPr>
        <w:t>11.12. Impacto das receitas acessórias no DSCR</w:t>
      </w:r>
      <w:bookmarkEnd w:id="137"/>
    </w:p>
    <w:p w14:paraId="2FFB79DA"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O impacto sobre a cobertura da dívida também é relevante.</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191"/>
        <w:gridCol w:w="1729"/>
        <w:gridCol w:w="2844"/>
        <w:gridCol w:w="1521"/>
        <w:gridCol w:w="776"/>
      </w:tblGrid>
      <w:tr w:rsidR="00A3112D" w:rsidRPr="00B74E01" w14:paraId="05FBE395" w14:textId="77777777" w:rsidTr="009C2073">
        <w:trPr>
          <w:tblHeader/>
          <w:tblCellSpacing w:w="15" w:type="dxa"/>
        </w:trPr>
        <w:tc>
          <w:tcPr>
            <w:tcW w:w="0" w:type="auto"/>
            <w:vAlign w:val="center"/>
            <w:hideMark/>
          </w:tcPr>
          <w:p w14:paraId="5D7E5E9C" w14:textId="77777777" w:rsidR="00A3112D" w:rsidRPr="00B74E01" w:rsidRDefault="00A3112D" w:rsidP="00E04C4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Cenário</w:t>
            </w:r>
          </w:p>
        </w:tc>
        <w:tc>
          <w:tcPr>
            <w:tcW w:w="0" w:type="auto"/>
            <w:vAlign w:val="center"/>
            <w:hideMark/>
          </w:tcPr>
          <w:p w14:paraId="54006C46" w14:textId="77777777" w:rsidR="00A3112D" w:rsidRPr="00B74E01" w:rsidRDefault="00A3112D" w:rsidP="00E04C4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EBITDA mensal</w:t>
            </w:r>
          </w:p>
        </w:tc>
        <w:tc>
          <w:tcPr>
            <w:tcW w:w="0" w:type="auto"/>
            <w:vAlign w:val="center"/>
            <w:hideMark/>
          </w:tcPr>
          <w:p w14:paraId="2F469EF5" w14:textId="77777777" w:rsidR="00A3112D" w:rsidRPr="00B74E01" w:rsidRDefault="00A3112D" w:rsidP="00E04C4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Serviço da dívida após carência</w:t>
            </w:r>
          </w:p>
        </w:tc>
        <w:tc>
          <w:tcPr>
            <w:tcW w:w="0" w:type="auto"/>
            <w:vAlign w:val="center"/>
            <w:hideMark/>
          </w:tcPr>
          <w:p w14:paraId="434CFB90" w14:textId="77777777" w:rsidR="00A3112D" w:rsidRPr="00B74E01" w:rsidRDefault="00A3112D" w:rsidP="00E04C4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Sobra mensal</w:t>
            </w:r>
          </w:p>
        </w:tc>
        <w:tc>
          <w:tcPr>
            <w:tcW w:w="0" w:type="auto"/>
            <w:vAlign w:val="center"/>
            <w:hideMark/>
          </w:tcPr>
          <w:p w14:paraId="7B5BA5FD" w14:textId="77777777" w:rsidR="00A3112D" w:rsidRPr="00B74E01" w:rsidRDefault="00A3112D" w:rsidP="00E04C4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DSCR</w:t>
            </w:r>
          </w:p>
        </w:tc>
      </w:tr>
      <w:tr w:rsidR="00A3112D" w:rsidRPr="00B74E01" w14:paraId="29ACCF9C" w14:textId="77777777" w:rsidTr="009C2073">
        <w:trPr>
          <w:tblCellSpacing w:w="15" w:type="dxa"/>
        </w:trPr>
        <w:tc>
          <w:tcPr>
            <w:tcW w:w="0" w:type="auto"/>
            <w:vAlign w:val="center"/>
            <w:hideMark/>
          </w:tcPr>
          <w:p w14:paraId="2B568A98"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Sem receitas acessórias</w:t>
            </w:r>
          </w:p>
        </w:tc>
        <w:tc>
          <w:tcPr>
            <w:tcW w:w="0" w:type="auto"/>
            <w:vAlign w:val="center"/>
            <w:hideMark/>
          </w:tcPr>
          <w:p w14:paraId="320FBD4A"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R$ 314.606,70</w:t>
            </w:r>
          </w:p>
        </w:tc>
        <w:tc>
          <w:tcPr>
            <w:tcW w:w="0" w:type="auto"/>
            <w:vAlign w:val="center"/>
            <w:hideMark/>
          </w:tcPr>
          <w:p w14:paraId="20DD9215"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R$ 280.892,95</w:t>
            </w:r>
          </w:p>
        </w:tc>
        <w:tc>
          <w:tcPr>
            <w:tcW w:w="0" w:type="auto"/>
            <w:vAlign w:val="center"/>
            <w:hideMark/>
          </w:tcPr>
          <w:p w14:paraId="6F39ED11"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R$ 33.713,75</w:t>
            </w:r>
          </w:p>
        </w:tc>
        <w:tc>
          <w:tcPr>
            <w:tcW w:w="0" w:type="auto"/>
            <w:vAlign w:val="center"/>
            <w:hideMark/>
          </w:tcPr>
          <w:p w14:paraId="1C48A348"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1,12x</w:t>
            </w:r>
          </w:p>
        </w:tc>
      </w:tr>
      <w:tr w:rsidR="00A3112D" w:rsidRPr="00B74E01" w14:paraId="15CC83AC" w14:textId="77777777" w:rsidTr="009C2073">
        <w:trPr>
          <w:tblCellSpacing w:w="15" w:type="dxa"/>
        </w:trPr>
        <w:tc>
          <w:tcPr>
            <w:tcW w:w="0" w:type="auto"/>
            <w:vAlign w:val="center"/>
            <w:hideMark/>
          </w:tcPr>
          <w:p w14:paraId="65A54DF7"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Com receitas acessórias</w:t>
            </w:r>
          </w:p>
        </w:tc>
        <w:tc>
          <w:tcPr>
            <w:tcW w:w="0" w:type="auto"/>
            <w:vAlign w:val="center"/>
            <w:hideMark/>
          </w:tcPr>
          <w:p w14:paraId="11ACE2B6"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R$ 1.107.091,76</w:t>
            </w:r>
          </w:p>
        </w:tc>
        <w:tc>
          <w:tcPr>
            <w:tcW w:w="0" w:type="auto"/>
            <w:vAlign w:val="center"/>
            <w:hideMark/>
          </w:tcPr>
          <w:p w14:paraId="30821BC3"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R$ 280.892,95</w:t>
            </w:r>
          </w:p>
        </w:tc>
        <w:tc>
          <w:tcPr>
            <w:tcW w:w="0" w:type="auto"/>
            <w:vAlign w:val="center"/>
            <w:hideMark/>
          </w:tcPr>
          <w:p w14:paraId="0A6FD1CC"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R$ 826.198,81</w:t>
            </w:r>
          </w:p>
        </w:tc>
        <w:tc>
          <w:tcPr>
            <w:tcW w:w="0" w:type="auto"/>
            <w:vAlign w:val="center"/>
            <w:hideMark/>
          </w:tcPr>
          <w:p w14:paraId="7ED03D4C"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3,94x</w:t>
            </w:r>
          </w:p>
        </w:tc>
      </w:tr>
    </w:tbl>
    <w:p w14:paraId="61E42916"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Sem receitas acessórias, a operação fecha positivamente, mas com margem restrita. Com receitas acessórias, a capacidade de cobertura da dívida se torna elevada.</w:t>
      </w:r>
    </w:p>
    <w:p w14:paraId="09091566"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Essa diferença reforça a necessidade de separar claramente as receitas principais, que são </w:t>
      </w:r>
      <w:proofErr w:type="spellStart"/>
      <w:r w:rsidRPr="00B74E01">
        <w:rPr>
          <w:rFonts w:eastAsia="Times New Roman" w:cs="Arial"/>
          <w:kern w:val="0"/>
          <w:lang w:eastAsia="pt-BR"/>
          <w14:ligatures w14:val="none"/>
        </w:rPr>
        <w:t>garantíveis</w:t>
      </w:r>
      <w:proofErr w:type="spellEnd"/>
      <w:r w:rsidRPr="00B74E01">
        <w:rPr>
          <w:rFonts w:eastAsia="Times New Roman" w:cs="Arial"/>
          <w:kern w:val="0"/>
          <w:lang w:eastAsia="pt-BR"/>
          <w14:ligatures w14:val="none"/>
        </w:rPr>
        <w:t xml:space="preserve"> e contratadas, das receitas acessórias, que são potenciais e sujeitas a risco empresarial.</w:t>
      </w:r>
    </w:p>
    <w:p w14:paraId="3C86ACD1" w14:textId="3369C8E8" w:rsidR="00A3112D" w:rsidRDefault="00A3112D" w:rsidP="00B74E01">
      <w:pPr>
        <w:spacing w:after="0" w:line="360" w:lineRule="auto"/>
        <w:ind w:firstLine="709"/>
        <w:jc w:val="both"/>
        <w:rPr>
          <w:rFonts w:eastAsia="Times New Roman" w:cs="Arial"/>
          <w:kern w:val="0"/>
          <w:lang w:eastAsia="pt-BR"/>
          <w14:ligatures w14:val="none"/>
        </w:rPr>
      </w:pPr>
    </w:p>
    <w:p w14:paraId="3726D75F" w14:textId="77777777" w:rsidR="00E04C44" w:rsidRPr="00B74E01" w:rsidRDefault="00E04C44" w:rsidP="00B74E01">
      <w:pPr>
        <w:spacing w:after="0" w:line="360" w:lineRule="auto"/>
        <w:ind w:firstLine="709"/>
        <w:jc w:val="both"/>
        <w:rPr>
          <w:rFonts w:eastAsia="Times New Roman" w:cs="Arial"/>
          <w:kern w:val="0"/>
          <w:lang w:eastAsia="pt-BR"/>
          <w14:ligatures w14:val="none"/>
        </w:rPr>
      </w:pPr>
    </w:p>
    <w:p w14:paraId="15A0A1B3" w14:textId="77777777" w:rsidR="00A3112D" w:rsidRPr="00B74E01" w:rsidRDefault="00A3112D" w:rsidP="00E04C44">
      <w:pPr>
        <w:pStyle w:val="Ttulo2"/>
        <w:rPr>
          <w:rFonts w:eastAsia="Times New Roman"/>
          <w:lang w:eastAsia="pt-BR"/>
        </w:rPr>
      </w:pPr>
      <w:bookmarkStart w:id="138" w:name="_Toc230204140"/>
      <w:r w:rsidRPr="00B74E01">
        <w:rPr>
          <w:rFonts w:eastAsia="Times New Roman"/>
          <w:lang w:eastAsia="pt-BR"/>
        </w:rPr>
        <w:lastRenderedPageBreak/>
        <w:t>11.13. Sensibilidade das receitas acessórias</w:t>
      </w:r>
      <w:bookmarkEnd w:id="138"/>
    </w:p>
    <w:p w14:paraId="4E68065A"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Para evitar aparência de otimismo excessivo, recomenda-se testar diferentes níveis de realização das receitas acessórias.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405"/>
        <w:gridCol w:w="1985"/>
        <w:gridCol w:w="2126"/>
        <w:gridCol w:w="1769"/>
        <w:gridCol w:w="776"/>
      </w:tblGrid>
      <w:tr w:rsidR="00A3112D" w:rsidRPr="00B74E01" w14:paraId="39EDB5B7" w14:textId="77777777" w:rsidTr="00E04C44">
        <w:trPr>
          <w:tblHeader/>
          <w:tblCellSpacing w:w="15" w:type="dxa"/>
        </w:trPr>
        <w:tc>
          <w:tcPr>
            <w:tcW w:w="2360" w:type="dxa"/>
            <w:vAlign w:val="center"/>
            <w:hideMark/>
          </w:tcPr>
          <w:p w14:paraId="07C878A0" w14:textId="77777777" w:rsidR="00A3112D" w:rsidRPr="00B74E01" w:rsidRDefault="00A3112D" w:rsidP="00E04C44">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Realização das receitas acessórias</w:t>
            </w:r>
          </w:p>
        </w:tc>
        <w:tc>
          <w:tcPr>
            <w:tcW w:w="1955" w:type="dxa"/>
            <w:vAlign w:val="center"/>
            <w:hideMark/>
          </w:tcPr>
          <w:p w14:paraId="30C84201" w14:textId="77777777" w:rsidR="00A3112D" w:rsidRPr="00B74E01" w:rsidRDefault="00A3112D" w:rsidP="00E04C44">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EBITDA mensal</w:t>
            </w:r>
          </w:p>
        </w:tc>
        <w:tc>
          <w:tcPr>
            <w:tcW w:w="2096" w:type="dxa"/>
            <w:vAlign w:val="center"/>
            <w:hideMark/>
          </w:tcPr>
          <w:p w14:paraId="0D98FCD4" w14:textId="77777777" w:rsidR="00A3112D" w:rsidRPr="00B74E01" w:rsidRDefault="00A3112D" w:rsidP="00E04C44">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Serviço da dívida após carência</w:t>
            </w:r>
          </w:p>
        </w:tc>
        <w:tc>
          <w:tcPr>
            <w:tcW w:w="1739" w:type="dxa"/>
            <w:vAlign w:val="center"/>
            <w:hideMark/>
          </w:tcPr>
          <w:p w14:paraId="41280A09" w14:textId="77777777" w:rsidR="00A3112D" w:rsidRPr="00B74E01" w:rsidRDefault="00A3112D" w:rsidP="00E04C44">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Sobra mensal</w:t>
            </w:r>
          </w:p>
        </w:tc>
        <w:tc>
          <w:tcPr>
            <w:tcW w:w="0" w:type="auto"/>
            <w:vAlign w:val="center"/>
            <w:hideMark/>
          </w:tcPr>
          <w:p w14:paraId="3815DDE0" w14:textId="77777777" w:rsidR="00A3112D" w:rsidRPr="00B74E01" w:rsidRDefault="00A3112D" w:rsidP="00E04C44">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DSCR</w:t>
            </w:r>
          </w:p>
        </w:tc>
      </w:tr>
      <w:tr w:rsidR="00A3112D" w:rsidRPr="00B74E01" w14:paraId="7A3B0ECC" w14:textId="77777777" w:rsidTr="00E04C44">
        <w:trPr>
          <w:tblCellSpacing w:w="15" w:type="dxa"/>
        </w:trPr>
        <w:tc>
          <w:tcPr>
            <w:tcW w:w="2360" w:type="dxa"/>
            <w:vAlign w:val="center"/>
            <w:hideMark/>
          </w:tcPr>
          <w:p w14:paraId="6F60F110" w14:textId="77777777" w:rsidR="00A3112D" w:rsidRPr="00B74E01" w:rsidRDefault="00A3112D" w:rsidP="00E04C44">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0%</w:t>
            </w:r>
          </w:p>
        </w:tc>
        <w:tc>
          <w:tcPr>
            <w:tcW w:w="1955" w:type="dxa"/>
            <w:vAlign w:val="center"/>
            <w:hideMark/>
          </w:tcPr>
          <w:p w14:paraId="750CECDE" w14:textId="77777777" w:rsidR="00A3112D" w:rsidRPr="00B74E01" w:rsidRDefault="00A3112D" w:rsidP="00E04C44">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R$ 314.606,70</w:t>
            </w:r>
          </w:p>
        </w:tc>
        <w:tc>
          <w:tcPr>
            <w:tcW w:w="2096" w:type="dxa"/>
            <w:vAlign w:val="center"/>
            <w:hideMark/>
          </w:tcPr>
          <w:p w14:paraId="0BE7FCCF" w14:textId="77777777" w:rsidR="00A3112D" w:rsidRPr="00B74E01" w:rsidRDefault="00A3112D" w:rsidP="00E04C44">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R$ 280.892,95</w:t>
            </w:r>
          </w:p>
        </w:tc>
        <w:tc>
          <w:tcPr>
            <w:tcW w:w="1739" w:type="dxa"/>
            <w:vAlign w:val="center"/>
            <w:hideMark/>
          </w:tcPr>
          <w:p w14:paraId="5DDA43ED" w14:textId="77777777" w:rsidR="00A3112D" w:rsidRPr="00B74E01" w:rsidRDefault="00A3112D" w:rsidP="00E04C44">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R$ 33.713,75</w:t>
            </w:r>
          </w:p>
        </w:tc>
        <w:tc>
          <w:tcPr>
            <w:tcW w:w="0" w:type="auto"/>
            <w:vAlign w:val="center"/>
            <w:hideMark/>
          </w:tcPr>
          <w:p w14:paraId="196CB3D1" w14:textId="77777777" w:rsidR="00A3112D" w:rsidRPr="00B74E01" w:rsidRDefault="00A3112D" w:rsidP="00E04C44">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1,12x</w:t>
            </w:r>
          </w:p>
        </w:tc>
      </w:tr>
      <w:tr w:rsidR="00A3112D" w:rsidRPr="00B74E01" w14:paraId="679475C4" w14:textId="77777777" w:rsidTr="00E04C44">
        <w:trPr>
          <w:tblCellSpacing w:w="15" w:type="dxa"/>
        </w:trPr>
        <w:tc>
          <w:tcPr>
            <w:tcW w:w="2360" w:type="dxa"/>
            <w:vAlign w:val="center"/>
            <w:hideMark/>
          </w:tcPr>
          <w:p w14:paraId="46B398F4" w14:textId="77777777" w:rsidR="00A3112D" w:rsidRPr="00B74E01" w:rsidRDefault="00A3112D" w:rsidP="00E04C44">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50%</w:t>
            </w:r>
          </w:p>
        </w:tc>
        <w:tc>
          <w:tcPr>
            <w:tcW w:w="1955" w:type="dxa"/>
            <w:vAlign w:val="center"/>
            <w:hideMark/>
          </w:tcPr>
          <w:p w14:paraId="72FF9165" w14:textId="77777777" w:rsidR="00A3112D" w:rsidRPr="00B74E01" w:rsidRDefault="00A3112D" w:rsidP="00E04C44">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R$ 710.849,23</w:t>
            </w:r>
          </w:p>
        </w:tc>
        <w:tc>
          <w:tcPr>
            <w:tcW w:w="2096" w:type="dxa"/>
            <w:vAlign w:val="center"/>
            <w:hideMark/>
          </w:tcPr>
          <w:p w14:paraId="5179B7D7" w14:textId="77777777" w:rsidR="00A3112D" w:rsidRPr="00B74E01" w:rsidRDefault="00A3112D" w:rsidP="00E04C44">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R$ 280.892,95</w:t>
            </w:r>
          </w:p>
        </w:tc>
        <w:tc>
          <w:tcPr>
            <w:tcW w:w="1739" w:type="dxa"/>
            <w:vAlign w:val="center"/>
            <w:hideMark/>
          </w:tcPr>
          <w:p w14:paraId="458E9F87" w14:textId="77777777" w:rsidR="00A3112D" w:rsidRPr="00B74E01" w:rsidRDefault="00A3112D" w:rsidP="00E04C44">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R$ 429.956,28</w:t>
            </w:r>
          </w:p>
        </w:tc>
        <w:tc>
          <w:tcPr>
            <w:tcW w:w="0" w:type="auto"/>
            <w:vAlign w:val="center"/>
            <w:hideMark/>
          </w:tcPr>
          <w:p w14:paraId="0B8AD184" w14:textId="77777777" w:rsidR="00A3112D" w:rsidRPr="00B74E01" w:rsidRDefault="00A3112D" w:rsidP="00E04C44">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2,53x</w:t>
            </w:r>
          </w:p>
        </w:tc>
      </w:tr>
      <w:tr w:rsidR="00A3112D" w:rsidRPr="00B74E01" w14:paraId="384B0A43" w14:textId="77777777" w:rsidTr="00E04C44">
        <w:trPr>
          <w:tblCellSpacing w:w="15" w:type="dxa"/>
        </w:trPr>
        <w:tc>
          <w:tcPr>
            <w:tcW w:w="2360" w:type="dxa"/>
            <w:vAlign w:val="center"/>
            <w:hideMark/>
          </w:tcPr>
          <w:p w14:paraId="4576BE9D" w14:textId="77777777" w:rsidR="00A3112D" w:rsidRPr="00B74E01" w:rsidRDefault="00A3112D" w:rsidP="00E04C44">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75%</w:t>
            </w:r>
          </w:p>
        </w:tc>
        <w:tc>
          <w:tcPr>
            <w:tcW w:w="1955" w:type="dxa"/>
            <w:vAlign w:val="center"/>
            <w:hideMark/>
          </w:tcPr>
          <w:p w14:paraId="777B61C7" w14:textId="77777777" w:rsidR="00A3112D" w:rsidRPr="00B74E01" w:rsidRDefault="00A3112D" w:rsidP="00E04C44">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R$ 908.970,49</w:t>
            </w:r>
          </w:p>
        </w:tc>
        <w:tc>
          <w:tcPr>
            <w:tcW w:w="2096" w:type="dxa"/>
            <w:vAlign w:val="center"/>
            <w:hideMark/>
          </w:tcPr>
          <w:p w14:paraId="5362F9D7" w14:textId="77777777" w:rsidR="00A3112D" w:rsidRPr="00B74E01" w:rsidRDefault="00A3112D" w:rsidP="00E04C44">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R$ 280.892,95</w:t>
            </w:r>
          </w:p>
        </w:tc>
        <w:tc>
          <w:tcPr>
            <w:tcW w:w="1739" w:type="dxa"/>
            <w:vAlign w:val="center"/>
            <w:hideMark/>
          </w:tcPr>
          <w:p w14:paraId="17179256" w14:textId="77777777" w:rsidR="00A3112D" w:rsidRPr="00B74E01" w:rsidRDefault="00A3112D" w:rsidP="00E04C44">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R$ 628.077,54</w:t>
            </w:r>
          </w:p>
        </w:tc>
        <w:tc>
          <w:tcPr>
            <w:tcW w:w="0" w:type="auto"/>
            <w:vAlign w:val="center"/>
            <w:hideMark/>
          </w:tcPr>
          <w:p w14:paraId="7E55AFED" w14:textId="77777777" w:rsidR="00A3112D" w:rsidRPr="00B74E01" w:rsidRDefault="00A3112D" w:rsidP="00E04C44">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3,24x</w:t>
            </w:r>
          </w:p>
        </w:tc>
      </w:tr>
      <w:tr w:rsidR="00A3112D" w:rsidRPr="00B74E01" w14:paraId="456386CC" w14:textId="77777777" w:rsidTr="00E04C44">
        <w:trPr>
          <w:tblCellSpacing w:w="15" w:type="dxa"/>
        </w:trPr>
        <w:tc>
          <w:tcPr>
            <w:tcW w:w="2360" w:type="dxa"/>
            <w:vAlign w:val="center"/>
            <w:hideMark/>
          </w:tcPr>
          <w:p w14:paraId="31D58D39" w14:textId="77777777" w:rsidR="00A3112D" w:rsidRPr="00B74E01" w:rsidRDefault="00A3112D" w:rsidP="00E04C44">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100%</w:t>
            </w:r>
          </w:p>
        </w:tc>
        <w:tc>
          <w:tcPr>
            <w:tcW w:w="1955" w:type="dxa"/>
            <w:vAlign w:val="center"/>
            <w:hideMark/>
          </w:tcPr>
          <w:p w14:paraId="68979839" w14:textId="77777777" w:rsidR="00A3112D" w:rsidRPr="00B74E01" w:rsidRDefault="00A3112D" w:rsidP="00E04C44">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R$ 1.107.091,76</w:t>
            </w:r>
          </w:p>
        </w:tc>
        <w:tc>
          <w:tcPr>
            <w:tcW w:w="2096" w:type="dxa"/>
            <w:vAlign w:val="center"/>
            <w:hideMark/>
          </w:tcPr>
          <w:p w14:paraId="1AB7BEB7" w14:textId="77777777" w:rsidR="00A3112D" w:rsidRPr="00B74E01" w:rsidRDefault="00A3112D" w:rsidP="00E04C44">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R$ 280.892,95</w:t>
            </w:r>
          </w:p>
        </w:tc>
        <w:tc>
          <w:tcPr>
            <w:tcW w:w="1739" w:type="dxa"/>
            <w:vAlign w:val="center"/>
            <w:hideMark/>
          </w:tcPr>
          <w:p w14:paraId="161C3D90" w14:textId="77777777" w:rsidR="00A3112D" w:rsidRPr="00B74E01" w:rsidRDefault="00A3112D" w:rsidP="00E04C44">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R$ 826.198,81</w:t>
            </w:r>
          </w:p>
        </w:tc>
        <w:tc>
          <w:tcPr>
            <w:tcW w:w="0" w:type="auto"/>
            <w:vAlign w:val="center"/>
            <w:hideMark/>
          </w:tcPr>
          <w:p w14:paraId="547270F0" w14:textId="77777777" w:rsidR="00A3112D" w:rsidRPr="00B74E01" w:rsidRDefault="00A3112D" w:rsidP="00E04C44">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3,94x</w:t>
            </w:r>
          </w:p>
        </w:tc>
      </w:tr>
    </w:tbl>
    <w:p w14:paraId="16371142"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Essa sensibilidade demonstra que a operação permanece positiva mesmo sem receitas acessórias, mas que a robustez do projeto cresce de forma significativa conforme essas receitas se realizam.</w:t>
      </w:r>
    </w:p>
    <w:p w14:paraId="18A5585A" w14:textId="77777777" w:rsidR="00A3112D" w:rsidRPr="00B74E01" w:rsidRDefault="00A3112D" w:rsidP="00E04C44">
      <w:pPr>
        <w:pStyle w:val="Ttulo2"/>
        <w:rPr>
          <w:rFonts w:eastAsia="Times New Roman"/>
          <w:lang w:eastAsia="pt-BR"/>
        </w:rPr>
      </w:pPr>
      <w:bookmarkStart w:id="139" w:name="_Toc230204141"/>
      <w:r w:rsidRPr="00B74E01">
        <w:rPr>
          <w:rFonts w:eastAsia="Times New Roman"/>
          <w:lang w:eastAsia="pt-BR"/>
        </w:rPr>
        <w:t>11.14. Receitas acessórias e licitação</w:t>
      </w:r>
      <w:bookmarkEnd w:id="139"/>
    </w:p>
    <w:p w14:paraId="1A3B3DD4"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Na licitação, os proponentes deverão demonstrar sua estratégia de exploração das receitas acessórias, sem que isso signifique garantia pública de realização.</w:t>
      </w:r>
    </w:p>
    <w:p w14:paraId="6DBFAC47"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O edital poderá exigir:</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480"/>
        <w:gridCol w:w="5581"/>
      </w:tblGrid>
      <w:tr w:rsidR="00A3112D" w:rsidRPr="00B74E01" w14:paraId="0EE2B014" w14:textId="77777777" w:rsidTr="009C2073">
        <w:trPr>
          <w:tblHeader/>
          <w:tblCellSpacing w:w="15" w:type="dxa"/>
        </w:trPr>
        <w:tc>
          <w:tcPr>
            <w:tcW w:w="0" w:type="auto"/>
            <w:vAlign w:val="center"/>
            <w:hideMark/>
          </w:tcPr>
          <w:p w14:paraId="6D411DD2" w14:textId="77777777" w:rsidR="00A3112D" w:rsidRPr="00B74E01" w:rsidRDefault="00A3112D" w:rsidP="00E04C4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Documento ou comprovação</w:t>
            </w:r>
          </w:p>
        </w:tc>
        <w:tc>
          <w:tcPr>
            <w:tcW w:w="0" w:type="auto"/>
            <w:vAlign w:val="center"/>
            <w:hideMark/>
          </w:tcPr>
          <w:p w14:paraId="7621EF35" w14:textId="77777777" w:rsidR="00A3112D" w:rsidRPr="00B74E01" w:rsidRDefault="00A3112D" w:rsidP="00E04C4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Finalidade</w:t>
            </w:r>
          </w:p>
        </w:tc>
      </w:tr>
      <w:tr w:rsidR="00A3112D" w:rsidRPr="00B74E01" w14:paraId="1FB6ACA0" w14:textId="77777777" w:rsidTr="009C2073">
        <w:trPr>
          <w:tblCellSpacing w:w="15" w:type="dxa"/>
        </w:trPr>
        <w:tc>
          <w:tcPr>
            <w:tcW w:w="0" w:type="auto"/>
            <w:vAlign w:val="center"/>
            <w:hideMark/>
          </w:tcPr>
          <w:p w14:paraId="2989B16E"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Plano de aproveitamento de subprodutos</w:t>
            </w:r>
          </w:p>
        </w:tc>
        <w:tc>
          <w:tcPr>
            <w:tcW w:w="0" w:type="auto"/>
            <w:vAlign w:val="center"/>
            <w:hideMark/>
          </w:tcPr>
          <w:p w14:paraId="22688B59"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 xml:space="preserve">Demonstrar como </w:t>
            </w:r>
            <w:proofErr w:type="spellStart"/>
            <w:r w:rsidRPr="00B74E01">
              <w:rPr>
                <w:rFonts w:eastAsia="Times New Roman" w:cs="Arial"/>
                <w:kern w:val="0"/>
                <w:lang w:eastAsia="pt-BR"/>
                <w14:ligatures w14:val="none"/>
              </w:rPr>
              <w:t>biochar</w:t>
            </w:r>
            <w:proofErr w:type="spellEnd"/>
            <w:r w:rsidRPr="00B74E01">
              <w:rPr>
                <w:rFonts w:eastAsia="Times New Roman" w:cs="Arial"/>
                <w:kern w:val="0"/>
                <w:lang w:eastAsia="pt-BR"/>
                <w14:ligatures w14:val="none"/>
              </w:rPr>
              <w:t>, óleo/extrato e outros materiais serão tratados</w:t>
            </w:r>
          </w:p>
        </w:tc>
      </w:tr>
      <w:tr w:rsidR="00A3112D" w:rsidRPr="00B74E01" w14:paraId="2EBA6091" w14:textId="77777777" w:rsidTr="009C2073">
        <w:trPr>
          <w:tblCellSpacing w:w="15" w:type="dxa"/>
        </w:trPr>
        <w:tc>
          <w:tcPr>
            <w:tcW w:w="0" w:type="auto"/>
            <w:vAlign w:val="center"/>
            <w:hideMark/>
          </w:tcPr>
          <w:p w14:paraId="3E09410E"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Laudos ou especificações esperadas</w:t>
            </w:r>
          </w:p>
        </w:tc>
        <w:tc>
          <w:tcPr>
            <w:tcW w:w="0" w:type="auto"/>
            <w:vAlign w:val="center"/>
            <w:hideMark/>
          </w:tcPr>
          <w:p w14:paraId="04118224"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Avaliar potencial de uso e comercialização</w:t>
            </w:r>
          </w:p>
        </w:tc>
      </w:tr>
      <w:tr w:rsidR="00A3112D" w:rsidRPr="00B74E01" w14:paraId="6C185E4A" w14:textId="77777777" w:rsidTr="009C2073">
        <w:trPr>
          <w:tblCellSpacing w:w="15" w:type="dxa"/>
        </w:trPr>
        <w:tc>
          <w:tcPr>
            <w:tcW w:w="0" w:type="auto"/>
            <w:vAlign w:val="center"/>
            <w:hideMark/>
          </w:tcPr>
          <w:p w14:paraId="3F176B13"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Estratégia comercial</w:t>
            </w:r>
          </w:p>
        </w:tc>
        <w:tc>
          <w:tcPr>
            <w:tcW w:w="0" w:type="auto"/>
            <w:vAlign w:val="center"/>
            <w:hideMark/>
          </w:tcPr>
          <w:p w14:paraId="00738DED"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Indicar potenciais mercados e compradores</w:t>
            </w:r>
          </w:p>
        </w:tc>
      </w:tr>
      <w:tr w:rsidR="00A3112D" w:rsidRPr="00B74E01" w14:paraId="14C18128" w14:textId="77777777" w:rsidTr="009C2073">
        <w:trPr>
          <w:tblCellSpacing w:w="15" w:type="dxa"/>
        </w:trPr>
        <w:tc>
          <w:tcPr>
            <w:tcW w:w="0" w:type="auto"/>
            <w:vAlign w:val="center"/>
            <w:hideMark/>
          </w:tcPr>
          <w:p w14:paraId="7DE628A1"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Plano de certificação de carbono</w:t>
            </w:r>
          </w:p>
        </w:tc>
        <w:tc>
          <w:tcPr>
            <w:tcW w:w="0" w:type="auto"/>
            <w:vAlign w:val="center"/>
            <w:hideMark/>
          </w:tcPr>
          <w:p w14:paraId="01B19583"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Demonstrar metodologia e viabilidade de créditos</w:t>
            </w:r>
          </w:p>
        </w:tc>
      </w:tr>
      <w:tr w:rsidR="00A3112D" w:rsidRPr="00B74E01" w14:paraId="69C5A83D" w14:textId="77777777" w:rsidTr="009C2073">
        <w:trPr>
          <w:tblCellSpacing w:w="15" w:type="dxa"/>
        </w:trPr>
        <w:tc>
          <w:tcPr>
            <w:tcW w:w="0" w:type="auto"/>
            <w:vAlign w:val="center"/>
            <w:hideMark/>
          </w:tcPr>
          <w:p w14:paraId="5E84A8B5"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Plano de MRV</w:t>
            </w:r>
          </w:p>
        </w:tc>
        <w:tc>
          <w:tcPr>
            <w:tcW w:w="0" w:type="auto"/>
            <w:vAlign w:val="center"/>
            <w:hideMark/>
          </w:tcPr>
          <w:p w14:paraId="22491C0B"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Indicar monitoramento, relato e verificação</w:t>
            </w:r>
          </w:p>
        </w:tc>
      </w:tr>
      <w:tr w:rsidR="00A3112D" w:rsidRPr="00B74E01" w14:paraId="605BBD0C" w14:textId="77777777" w:rsidTr="009C2073">
        <w:trPr>
          <w:tblCellSpacing w:w="15" w:type="dxa"/>
        </w:trPr>
        <w:tc>
          <w:tcPr>
            <w:tcW w:w="0" w:type="auto"/>
            <w:vAlign w:val="center"/>
            <w:hideMark/>
          </w:tcPr>
          <w:p w14:paraId="5ED4089F"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lastRenderedPageBreak/>
              <w:t>Plano de qualidade dos subprodutos</w:t>
            </w:r>
          </w:p>
        </w:tc>
        <w:tc>
          <w:tcPr>
            <w:tcW w:w="0" w:type="auto"/>
            <w:vAlign w:val="center"/>
            <w:hideMark/>
          </w:tcPr>
          <w:p w14:paraId="075B9B26"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Controlar especificações e contaminantes</w:t>
            </w:r>
          </w:p>
        </w:tc>
      </w:tr>
      <w:tr w:rsidR="00A3112D" w:rsidRPr="00B74E01" w14:paraId="5608A8BB" w14:textId="77777777" w:rsidTr="009C2073">
        <w:trPr>
          <w:tblCellSpacing w:w="15" w:type="dxa"/>
        </w:trPr>
        <w:tc>
          <w:tcPr>
            <w:tcW w:w="0" w:type="auto"/>
            <w:vAlign w:val="center"/>
            <w:hideMark/>
          </w:tcPr>
          <w:p w14:paraId="3A7050B3"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Plano de armazenamento e transporte</w:t>
            </w:r>
          </w:p>
        </w:tc>
        <w:tc>
          <w:tcPr>
            <w:tcW w:w="0" w:type="auto"/>
            <w:vAlign w:val="center"/>
            <w:hideMark/>
          </w:tcPr>
          <w:p w14:paraId="01D4A69E"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Reduzir risco operacional e ambiental</w:t>
            </w:r>
          </w:p>
        </w:tc>
      </w:tr>
      <w:tr w:rsidR="00A3112D" w:rsidRPr="00B74E01" w14:paraId="64986DA5" w14:textId="77777777" w:rsidTr="009C2073">
        <w:trPr>
          <w:tblCellSpacing w:w="15" w:type="dxa"/>
        </w:trPr>
        <w:tc>
          <w:tcPr>
            <w:tcW w:w="0" w:type="auto"/>
            <w:vAlign w:val="center"/>
            <w:hideMark/>
          </w:tcPr>
          <w:p w14:paraId="253DE3A8"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Matriz de riscos das receitas acessórias</w:t>
            </w:r>
          </w:p>
        </w:tc>
        <w:tc>
          <w:tcPr>
            <w:tcW w:w="0" w:type="auto"/>
            <w:vAlign w:val="center"/>
            <w:hideMark/>
          </w:tcPr>
          <w:p w14:paraId="525366B7"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Demonstrar responsabilidade da SPE</w:t>
            </w:r>
          </w:p>
        </w:tc>
      </w:tr>
    </w:tbl>
    <w:p w14:paraId="46B333C0"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Essas exigências não devem restringir indevidamente a competição, mas devem garantir que os proponentes não apresentem receitas irreais, sem base técnica ou comercial.</w:t>
      </w:r>
    </w:p>
    <w:p w14:paraId="015ED5BE" w14:textId="77777777" w:rsidR="00A3112D" w:rsidRPr="00B74E01" w:rsidRDefault="00A3112D" w:rsidP="00E04C44">
      <w:pPr>
        <w:pStyle w:val="Ttulo2"/>
        <w:rPr>
          <w:rFonts w:eastAsia="Times New Roman"/>
          <w:lang w:eastAsia="pt-BR"/>
        </w:rPr>
      </w:pPr>
      <w:bookmarkStart w:id="140" w:name="_Toc230204142"/>
      <w:r w:rsidRPr="00B74E01">
        <w:rPr>
          <w:rFonts w:eastAsia="Times New Roman"/>
          <w:lang w:eastAsia="pt-BR"/>
        </w:rPr>
        <w:t>11.15. Conclusão do tópico</w:t>
      </w:r>
      <w:bookmarkEnd w:id="140"/>
    </w:p>
    <w:p w14:paraId="2E3A7E5D"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As receitas acessórias representam importante fator de fortalecimento econômico da PPP, mas devem ser tratadas com prudência.</w:t>
      </w:r>
    </w:p>
    <w:p w14:paraId="150E934D"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Na modelagem, as receitas acessórias brutas potenciais totalizam </w:t>
      </w:r>
      <w:r w:rsidRPr="00B74E01">
        <w:rPr>
          <w:rFonts w:eastAsia="Times New Roman" w:cs="Arial"/>
          <w:b/>
          <w:bCs/>
          <w:kern w:val="0"/>
          <w:lang w:eastAsia="pt-BR"/>
          <w14:ligatures w14:val="none"/>
        </w:rPr>
        <w:t>R$ 919.222,92/mês</w:t>
      </w:r>
      <w:r w:rsidRPr="00B74E01">
        <w:rPr>
          <w:rFonts w:eastAsia="Times New Roman" w:cs="Arial"/>
          <w:kern w:val="0"/>
          <w:lang w:eastAsia="pt-BR"/>
          <w14:ligatures w14:val="none"/>
        </w:rPr>
        <w:t xml:space="preserve">, equivalentes a </w:t>
      </w:r>
      <w:r w:rsidRPr="00B74E01">
        <w:rPr>
          <w:rFonts w:eastAsia="Times New Roman" w:cs="Arial"/>
          <w:b/>
          <w:bCs/>
          <w:kern w:val="0"/>
          <w:lang w:eastAsia="pt-BR"/>
          <w14:ligatures w14:val="none"/>
        </w:rPr>
        <w:t>R$ 11.030.675,00/ano</w:t>
      </w:r>
      <w:r w:rsidRPr="00B74E01">
        <w:rPr>
          <w:rFonts w:eastAsia="Times New Roman" w:cs="Arial"/>
          <w:kern w:val="0"/>
          <w:lang w:eastAsia="pt-BR"/>
          <w14:ligatures w14:val="none"/>
        </w:rPr>
        <w:t xml:space="preserve">. Após PIS/COFINS estimado de </w:t>
      </w:r>
      <w:r w:rsidRPr="00B74E01">
        <w:rPr>
          <w:rFonts w:eastAsia="Times New Roman" w:cs="Arial"/>
          <w:b/>
          <w:bCs/>
          <w:kern w:val="0"/>
          <w:lang w:eastAsia="pt-BR"/>
          <w14:ligatures w14:val="none"/>
        </w:rPr>
        <w:t>9,25%</w:t>
      </w:r>
      <w:r w:rsidRPr="00B74E01">
        <w:rPr>
          <w:rFonts w:eastAsia="Times New Roman" w:cs="Arial"/>
          <w:kern w:val="0"/>
          <w:lang w:eastAsia="pt-BR"/>
          <w14:ligatures w14:val="none"/>
        </w:rPr>
        <w:t xml:space="preserve"> e destinação de </w:t>
      </w:r>
      <w:r w:rsidRPr="00B74E01">
        <w:rPr>
          <w:rFonts w:eastAsia="Times New Roman" w:cs="Arial"/>
          <w:b/>
          <w:bCs/>
          <w:kern w:val="0"/>
          <w:lang w:eastAsia="pt-BR"/>
          <w14:ligatures w14:val="none"/>
        </w:rPr>
        <w:t>5% da receita acessória líquida ao Fundo Municipal</w:t>
      </w:r>
      <w:r w:rsidRPr="00B74E01">
        <w:rPr>
          <w:rFonts w:eastAsia="Times New Roman" w:cs="Arial"/>
          <w:kern w:val="0"/>
          <w:lang w:eastAsia="pt-BR"/>
          <w14:ligatures w14:val="none"/>
        </w:rPr>
        <w:t xml:space="preserve">, o acréscimo líquido estimado ao caixa da SPE é de </w:t>
      </w:r>
      <w:r w:rsidRPr="00B74E01">
        <w:rPr>
          <w:rFonts w:eastAsia="Times New Roman" w:cs="Arial"/>
          <w:b/>
          <w:bCs/>
          <w:kern w:val="0"/>
          <w:lang w:eastAsia="pt-BR"/>
          <w14:ligatures w14:val="none"/>
        </w:rPr>
        <w:t>R$ 792.485,06/mês</w:t>
      </w:r>
      <w:r w:rsidRPr="00B74E01">
        <w:rPr>
          <w:rFonts w:eastAsia="Times New Roman" w:cs="Arial"/>
          <w:kern w:val="0"/>
          <w:lang w:eastAsia="pt-BR"/>
          <w14:ligatures w14:val="none"/>
        </w:rPr>
        <w:t xml:space="preserve">, equivalente a </w:t>
      </w:r>
      <w:r w:rsidRPr="00B74E01">
        <w:rPr>
          <w:rFonts w:eastAsia="Times New Roman" w:cs="Arial"/>
          <w:b/>
          <w:bCs/>
          <w:kern w:val="0"/>
          <w:lang w:eastAsia="pt-BR"/>
          <w14:ligatures w14:val="none"/>
        </w:rPr>
        <w:t>R$ 9.509.820,68/ano</w:t>
      </w:r>
      <w:r w:rsidRPr="00B74E01">
        <w:rPr>
          <w:rFonts w:eastAsia="Times New Roman" w:cs="Arial"/>
          <w:kern w:val="0"/>
          <w:lang w:eastAsia="pt-BR"/>
          <w14:ligatures w14:val="none"/>
        </w:rPr>
        <w:t>.</w:t>
      </w:r>
    </w:p>
    <w:p w14:paraId="6B35A3F6"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Essas receitas elevam o EBITDA mensal de </w:t>
      </w:r>
      <w:r w:rsidRPr="00B74E01">
        <w:rPr>
          <w:rFonts w:eastAsia="Times New Roman" w:cs="Arial"/>
          <w:b/>
          <w:bCs/>
          <w:kern w:val="0"/>
          <w:lang w:eastAsia="pt-BR"/>
          <w14:ligatures w14:val="none"/>
        </w:rPr>
        <w:t>R$ 314.606,70</w:t>
      </w:r>
      <w:r w:rsidRPr="00B74E01">
        <w:rPr>
          <w:rFonts w:eastAsia="Times New Roman" w:cs="Arial"/>
          <w:kern w:val="0"/>
          <w:lang w:eastAsia="pt-BR"/>
          <w14:ligatures w14:val="none"/>
        </w:rPr>
        <w:t xml:space="preserve"> para </w:t>
      </w:r>
      <w:r w:rsidRPr="00B74E01">
        <w:rPr>
          <w:rFonts w:eastAsia="Times New Roman" w:cs="Arial"/>
          <w:b/>
          <w:bCs/>
          <w:kern w:val="0"/>
          <w:lang w:eastAsia="pt-BR"/>
          <w14:ligatures w14:val="none"/>
        </w:rPr>
        <w:t>R$ 1.107.091,76</w:t>
      </w:r>
      <w:r w:rsidRPr="00B74E01">
        <w:rPr>
          <w:rFonts w:eastAsia="Times New Roman" w:cs="Arial"/>
          <w:kern w:val="0"/>
          <w:lang w:eastAsia="pt-BR"/>
          <w14:ligatures w14:val="none"/>
        </w:rPr>
        <w:t xml:space="preserve"> e ampliam o DSCR após carência de </w:t>
      </w:r>
      <w:r w:rsidRPr="00B74E01">
        <w:rPr>
          <w:rFonts w:eastAsia="Times New Roman" w:cs="Arial"/>
          <w:b/>
          <w:bCs/>
          <w:kern w:val="0"/>
          <w:lang w:eastAsia="pt-BR"/>
          <w14:ligatures w14:val="none"/>
        </w:rPr>
        <w:t>1,12x</w:t>
      </w:r>
      <w:r w:rsidRPr="00B74E01">
        <w:rPr>
          <w:rFonts w:eastAsia="Times New Roman" w:cs="Arial"/>
          <w:kern w:val="0"/>
          <w:lang w:eastAsia="pt-BR"/>
          <w14:ligatures w14:val="none"/>
        </w:rPr>
        <w:t xml:space="preserve"> para </w:t>
      </w:r>
      <w:r w:rsidRPr="00B74E01">
        <w:rPr>
          <w:rFonts w:eastAsia="Times New Roman" w:cs="Arial"/>
          <w:b/>
          <w:bCs/>
          <w:kern w:val="0"/>
          <w:lang w:eastAsia="pt-BR"/>
          <w14:ligatures w14:val="none"/>
        </w:rPr>
        <w:t>3,94x</w:t>
      </w:r>
      <w:r w:rsidRPr="00B74E01">
        <w:rPr>
          <w:rFonts w:eastAsia="Times New Roman" w:cs="Arial"/>
          <w:kern w:val="0"/>
          <w:lang w:eastAsia="pt-BR"/>
          <w14:ligatures w14:val="none"/>
        </w:rPr>
        <w:t>.</w:t>
      </w:r>
    </w:p>
    <w:p w14:paraId="03DFF24B"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Contudo, por dependerem de mercado, laudos, certificações, compradores, qualidade dos subprodutos, metodologia de carbono e regulação, as receitas acessórias não devem ser tratadas como garantidas nem como fundamento único da viabilidade da PPP.</w:t>
      </w:r>
    </w:p>
    <w:p w14:paraId="415EE1EA"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modelagem correta é aquela que preserva as receitas principais como base contratual mínima e utiliza as receitas acessórias como fator complementar de robustez, atratividade e geração de benefícios adicionais ao Município.</w:t>
      </w:r>
    </w:p>
    <w:p w14:paraId="583792A1" w14:textId="77777777" w:rsidR="00A3112D" w:rsidRPr="00B74E01" w:rsidRDefault="00A3112D" w:rsidP="00E04C44">
      <w:pPr>
        <w:pStyle w:val="Ttulo1"/>
        <w:rPr>
          <w:rFonts w:eastAsia="Times New Roman"/>
          <w:lang w:eastAsia="pt-BR"/>
        </w:rPr>
      </w:pPr>
      <w:bookmarkStart w:id="141" w:name="_Toc230204143"/>
      <w:r w:rsidRPr="00B74E01">
        <w:rPr>
          <w:rFonts w:eastAsia="Times New Roman"/>
          <w:lang w:eastAsia="pt-BR"/>
        </w:rPr>
        <w:lastRenderedPageBreak/>
        <w:t>12. Financiamento Referencial e Serviço da Dívida</w:t>
      </w:r>
      <w:bookmarkEnd w:id="141"/>
    </w:p>
    <w:p w14:paraId="67011CC0"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O financiamento é um dos elementos centrais da modelagem econômico-financeira da PPP, pois permite avaliar a capacidade do projeto de amortizar o investimento inicial, suportar o custo financeiro, manter operação regular e preservar margem suficiente para atrair investidores e financiadores.</w:t>
      </w:r>
    </w:p>
    <w:p w14:paraId="30B8F207"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Neste caderno, adota-se como linha referencial o </w:t>
      </w:r>
      <w:r w:rsidRPr="00B74E01">
        <w:rPr>
          <w:rFonts w:eastAsia="Times New Roman" w:cs="Arial"/>
          <w:b/>
          <w:bCs/>
          <w:kern w:val="0"/>
          <w:lang w:eastAsia="pt-BR"/>
          <w14:ligatures w14:val="none"/>
        </w:rPr>
        <w:t>FNE Verde / Banco do Nordeste</w:t>
      </w:r>
      <w:r w:rsidRPr="00B74E01">
        <w:rPr>
          <w:rFonts w:eastAsia="Times New Roman" w:cs="Arial"/>
          <w:kern w:val="0"/>
          <w:lang w:eastAsia="pt-BR"/>
          <w14:ligatures w14:val="none"/>
        </w:rPr>
        <w:t xml:space="preserve">, por sua aderência territorial, ambiental, energética, climática e de desenvolvimento regional. Essa escolha não significa exclusividade nem obrigação de contratação dessa fonte pelos licitantes. Trata-se de linha de referência para fins de modelagem, comparação e análise preliminar de </w:t>
      </w:r>
      <w:proofErr w:type="spellStart"/>
      <w:r w:rsidRPr="00B74E01">
        <w:rPr>
          <w:rFonts w:eastAsia="Times New Roman" w:cs="Arial"/>
          <w:kern w:val="0"/>
          <w:lang w:eastAsia="pt-BR"/>
          <w14:ligatures w14:val="none"/>
        </w:rPr>
        <w:t>bancabilidade</w:t>
      </w:r>
      <w:proofErr w:type="spellEnd"/>
      <w:r w:rsidRPr="00B74E01">
        <w:rPr>
          <w:rFonts w:eastAsia="Times New Roman" w:cs="Arial"/>
          <w:kern w:val="0"/>
          <w:lang w:eastAsia="pt-BR"/>
          <w14:ligatures w14:val="none"/>
        </w:rPr>
        <w:t>.</w:t>
      </w:r>
    </w:p>
    <w:p w14:paraId="4229CF2F"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Na fase licitatória, os proponentes poderão apresentar estrutura de financiamento própria, inclusive com capital próprio, financiamento parcial, combinação de fontes, BNDES, debêntures incentivadas, fundos climáticos, FIDCs, bancos privados ou </w:t>
      </w:r>
      <w:proofErr w:type="gramStart"/>
      <w:r w:rsidRPr="00B74E01">
        <w:rPr>
          <w:rFonts w:eastAsia="Times New Roman" w:cs="Arial"/>
          <w:kern w:val="0"/>
          <w:lang w:eastAsia="pt-BR"/>
          <w14:ligatures w14:val="none"/>
        </w:rPr>
        <w:t>outras alternativas</w:t>
      </w:r>
      <w:proofErr w:type="gramEnd"/>
      <w:r w:rsidRPr="00B74E01">
        <w:rPr>
          <w:rFonts w:eastAsia="Times New Roman" w:cs="Arial"/>
          <w:kern w:val="0"/>
          <w:lang w:eastAsia="pt-BR"/>
          <w14:ligatures w14:val="none"/>
        </w:rPr>
        <w:t xml:space="preserve"> compatíveis com o edital e com a legislação aplicável.</w:t>
      </w:r>
    </w:p>
    <w:p w14:paraId="2638E592" w14:textId="77777777" w:rsidR="00A3112D" w:rsidRPr="00B74E01" w:rsidRDefault="00A3112D" w:rsidP="00E04C44">
      <w:pPr>
        <w:pStyle w:val="Ttulo2"/>
        <w:rPr>
          <w:rFonts w:eastAsia="Times New Roman"/>
          <w:lang w:eastAsia="pt-BR"/>
        </w:rPr>
      </w:pPr>
      <w:bookmarkStart w:id="142" w:name="_Toc230204144"/>
      <w:r w:rsidRPr="00B74E01">
        <w:rPr>
          <w:rFonts w:eastAsia="Times New Roman"/>
          <w:lang w:eastAsia="pt-BR"/>
        </w:rPr>
        <w:t>12.1. Função do financiamento na PPP</w:t>
      </w:r>
      <w:bookmarkEnd w:id="142"/>
    </w:p>
    <w:p w14:paraId="6FCBDA44"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O financiamento cumpre função estratégica na PPP porque permite distribuir o investimento inicial ao longo do prazo contratual, tornando viável a implantação da infraestrutura sem desembolso direto integral pelo Município.</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217"/>
        <w:gridCol w:w="5844"/>
      </w:tblGrid>
      <w:tr w:rsidR="00A3112D" w:rsidRPr="00B74E01" w14:paraId="44D8DF4A" w14:textId="77777777" w:rsidTr="009C2073">
        <w:trPr>
          <w:tblHeader/>
          <w:tblCellSpacing w:w="15" w:type="dxa"/>
        </w:trPr>
        <w:tc>
          <w:tcPr>
            <w:tcW w:w="0" w:type="auto"/>
            <w:vAlign w:val="center"/>
            <w:hideMark/>
          </w:tcPr>
          <w:p w14:paraId="7A8166CC" w14:textId="77777777" w:rsidR="00A3112D" w:rsidRPr="00B74E01" w:rsidRDefault="00A3112D" w:rsidP="00E04C4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Função do financiamento</w:t>
            </w:r>
          </w:p>
        </w:tc>
        <w:tc>
          <w:tcPr>
            <w:tcW w:w="0" w:type="auto"/>
            <w:vAlign w:val="center"/>
            <w:hideMark/>
          </w:tcPr>
          <w:p w14:paraId="5151A94D" w14:textId="77777777" w:rsidR="00A3112D" w:rsidRPr="00B74E01" w:rsidRDefault="00A3112D" w:rsidP="00E04C4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Relevância para a PPP</w:t>
            </w:r>
          </w:p>
        </w:tc>
      </w:tr>
      <w:tr w:rsidR="00A3112D" w:rsidRPr="00B74E01" w14:paraId="2C29A47E" w14:textId="77777777" w:rsidTr="009C2073">
        <w:trPr>
          <w:tblCellSpacing w:w="15" w:type="dxa"/>
        </w:trPr>
        <w:tc>
          <w:tcPr>
            <w:tcW w:w="0" w:type="auto"/>
            <w:vAlign w:val="center"/>
            <w:hideMark/>
          </w:tcPr>
          <w:p w14:paraId="4EFAFE70"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Viabilizar o investimento inicial</w:t>
            </w:r>
          </w:p>
        </w:tc>
        <w:tc>
          <w:tcPr>
            <w:tcW w:w="0" w:type="auto"/>
            <w:vAlign w:val="center"/>
            <w:hideMark/>
          </w:tcPr>
          <w:p w14:paraId="0DFFDF63"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Permite implantar a planta sem pagamento público antecipado integral</w:t>
            </w:r>
          </w:p>
        </w:tc>
      </w:tr>
      <w:tr w:rsidR="00A3112D" w:rsidRPr="00B74E01" w14:paraId="5888D2E5" w14:textId="77777777" w:rsidTr="009C2073">
        <w:trPr>
          <w:tblCellSpacing w:w="15" w:type="dxa"/>
        </w:trPr>
        <w:tc>
          <w:tcPr>
            <w:tcW w:w="0" w:type="auto"/>
            <w:vAlign w:val="center"/>
            <w:hideMark/>
          </w:tcPr>
          <w:p w14:paraId="54985335"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Melhorar a estrutura de capital</w:t>
            </w:r>
          </w:p>
        </w:tc>
        <w:tc>
          <w:tcPr>
            <w:tcW w:w="0" w:type="auto"/>
            <w:vAlign w:val="center"/>
            <w:hideMark/>
          </w:tcPr>
          <w:p w14:paraId="72BD057F"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Combina prazo longo, amortização e geração operacional de caixa</w:t>
            </w:r>
          </w:p>
        </w:tc>
      </w:tr>
      <w:tr w:rsidR="00A3112D" w:rsidRPr="00B74E01" w14:paraId="03FDEAC2" w14:textId="77777777" w:rsidTr="009C2073">
        <w:trPr>
          <w:tblCellSpacing w:w="15" w:type="dxa"/>
        </w:trPr>
        <w:tc>
          <w:tcPr>
            <w:tcW w:w="0" w:type="auto"/>
            <w:vAlign w:val="center"/>
            <w:hideMark/>
          </w:tcPr>
          <w:p w14:paraId="140F7B7A"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 xml:space="preserve">Aumentar a </w:t>
            </w:r>
            <w:proofErr w:type="spellStart"/>
            <w:r w:rsidRPr="00B74E01">
              <w:rPr>
                <w:rFonts w:eastAsia="Times New Roman" w:cs="Arial"/>
                <w:kern w:val="0"/>
                <w:lang w:eastAsia="pt-BR"/>
                <w14:ligatures w14:val="none"/>
              </w:rPr>
              <w:t>bancabilidade</w:t>
            </w:r>
            <w:proofErr w:type="spellEnd"/>
          </w:p>
        </w:tc>
        <w:tc>
          <w:tcPr>
            <w:tcW w:w="0" w:type="auto"/>
            <w:vAlign w:val="center"/>
            <w:hideMark/>
          </w:tcPr>
          <w:p w14:paraId="3100BA75"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Permite análise objetiva da capacidade de pagamento da SPE</w:t>
            </w:r>
          </w:p>
        </w:tc>
      </w:tr>
      <w:tr w:rsidR="00A3112D" w:rsidRPr="00B74E01" w14:paraId="2F67A75E" w14:textId="77777777" w:rsidTr="009C2073">
        <w:trPr>
          <w:tblCellSpacing w:w="15" w:type="dxa"/>
        </w:trPr>
        <w:tc>
          <w:tcPr>
            <w:tcW w:w="0" w:type="auto"/>
            <w:vAlign w:val="center"/>
            <w:hideMark/>
          </w:tcPr>
          <w:p w14:paraId="3F23B632"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lastRenderedPageBreak/>
              <w:t>Reduzir pressão fiscal imediata</w:t>
            </w:r>
          </w:p>
        </w:tc>
        <w:tc>
          <w:tcPr>
            <w:tcW w:w="0" w:type="auto"/>
            <w:vAlign w:val="center"/>
            <w:hideMark/>
          </w:tcPr>
          <w:p w14:paraId="58116BF6"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Evita que o Município arque diretamente com o CAPEX</w:t>
            </w:r>
          </w:p>
        </w:tc>
      </w:tr>
      <w:tr w:rsidR="00A3112D" w:rsidRPr="00B74E01" w14:paraId="6D7F5111" w14:textId="77777777" w:rsidTr="009C2073">
        <w:trPr>
          <w:tblCellSpacing w:w="15" w:type="dxa"/>
        </w:trPr>
        <w:tc>
          <w:tcPr>
            <w:tcW w:w="0" w:type="auto"/>
            <w:vAlign w:val="center"/>
            <w:hideMark/>
          </w:tcPr>
          <w:p w14:paraId="368C8350"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Vincular pagamento a desempenho</w:t>
            </w:r>
          </w:p>
        </w:tc>
        <w:tc>
          <w:tcPr>
            <w:tcW w:w="0" w:type="auto"/>
            <w:vAlign w:val="center"/>
            <w:hideMark/>
          </w:tcPr>
          <w:p w14:paraId="47965673"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 remuneração da SPE depende da implantação e operação contratada</w:t>
            </w:r>
          </w:p>
        </w:tc>
      </w:tr>
      <w:tr w:rsidR="00A3112D" w:rsidRPr="00B74E01" w14:paraId="5614A6CA" w14:textId="77777777" w:rsidTr="009C2073">
        <w:trPr>
          <w:tblCellSpacing w:w="15" w:type="dxa"/>
        </w:trPr>
        <w:tc>
          <w:tcPr>
            <w:tcW w:w="0" w:type="auto"/>
            <w:vAlign w:val="center"/>
            <w:hideMark/>
          </w:tcPr>
          <w:p w14:paraId="4855EA78"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Atrair investidores</w:t>
            </w:r>
          </w:p>
        </w:tc>
        <w:tc>
          <w:tcPr>
            <w:tcW w:w="0" w:type="auto"/>
            <w:vAlign w:val="center"/>
            <w:hideMark/>
          </w:tcPr>
          <w:p w14:paraId="2310C9A6"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Estrutura fluxo previsível de longo prazo</w:t>
            </w:r>
          </w:p>
        </w:tc>
      </w:tr>
    </w:tbl>
    <w:p w14:paraId="714F8A24"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lógica da PPP é distinta de uma obra pública convencional. O Município não contrata apenas a implantação física da estrutura. Contrata uma solução de longo prazo, com investimento privado, operação, manutenção, desempenho e responsabilidade da SPE.</w:t>
      </w:r>
    </w:p>
    <w:p w14:paraId="51870D6C" w14:textId="77777777" w:rsidR="00A3112D" w:rsidRPr="00B74E01" w:rsidRDefault="00A3112D" w:rsidP="00E04C44">
      <w:pPr>
        <w:pStyle w:val="Ttulo2"/>
        <w:rPr>
          <w:rFonts w:eastAsia="Times New Roman"/>
          <w:lang w:eastAsia="pt-BR"/>
        </w:rPr>
      </w:pPr>
      <w:bookmarkStart w:id="143" w:name="_Toc230204145"/>
      <w:r w:rsidRPr="00B74E01">
        <w:rPr>
          <w:rFonts w:eastAsia="Times New Roman"/>
          <w:lang w:eastAsia="pt-BR"/>
        </w:rPr>
        <w:t>12.2. Linha referencial adotada: FNE Verde / Banco do Nordeste</w:t>
      </w:r>
      <w:bookmarkEnd w:id="143"/>
    </w:p>
    <w:p w14:paraId="451AD3FB"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 modelagem adota o </w:t>
      </w:r>
      <w:r w:rsidRPr="00B74E01">
        <w:rPr>
          <w:rFonts w:eastAsia="Times New Roman" w:cs="Arial"/>
          <w:b/>
          <w:bCs/>
          <w:kern w:val="0"/>
          <w:lang w:eastAsia="pt-BR"/>
          <w14:ligatures w14:val="none"/>
        </w:rPr>
        <w:t>FNE Verde / Banco do Nordeste</w:t>
      </w:r>
      <w:r w:rsidRPr="00B74E01">
        <w:rPr>
          <w:rFonts w:eastAsia="Times New Roman" w:cs="Arial"/>
          <w:kern w:val="0"/>
          <w:lang w:eastAsia="pt-BR"/>
          <w14:ligatures w14:val="none"/>
        </w:rPr>
        <w:t xml:space="preserve"> como linha referencial prioritária por sua compatibilidade com as características do projeto.</w:t>
      </w:r>
    </w:p>
    <w:p w14:paraId="314325AB"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PPP envolve destinação/tratamento de RSU, mitigação ambiental, aproveitamento energético, redução de despesa pública com energia, potencial de receitas acessórias ambientais e implantação de infraestrutura sustentável no Nordeste. Esses elementos tornam a linha regional de financiamento ambientalmente aderente ao perfil do projeto.</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564"/>
        <w:gridCol w:w="6497"/>
      </w:tblGrid>
      <w:tr w:rsidR="00A3112D" w:rsidRPr="00B74E01" w14:paraId="134B767A" w14:textId="77777777" w:rsidTr="009C2073">
        <w:trPr>
          <w:tblHeader/>
          <w:tblCellSpacing w:w="15" w:type="dxa"/>
        </w:trPr>
        <w:tc>
          <w:tcPr>
            <w:tcW w:w="0" w:type="auto"/>
            <w:vAlign w:val="center"/>
            <w:hideMark/>
          </w:tcPr>
          <w:p w14:paraId="7808D0A8" w14:textId="77777777" w:rsidR="00A3112D" w:rsidRPr="00B74E01" w:rsidRDefault="00A3112D" w:rsidP="00E04C4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Critério</w:t>
            </w:r>
          </w:p>
        </w:tc>
        <w:tc>
          <w:tcPr>
            <w:tcW w:w="0" w:type="auto"/>
            <w:vAlign w:val="center"/>
            <w:hideMark/>
          </w:tcPr>
          <w:p w14:paraId="0539BE70" w14:textId="77777777" w:rsidR="00A3112D" w:rsidRPr="00B74E01" w:rsidRDefault="00A3112D" w:rsidP="00E04C4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Justificativa da aderência</w:t>
            </w:r>
          </w:p>
        </w:tc>
      </w:tr>
      <w:tr w:rsidR="00A3112D" w:rsidRPr="00B74E01" w14:paraId="7274B6C9" w14:textId="77777777" w:rsidTr="009C2073">
        <w:trPr>
          <w:tblCellSpacing w:w="15" w:type="dxa"/>
        </w:trPr>
        <w:tc>
          <w:tcPr>
            <w:tcW w:w="0" w:type="auto"/>
            <w:vAlign w:val="center"/>
            <w:hideMark/>
          </w:tcPr>
          <w:p w14:paraId="510CEB1B"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Localização</w:t>
            </w:r>
          </w:p>
        </w:tc>
        <w:tc>
          <w:tcPr>
            <w:tcW w:w="0" w:type="auto"/>
            <w:vAlign w:val="center"/>
            <w:hideMark/>
          </w:tcPr>
          <w:p w14:paraId="77A43AE7"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Projeto situado no Nordeste, área de atuação do Banco do Nordeste</w:t>
            </w:r>
          </w:p>
        </w:tc>
      </w:tr>
      <w:tr w:rsidR="00A3112D" w:rsidRPr="00B74E01" w14:paraId="7F24A61F" w14:textId="77777777" w:rsidTr="009C2073">
        <w:trPr>
          <w:tblCellSpacing w:w="15" w:type="dxa"/>
        </w:trPr>
        <w:tc>
          <w:tcPr>
            <w:tcW w:w="0" w:type="auto"/>
            <w:vAlign w:val="center"/>
            <w:hideMark/>
          </w:tcPr>
          <w:p w14:paraId="02953B6D"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Finalidade ambiental</w:t>
            </w:r>
          </w:p>
        </w:tc>
        <w:tc>
          <w:tcPr>
            <w:tcW w:w="0" w:type="auto"/>
            <w:vAlign w:val="center"/>
            <w:hideMark/>
          </w:tcPr>
          <w:p w14:paraId="3215888F"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Tratamento/destinação de RSU e mitigação de passivo ambiental</w:t>
            </w:r>
          </w:p>
        </w:tc>
      </w:tr>
      <w:tr w:rsidR="00A3112D" w:rsidRPr="00B74E01" w14:paraId="6BB50CD2" w14:textId="77777777" w:rsidTr="009C2073">
        <w:trPr>
          <w:tblCellSpacing w:w="15" w:type="dxa"/>
        </w:trPr>
        <w:tc>
          <w:tcPr>
            <w:tcW w:w="0" w:type="auto"/>
            <w:vAlign w:val="center"/>
            <w:hideMark/>
          </w:tcPr>
          <w:p w14:paraId="3C05F1BE"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Energia renovável</w:t>
            </w:r>
          </w:p>
        </w:tc>
        <w:tc>
          <w:tcPr>
            <w:tcW w:w="0" w:type="auto"/>
            <w:vAlign w:val="center"/>
            <w:hideMark/>
          </w:tcPr>
          <w:p w14:paraId="4B17D0E0"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Disponibilização de capacidade energética associada à solução</w:t>
            </w:r>
          </w:p>
        </w:tc>
      </w:tr>
      <w:tr w:rsidR="00A3112D" w:rsidRPr="00B74E01" w14:paraId="7E5E9B31" w14:textId="77777777" w:rsidTr="009C2073">
        <w:trPr>
          <w:tblCellSpacing w:w="15" w:type="dxa"/>
        </w:trPr>
        <w:tc>
          <w:tcPr>
            <w:tcW w:w="0" w:type="auto"/>
            <w:vAlign w:val="center"/>
            <w:hideMark/>
          </w:tcPr>
          <w:p w14:paraId="1BB9C043"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Desenvolvimento regional</w:t>
            </w:r>
          </w:p>
        </w:tc>
        <w:tc>
          <w:tcPr>
            <w:tcW w:w="0" w:type="auto"/>
            <w:vAlign w:val="center"/>
            <w:hideMark/>
          </w:tcPr>
          <w:p w14:paraId="40119A70"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Geração de emprego, investimento privado e infraestrutura local</w:t>
            </w:r>
          </w:p>
        </w:tc>
      </w:tr>
      <w:tr w:rsidR="00A3112D" w:rsidRPr="00B74E01" w14:paraId="16DF5C28" w14:textId="77777777" w:rsidTr="009C2073">
        <w:trPr>
          <w:tblCellSpacing w:w="15" w:type="dxa"/>
        </w:trPr>
        <w:tc>
          <w:tcPr>
            <w:tcW w:w="0" w:type="auto"/>
            <w:vAlign w:val="center"/>
            <w:hideMark/>
          </w:tcPr>
          <w:p w14:paraId="0E74A535"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lastRenderedPageBreak/>
              <w:t>Sustentabilidade</w:t>
            </w:r>
          </w:p>
        </w:tc>
        <w:tc>
          <w:tcPr>
            <w:tcW w:w="0" w:type="auto"/>
            <w:vAlign w:val="center"/>
            <w:hideMark/>
          </w:tcPr>
          <w:p w14:paraId="2BF2A637"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Integração entre resíduos, energia, inovação e política ambiental</w:t>
            </w:r>
          </w:p>
        </w:tc>
      </w:tr>
      <w:tr w:rsidR="00A3112D" w:rsidRPr="00B74E01" w14:paraId="6AB7DE8B" w14:textId="77777777" w:rsidTr="009C2073">
        <w:trPr>
          <w:tblCellSpacing w:w="15" w:type="dxa"/>
        </w:trPr>
        <w:tc>
          <w:tcPr>
            <w:tcW w:w="0" w:type="auto"/>
            <w:vAlign w:val="center"/>
            <w:hideMark/>
          </w:tcPr>
          <w:p w14:paraId="11DF2BA6"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Longo prazo</w:t>
            </w:r>
          </w:p>
        </w:tc>
        <w:tc>
          <w:tcPr>
            <w:tcW w:w="0" w:type="auto"/>
            <w:vAlign w:val="center"/>
            <w:hideMark/>
          </w:tcPr>
          <w:p w14:paraId="399A2CDD"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PPP exige financiamento compatível com amortização prolongada</w:t>
            </w:r>
          </w:p>
        </w:tc>
      </w:tr>
      <w:tr w:rsidR="00A3112D" w:rsidRPr="00B74E01" w14:paraId="2303C5D5" w14:textId="77777777" w:rsidTr="009C2073">
        <w:trPr>
          <w:tblCellSpacing w:w="15" w:type="dxa"/>
        </w:trPr>
        <w:tc>
          <w:tcPr>
            <w:tcW w:w="0" w:type="auto"/>
            <w:vAlign w:val="center"/>
            <w:hideMark/>
          </w:tcPr>
          <w:p w14:paraId="2AE1668B"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Potencial climático</w:t>
            </w:r>
          </w:p>
        </w:tc>
        <w:tc>
          <w:tcPr>
            <w:tcW w:w="0" w:type="auto"/>
            <w:vAlign w:val="center"/>
            <w:hideMark/>
          </w:tcPr>
          <w:p w14:paraId="2427B97D"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Possibilidade de créditos de carbono e redução de externalidades ambientais</w:t>
            </w:r>
          </w:p>
        </w:tc>
      </w:tr>
    </w:tbl>
    <w:p w14:paraId="62C9328D"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escolha do FNE Verde como referência fortalece a lógica de desenvolvimento regional do projeto. Não se trata apenas de buscar a menor taxa financeira, mas de alinhar a estrutura de capital a uma política pública de sustentabilidade, infraestrutura e transição energética no Nordeste.</w:t>
      </w:r>
    </w:p>
    <w:p w14:paraId="6B6BB2E2" w14:textId="77777777" w:rsidR="00A3112D" w:rsidRPr="00B74E01" w:rsidRDefault="00A3112D" w:rsidP="00E04C44">
      <w:pPr>
        <w:pStyle w:val="Ttulo2"/>
        <w:rPr>
          <w:rFonts w:eastAsia="Times New Roman"/>
          <w:lang w:eastAsia="pt-BR"/>
        </w:rPr>
      </w:pPr>
      <w:bookmarkStart w:id="144" w:name="_Toc230204146"/>
      <w:r w:rsidRPr="00B74E01">
        <w:rPr>
          <w:rFonts w:eastAsia="Times New Roman"/>
          <w:lang w:eastAsia="pt-BR"/>
        </w:rPr>
        <w:t>12.3. Premissas financeiras adotadas</w:t>
      </w:r>
      <w:bookmarkEnd w:id="144"/>
    </w:p>
    <w:p w14:paraId="1DBA8A2E"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As premissas financeiras utilizadas na modelagem são as seguintes: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124"/>
        <w:gridCol w:w="3710"/>
      </w:tblGrid>
      <w:tr w:rsidR="00A3112D" w:rsidRPr="00B74E01" w14:paraId="780CAA31" w14:textId="77777777" w:rsidTr="009C2073">
        <w:trPr>
          <w:tblHeader/>
          <w:tblCellSpacing w:w="15" w:type="dxa"/>
        </w:trPr>
        <w:tc>
          <w:tcPr>
            <w:tcW w:w="0" w:type="auto"/>
            <w:vAlign w:val="center"/>
            <w:hideMark/>
          </w:tcPr>
          <w:p w14:paraId="1853C6C7" w14:textId="77777777" w:rsidR="00A3112D" w:rsidRPr="00B74E01" w:rsidRDefault="00A3112D" w:rsidP="00E04C4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Premissa financeira</w:t>
            </w:r>
          </w:p>
        </w:tc>
        <w:tc>
          <w:tcPr>
            <w:tcW w:w="0" w:type="auto"/>
            <w:vAlign w:val="center"/>
            <w:hideMark/>
          </w:tcPr>
          <w:p w14:paraId="60FD7F62" w14:textId="77777777" w:rsidR="00A3112D" w:rsidRPr="00B74E01" w:rsidRDefault="00A3112D" w:rsidP="00E04C4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 adotado</w:t>
            </w:r>
          </w:p>
        </w:tc>
      </w:tr>
      <w:tr w:rsidR="00A3112D" w:rsidRPr="00B74E01" w14:paraId="1F567BBA" w14:textId="77777777" w:rsidTr="009C2073">
        <w:trPr>
          <w:tblCellSpacing w:w="15" w:type="dxa"/>
        </w:trPr>
        <w:tc>
          <w:tcPr>
            <w:tcW w:w="0" w:type="auto"/>
            <w:vAlign w:val="center"/>
            <w:hideMark/>
          </w:tcPr>
          <w:p w14:paraId="18EA009B"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Investimento financeiro total estimado</w:t>
            </w:r>
          </w:p>
        </w:tc>
        <w:tc>
          <w:tcPr>
            <w:tcW w:w="0" w:type="auto"/>
            <w:vAlign w:val="center"/>
            <w:hideMark/>
          </w:tcPr>
          <w:p w14:paraId="6425F5E0"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R$ 32.269.873,38</w:t>
            </w:r>
          </w:p>
        </w:tc>
      </w:tr>
      <w:tr w:rsidR="00A3112D" w:rsidRPr="00B74E01" w14:paraId="67722AA5" w14:textId="77777777" w:rsidTr="009C2073">
        <w:trPr>
          <w:tblCellSpacing w:w="15" w:type="dxa"/>
        </w:trPr>
        <w:tc>
          <w:tcPr>
            <w:tcW w:w="0" w:type="auto"/>
            <w:vAlign w:val="center"/>
            <w:hideMark/>
          </w:tcPr>
          <w:p w14:paraId="53D550E2"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Percentual financiado na modelagem</w:t>
            </w:r>
          </w:p>
        </w:tc>
        <w:tc>
          <w:tcPr>
            <w:tcW w:w="0" w:type="auto"/>
            <w:vAlign w:val="center"/>
            <w:hideMark/>
          </w:tcPr>
          <w:p w14:paraId="398CBE6D"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100%</w:t>
            </w:r>
          </w:p>
        </w:tc>
      </w:tr>
      <w:tr w:rsidR="00A3112D" w:rsidRPr="00B74E01" w14:paraId="058AA998" w14:textId="77777777" w:rsidTr="009C2073">
        <w:trPr>
          <w:tblCellSpacing w:w="15" w:type="dxa"/>
        </w:trPr>
        <w:tc>
          <w:tcPr>
            <w:tcW w:w="0" w:type="auto"/>
            <w:vAlign w:val="center"/>
            <w:hideMark/>
          </w:tcPr>
          <w:p w14:paraId="21DAEDFC"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Saldo financiado estimado</w:t>
            </w:r>
          </w:p>
        </w:tc>
        <w:tc>
          <w:tcPr>
            <w:tcW w:w="0" w:type="auto"/>
            <w:vAlign w:val="center"/>
            <w:hideMark/>
          </w:tcPr>
          <w:p w14:paraId="66E8A18E"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R$ 32.269.873,38</w:t>
            </w:r>
          </w:p>
        </w:tc>
      </w:tr>
      <w:tr w:rsidR="00A3112D" w:rsidRPr="00B74E01" w14:paraId="58E929F1" w14:textId="77777777" w:rsidTr="009C2073">
        <w:trPr>
          <w:tblCellSpacing w:w="15" w:type="dxa"/>
        </w:trPr>
        <w:tc>
          <w:tcPr>
            <w:tcW w:w="0" w:type="auto"/>
            <w:vAlign w:val="center"/>
            <w:hideMark/>
          </w:tcPr>
          <w:p w14:paraId="3398DA00"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Linha referencial</w:t>
            </w:r>
          </w:p>
        </w:tc>
        <w:tc>
          <w:tcPr>
            <w:tcW w:w="0" w:type="auto"/>
            <w:vAlign w:val="center"/>
            <w:hideMark/>
          </w:tcPr>
          <w:p w14:paraId="09F00B2B"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FNE Verde / Banco do Nordeste</w:t>
            </w:r>
          </w:p>
        </w:tc>
      </w:tr>
      <w:tr w:rsidR="00A3112D" w:rsidRPr="00B74E01" w14:paraId="24C9E7E8" w14:textId="77777777" w:rsidTr="009C2073">
        <w:trPr>
          <w:tblCellSpacing w:w="15" w:type="dxa"/>
        </w:trPr>
        <w:tc>
          <w:tcPr>
            <w:tcW w:w="0" w:type="auto"/>
            <w:vAlign w:val="center"/>
            <w:hideMark/>
          </w:tcPr>
          <w:p w14:paraId="03FADAAC"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Taxa prudencial de modelagem</w:t>
            </w:r>
          </w:p>
        </w:tc>
        <w:tc>
          <w:tcPr>
            <w:tcW w:w="0" w:type="auto"/>
            <w:vAlign w:val="center"/>
            <w:hideMark/>
          </w:tcPr>
          <w:p w14:paraId="49A39CF9"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10% a.a.</w:t>
            </w:r>
          </w:p>
        </w:tc>
      </w:tr>
      <w:tr w:rsidR="00A3112D" w:rsidRPr="00B74E01" w14:paraId="753B6ABB" w14:textId="77777777" w:rsidTr="009C2073">
        <w:trPr>
          <w:tblCellSpacing w:w="15" w:type="dxa"/>
        </w:trPr>
        <w:tc>
          <w:tcPr>
            <w:tcW w:w="0" w:type="auto"/>
            <w:vAlign w:val="center"/>
            <w:hideMark/>
          </w:tcPr>
          <w:p w14:paraId="70D274E3"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Taxa mensal equivalente</w:t>
            </w:r>
          </w:p>
        </w:tc>
        <w:tc>
          <w:tcPr>
            <w:tcW w:w="0" w:type="auto"/>
            <w:vAlign w:val="center"/>
            <w:hideMark/>
          </w:tcPr>
          <w:p w14:paraId="54DB1EDA"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0,7974% a.m.</w:t>
            </w:r>
          </w:p>
        </w:tc>
      </w:tr>
      <w:tr w:rsidR="00A3112D" w:rsidRPr="00B74E01" w14:paraId="2334D9B5" w14:textId="77777777" w:rsidTr="009C2073">
        <w:trPr>
          <w:tblCellSpacing w:w="15" w:type="dxa"/>
        </w:trPr>
        <w:tc>
          <w:tcPr>
            <w:tcW w:w="0" w:type="auto"/>
            <w:vAlign w:val="center"/>
            <w:hideMark/>
          </w:tcPr>
          <w:p w14:paraId="037A8A76"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Prazo total do financiamento</w:t>
            </w:r>
          </w:p>
        </w:tc>
        <w:tc>
          <w:tcPr>
            <w:tcW w:w="0" w:type="auto"/>
            <w:vAlign w:val="center"/>
            <w:hideMark/>
          </w:tcPr>
          <w:p w14:paraId="0F1E9488"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34 anos</w:t>
            </w:r>
          </w:p>
        </w:tc>
      </w:tr>
      <w:tr w:rsidR="00A3112D" w:rsidRPr="00B74E01" w14:paraId="4E337A3E" w14:textId="77777777" w:rsidTr="009C2073">
        <w:trPr>
          <w:tblCellSpacing w:w="15" w:type="dxa"/>
        </w:trPr>
        <w:tc>
          <w:tcPr>
            <w:tcW w:w="0" w:type="auto"/>
            <w:vAlign w:val="center"/>
            <w:hideMark/>
          </w:tcPr>
          <w:p w14:paraId="3D90C65A"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Carência</w:t>
            </w:r>
          </w:p>
        </w:tc>
        <w:tc>
          <w:tcPr>
            <w:tcW w:w="0" w:type="auto"/>
            <w:vAlign w:val="center"/>
            <w:hideMark/>
          </w:tcPr>
          <w:p w14:paraId="76163D1D"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8 anos</w:t>
            </w:r>
          </w:p>
        </w:tc>
      </w:tr>
      <w:tr w:rsidR="00A3112D" w:rsidRPr="00B74E01" w14:paraId="09C881E9" w14:textId="77777777" w:rsidTr="009C2073">
        <w:trPr>
          <w:tblCellSpacing w:w="15" w:type="dxa"/>
        </w:trPr>
        <w:tc>
          <w:tcPr>
            <w:tcW w:w="0" w:type="auto"/>
            <w:vAlign w:val="center"/>
            <w:hideMark/>
          </w:tcPr>
          <w:p w14:paraId="27E58E57"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Amortização</w:t>
            </w:r>
          </w:p>
        </w:tc>
        <w:tc>
          <w:tcPr>
            <w:tcW w:w="0" w:type="auto"/>
            <w:vAlign w:val="center"/>
            <w:hideMark/>
          </w:tcPr>
          <w:p w14:paraId="2C927613"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26 anos / 312 meses</w:t>
            </w:r>
          </w:p>
        </w:tc>
      </w:tr>
      <w:tr w:rsidR="00A3112D" w:rsidRPr="00B74E01" w14:paraId="5FC0773D" w14:textId="77777777" w:rsidTr="009C2073">
        <w:trPr>
          <w:tblCellSpacing w:w="15" w:type="dxa"/>
        </w:trPr>
        <w:tc>
          <w:tcPr>
            <w:tcW w:w="0" w:type="auto"/>
            <w:vAlign w:val="center"/>
            <w:hideMark/>
          </w:tcPr>
          <w:p w14:paraId="6C2C744D"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Sistema de amortização</w:t>
            </w:r>
          </w:p>
        </w:tc>
        <w:tc>
          <w:tcPr>
            <w:tcW w:w="0" w:type="auto"/>
            <w:vAlign w:val="center"/>
            <w:hideMark/>
          </w:tcPr>
          <w:p w14:paraId="007691B5" w14:textId="77777777" w:rsidR="00A3112D" w:rsidRPr="00B74E01" w:rsidRDefault="00A3112D" w:rsidP="00E04C44">
            <w:pPr>
              <w:spacing w:after="0" w:line="360" w:lineRule="auto"/>
              <w:rPr>
                <w:rFonts w:eastAsia="Times New Roman" w:cs="Arial"/>
                <w:kern w:val="0"/>
                <w:lang w:eastAsia="pt-BR"/>
                <w14:ligatures w14:val="none"/>
              </w:rPr>
            </w:pPr>
            <w:proofErr w:type="spellStart"/>
            <w:r w:rsidRPr="00B74E01">
              <w:rPr>
                <w:rFonts w:eastAsia="Times New Roman" w:cs="Arial"/>
                <w:b/>
                <w:bCs/>
                <w:kern w:val="0"/>
                <w:lang w:eastAsia="pt-BR"/>
                <w14:ligatures w14:val="none"/>
              </w:rPr>
              <w:t>Price</w:t>
            </w:r>
            <w:proofErr w:type="spellEnd"/>
          </w:p>
        </w:tc>
      </w:tr>
    </w:tbl>
    <w:p w14:paraId="75AB389F"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 premissa de financiamento de </w:t>
      </w:r>
      <w:r w:rsidRPr="00B74E01">
        <w:rPr>
          <w:rFonts w:eastAsia="Times New Roman" w:cs="Arial"/>
          <w:b/>
          <w:bCs/>
          <w:kern w:val="0"/>
          <w:lang w:eastAsia="pt-BR"/>
          <w14:ligatures w14:val="none"/>
        </w:rPr>
        <w:t>100%</w:t>
      </w:r>
      <w:r w:rsidRPr="00B74E01">
        <w:rPr>
          <w:rFonts w:eastAsia="Times New Roman" w:cs="Arial"/>
          <w:kern w:val="0"/>
          <w:lang w:eastAsia="pt-BR"/>
          <w14:ligatures w14:val="none"/>
        </w:rPr>
        <w:t xml:space="preserve"> é adotada apenas para fins de modelagem econômico-financeira. Ela permite testar a capacidade do projeto de </w:t>
      </w:r>
      <w:r w:rsidRPr="00B74E01">
        <w:rPr>
          <w:rFonts w:eastAsia="Times New Roman" w:cs="Arial"/>
          <w:kern w:val="0"/>
          <w:lang w:eastAsia="pt-BR"/>
          <w14:ligatures w14:val="none"/>
        </w:rPr>
        <w:lastRenderedPageBreak/>
        <w:t>suportar integralmente o custo financeiro do investimento, sem depender de aporte de capital próprio no cálculo-base.</w:t>
      </w:r>
    </w:p>
    <w:p w14:paraId="44A832C8"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Essa premissa não deve ser interpretada como garantia de aprovação bancária nem como imposição aos licitantes. Cada proponente deverá demonstrar sua própria capacidade financeira e sua estratégia de </w:t>
      </w:r>
      <w:proofErr w:type="spellStart"/>
      <w:r w:rsidRPr="00B74E01">
        <w:rPr>
          <w:rFonts w:eastAsia="Times New Roman" w:cs="Arial"/>
          <w:kern w:val="0"/>
          <w:lang w:eastAsia="pt-BR"/>
          <w14:ligatures w14:val="none"/>
        </w:rPr>
        <w:t>funding</w:t>
      </w:r>
      <w:proofErr w:type="spellEnd"/>
      <w:r w:rsidRPr="00B74E01">
        <w:rPr>
          <w:rFonts w:eastAsia="Times New Roman" w:cs="Arial"/>
          <w:kern w:val="0"/>
          <w:lang w:eastAsia="pt-BR"/>
          <w14:ligatures w14:val="none"/>
        </w:rPr>
        <w:t>.</w:t>
      </w:r>
    </w:p>
    <w:p w14:paraId="39AAD09A" w14:textId="77777777" w:rsidR="00A3112D" w:rsidRPr="00B74E01" w:rsidRDefault="00A3112D" w:rsidP="00E04C44">
      <w:pPr>
        <w:pStyle w:val="Ttulo2"/>
        <w:rPr>
          <w:rFonts w:eastAsia="Times New Roman"/>
          <w:lang w:eastAsia="pt-BR"/>
        </w:rPr>
      </w:pPr>
      <w:bookmarkStart w:id="145" w:name="_Toc230204147"/>
      <w:r w:rsidRPr="00B74E01">
        <w:rPr>
          <w:rFonts w:eastAsia="Times New Roman"/>
          <w:lang w:eastAsia="pt-BR"/>
        </w:rPr>
        <w:t>12.4. Justificativa da taxa prudencial de 10% a.a.</w:t>
      </w:r>
      <w:bookmarkEnd w:id="145"/>
    </w:p>
    <w:p w14:paraId="691165A8"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 taxa de </w:t>
      </w:r>
      <w:r w:rsidRPr="00B74E01">
        <w:rPr>
          <w:rFonts w:eastAsia="Times New Roman" w:cs="Arial"/>
          <w:b/>
          <w:bCs/>
          <w:kern w:val="0"/>
          <w:lang w:eastAsia="pt-BR"/>
          <w14:ligatures w14:val="none"/>
        </w:rPr>
        <w:t>10% a.a.</w:t>
      </w:r>
      <w:r w:rsidRPr="00B74E01">
        <w:rPr>
          <w:rFonts w:eastAsia="Times New Roman" w:cs="Arial"/>
          <w:kern w:val="0"/>
          <w:lang w:eastAsia="pt-BR"/>
          <w14:ligatures w14:val="none"/>
        </w:rPr>
        <w:t xml:space="preserve"> foi adotada como premissa prudencial de modelagem.</w:t>
      </w:r>
    </w:p>
    <w:p w14:paraId="5B75C355"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Ela não representa promessa de taxa final nem condição formal aprovada por instituição financeira. Trata-se de parâmetro de cálculo para estimar o serviço da dívida de forma conservadora, permitindo avaliar se o projeto suporta um custo financeiro relevante.</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020"/>
        <w:gridCol w:w="6041"/>
      </w:tblGrid>
      <w:tr w:rsidR="00A3112D" w:rsidRPr="00B74E01" w14:paraId="1088F9FB" w14:textId="77777777" w:rsidTr="009C2073">
        <w:trPr>
          <w:tblHeader/>
          <w:tblCellSpacing w:w="15" w:type="dxa"/>
        </w:trPr>
        <w:tc>
          <w:tcPr>
            <w:tcW w:w="0" w:type="auto"/>
            <w:vAlign w:val="center"/>
            <w:hideMark/>
          </w:tcPr>
          <w:p w14:paraId="4FD383E5" w14:textId="77777777" w:rsidR="00A3112D" w:rsidRPr="00B74E01" w:rsidRDefault="00A3112D" w:rsidP="00E04C4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Aspecto</w:t>
            </w:r>
          </w:p>
        </w:tc>
        <w:tc>
          <w:tcPr>
            <w:tcW w:w="0" w:type="auto"/>
            <w:vAlign w:val="center"/>
            <w:hideMark/>
          </w:tcPr>
          <w:p w14:paraId="0077D73D" w14:textId="77777777" w:rsidR="00A3112D" w:rsidRPr="00B74E01" w:rsidRDefault="00A3112D" w:rsidP="00E04C4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Tratamento na modelagem</w:t>
            </w:r>
          </w:p>
        </w:tc>
      </w:tr>
      <w:tr w:rsidR="00A3112D" w:rsidRPr="00B74E01" w14:paraId="0BB240EB" w14:textId="77777777" w:rsidTr="009C2073">
        <w:trPr>
          <w:tblCellSpacing w:w="15" w:type="dxa"/>
        </w:trPr>
        <w:tc>
          <w:tcPr>
            <w:tcW w:w="0" w:type="auto"/>
            <w:vAlign w:val="center"/>
            <w:hideMark/>
          </w:tcPr>
          <w:p w14:paraId="71EADC36"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Taxa adotada</w:t>
            </w:r>
          </w:p>
        </w:tc>
        <w:tc>
          <w:tcPr>
            <w:tcW w:w="0" w:type="auto"/>
            <w:vAlign w:val="center"/>
            <w:hideMark/>
          </w:tcPr>
          <w:p w14:paraId="5A0EFAA4"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10% a.a.</w:t>
            </w:r>
          </w:p>
        </w:tc>
      </w:tr>
      <w:tr w:rsidR="00A3112D" w:rsidRPr="00B74E01" w14:paraId="5D5B54BE" w14:textId="77777777" w:rsidTr="009C2073">
        <w:trPr>
          <w:tblCellSpacing w:w="15" w:type="dxa"/>
        </w:trPr>
        <w:tc>
          <w:tcPr>
            <w:tcW w:w="0" w:type="auto"/>
            <w:vAlign w:val="center"/>
            <w:hideMark/>
          </w:tcPr>
          <w:p w14:paraId="50713AF5"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Natureza</w:t>
            </w:r>
          </w:p>
        </w:tc>
        <w:tc>
          <w:tcPr>
            <w:tcW w:w="0" w:type="auto"/>
            <w:vAlign w:val="center"/>
            <w:hideMark/>
          </w:tcPr>
          <w:p w14:paraId="22EF9CB3"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Premissa prudencial</w:t>
            </w:r>
          </w:p>
        </w:tc>
      </w:tr>
      <w:tr w:rsidR="00A3112D" w:rsidRPr="00B74E01" w14:paraId="77F82CC8" w14:textId="77777777" w:rsidTr="009C2073">
        <w:trPr>
          <w:tblCellSpacing w:w="15" w:type="dxa"/>
        </w:trPr>
        <w:tc>
          <w:tcPr>
            <w:tcW w:w="0" w:type="auto"/>
            <w:vAlign w:val="center"/>
            <w:hideMark/>
          </w:tcPr>
          <w:p w14:paraId="13CEF570"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Finalidade</w:t>
            </w:r>
          </w:p>
        </w:tc>
        <w:tc>
          <w:tcPr>
            <w:tcW w:w="0" w:type="auto"/>
            <w:vAlign w:val="center"/>
            <w:hideMark/>
          </w:tcPr>
          <w:p w14:paraId="05AA7932"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Testar capacidade de pagamento da SPE</w:t>
            </w:r>
          </w:p>
        </w:tc>
      </w:tr>
      <w:tr w:rsidR="00A3112D" w:rsidRPr="00B74E01" w14:paraId="23D3CD6F" w14:textId="77777777" w:rsidTr="009C2073">
        <w:trPr>
          <w:tblCellSpacing w:w="15" w:type="dxa"/>
        </w:trPr>
        <w:tc>
          <w:tcPr>
            <w:tcW w:w="0" w:type="auto"/>
            <w:vAlign w:val="center"/>
            <w:hideMark/>
          </w:tcPr>
          <w:p w14:paraId="06DAE8A6"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Condição bancária definitiva</w:t>
            </w:r>
          </w:p>
        </w:tc>
        <w:tc>
          <w:tcPr>
            <w:tcW w:w="0" w:type="auto"/>
            <w:vAlign w:val="center"/>
            <w:hideMark/>
          </w:tcPr>
          <w:p w14:paraId="171BE2AD"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 ser apresentada pelos licitantes ou financiadores</w:t>
            </w:r>
          </w:p>
        </w:tc>
      </w:tr>
      <w:tr w:rsidR="00A3112D" w:rsidRPr="00B74E01" w14:paraId="324D9AEE" w14:textId="77777777" w:rsidTr="009C2073">
        <w:trPr>
          <w:tblCellSpacing w:w="15" w:type="dxa"/>
        </w:trPr>
        <w:tc>
          <w:tcPr>
            <w:tcW w:w="0" w:type="auto"/>
            <w:vAlign w:val="center"/>
            <w:hideMark/>
          </w:tcPr>
          <w:p w14:paraId="0F7CD2D9"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Possibilidade de variação</w:t>
            </w:r>
          </w:p>
        </w:tc>
        <w:tc>
          <w:tcPr>
            <w:tcW w:w="0" w:type="auto"/>
            <w:vAlign w:val="center"/>
            <w:hideMark/>
          </w:tcPr>
          <w:p w14:paraId="42B19929"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Sim, conforme fonte, risco, garantias e estrutura de capital</w:t>
            </w:r>
          </w:p>
        </w:tc>
      </w:tr>
    </w:tbl>
    <w:p w14:paraId="663D588D"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Na fase de licitação, taxas menores poderão melhorar a atratividade do projeto. Taxas maiores deverão ser testadas em análise de sensibilidade, especialmente nos cenários de </w:t>
      </w:r>
      <w:r w:rsidRPr="00B74E01">
        <w:rPr>
          <w:rFonts w:eastAsia="Times New Roman" w:cs="Arial"/>
          <w:b/>
          <w:bCs/>
          <w:kern w:val="0"/>
          <w:lang w:eastAsia="pt-BR"/>
          <w14:ligatures w14:val="none"/>
        </w:rPr>
        <w:t>8%, 10% e 12% a.a.</w:t>
      </w:r>
    </w:p>
    <w:p w14:paraId="3DAE11BD" w14:textId="77777777" w:rsidR="00A3112D" w:rsidRPr="00B74E01" w:rsidRDefault="00A3112D" w:rsidP="00E04C44">
      <w:pPr>
        <w:pStyle w:val="Ttulo2"/>
        <w:rPr>
          <w:rFonts w:eastAsia="Times New Roman"/>
          <w:lang w:eastAsia="pt-BR"/>
        </w:rPr>
      </w:pPr>
      <w:bookmarkStart w:id="146" w:name="_Toc230204148"/>
      <w:r w:rsidRPr="00B74E01">
        <w:rPr>
          <w:rFonts w:eastAsia="Times New Roman"/>
          <w:lang w:eastAsia="pt-BR"/>
        </w:rPr>
        <w:t>12.5. Memória de cálculo da taxa mensal equivalente</w:t>
      </w:r>
      <w:bookmarkEnd w:id="146"/>
    </w:p>
    <w:p w14:paraId="59EB529B"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 taxa anual de </w:t>
      </w:r>
      <w:r w:rsidRPr="00B74E01">
        <w:rPr>
          <w:rFonts w:eastAsia="Times New Roman" w:cs="Arial"/>
          <w:b/>
          <w:bCs/>
          <w:kern w:val="0"/>
          <w:lang w:eastAsia="pt-BR"/>
          <w14:ligatures w14:val="none"/>
        </w:rPr>
        <w:t>10% a.a.</w:t>
      </w:r>
      <w:r w:rsidRPr="00B74E01">
        <w:rPr>
          <w:rFonts w:eastAsia="Times New Roman" w:cs="Arial"/>
          <w:kern w:val="0"/>
          <w:lang w:eastAsia="pt-BR"/>
          <w14:ligatures w14:val="none"/>
        </w:rPr>
        <w:t xml:space="preserve"> foi convertida para taxa mensal equivalente de aproximadamente </w:t>
      </w:r>
      <w:r w:rsidRPr="00B74E01">
        <w:rPr>
          <w:rFonts w:eastAsia="Times New Roman" w:cs="Arial"/>
          <w:b/>
          <w:bCs/>
          <w:kern w:val="0"/>
          <w:lang w:eastAsia="pt-BR"/>
          <w14:ligatures w14:val="none"/>
        </w:rPr>
        <w:t>0,7974% a.m.</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764"/>
        <w:gridCol w:w="1590"/>
      </w:tblGrid>
      <w:tr w:rsidR="00A3112D" w:rsidRPr="00B74E01" w14:paraId="0AC52873" w14:textId="77777777" w:rsidTr="009C2073">
        <w:trPr>
          <w:tblHeader/>
          <w:tblCellSpacing w:w="15" w:type="dxa"/>
        </w:trPr>
        <w:tc>
          <w:tcPr>
            <w:tcW w:w="0" w:type="auto"/>
            <w:vAlign w:val="center"/>
            <w:hideMark/>
          </w:tcPr>
          <w:p w14:paraId="33CCE112" w14:textId="77777777" w:rsidR="00A3112D" w:rsidRPr="00B74E01" w:rsidRDefault="00A3112D" w:rsidP="00E04C4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lastRenderedPageBreak/>
              <w:t>Indicador</w:t>
            </w:r>
          </w:p>
        </w:tc>
        <w:tc>
          <w:tcPr>
            <w:tcW w:w="0" w:type="auto"/>
            <w:vAlign w:val="center"/>
            <w:hideMark/>
          </w:tcPr>
          <w:p w14:paraId="55E3446F" w14:textId="77777777" w:rsidR="00A3112D" w:rsidRPr="00B74E01" w:rsidRDefault="00A3112D" w:rsidP="00E04C4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w:t>
            </w:r>
          </w:p>
        </w:tc>
      </w:tr>
      <w:tr w:rsidR="00A3112D" w:rsidRPr="00B74E01" w14:paraId="7091B788" w14:textId="77777777" w:rsidTr="009C2073">
        <w:trPr>
          <w:tblCellSpacing w:w="15" w:type="dxa"/>
        </w:trPr>
        <w:tc>
          <w:tcPr>
            <w:tcW w:w="0" w:type="auto"/>
            <w:vAlign w:val="center"/>
            <w:hideMark/>
          </w:tcPr>
          <w:p w14:paraId="48AD7A40"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Taxa anual</w:t>
            </w:r>
          </w:p>
        </w:tc>
        <w:tc>
          <w:tcPr>
            <w:tcW w:w="0" w:type="auto"/>
            <w:vAlign w:val="center"/>
            <w:hideMark/>
          </w:tcPr>
          <w:p w14:paraId="4237C51D"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10% a.a.</w:t>
            </w:r>
          </w:p>
        </w:tc>
      </w:tr>
      <w:tr w:rsidR="00A3112D" w:rsidRPr="00B74E01" w14:paraId="68AF8C70" w14:textId="77777777" w:rsidTr="009C2073">
        <w:trPr>
          <w:tblCellSpacing w:w="15" w:type="dxa"/>
        </w:trPr>
        <w:tc>
          <w:tcPr>
            <w:tcW w:w="0" w:type="auto"/>
            <w:vAlign w:val="center"/>
            <w:hideMark/>
          </w:tcPr>
          <w:p w14:paraId="213ADFFC"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Taxa mensal equivalente</w:t>
            </w:r>
          </w:p>
        </w:tc>
        <w:tc>
          <w:tcPr>
            <w:tcW w:w="0" w:type="auto"/>
            <w:vAlign w:val="center"/>
            <w:hideMark/>
          </w:tcPr>
          <w:p w14:paraId="6AAF7886" w14:textId="77777777" w:rsidR="00A3112D" w:rsidRPr="00B74E01" w:rsidRDefault="00A3112D" w:rsidP="00E04C4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0,7974% a.m.</w:t>
            </w:r>
          </w:p>
        </w:tc>
      </w:tr>
    </w:tbl>
    <w:p w14:paraId="52EA3CB2" w14:textId="77777777" w:rsidR="00E00EEF" w:rsidRDefault="00E00EEF" w:rsidP="00E00EEF">
      <w:pPr>
        <w:rPr>
          <w:lang w:eastAsia="pt-BR"/>
        </w:rPr>
      </w:pPr>
    </w:p>
    <w:p w14:paraId="31AB83C6" w14:textId="569CA81D" w:rsidR="00A3112D" w:rsidRPr="00E00EEF" w:rsidRDefault="00A3112D" w:rsidP="00E00EEF">
      <w:pPr>
        <w:ind w:firstLine="708"/>
        <w:rPr>
          <w:b/>
          <w:bCs/>
          <w:lang w:eastAsia="pt-BR"/>
        </w:rPr>
      </w:pPr>
      <w:r w:rsidRPr="00E00EEF">
        <w:rPr>
          <w:b/>
          <w:bCs/>
          <w:lang w:eastAsia="pt-BR"/>
        </w:rPr>
        <w:t>Fórmula</w:t>
      </w:r>
    </w:p>
    <w:p w14:paraId="1BEB09AA" w14:textId="2A1A6CBA"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[(1 + 0,</w:t>
      </w:r>
      <w:proofErr w:type="gramStart"/>
      <w:r w:rsidRPr="00B74E01">
        <w:rPr>
          <w:rFonts w:eastAsia="Times New Roman" w:cs="Arial"/>
          <w:kern w:val="0"/>
          <w:lang w:eastAsia="pt-BR"/>
          <w14:ligatures w14:val="none"/>
        </w:rPr>
        <w:t>10)^</w:t>
      </w:r>
      <w:proofErr w:type="gramEnd"/>
      <w:r w:rsidRPr="00B74E01">
        <w:rPr>
          <w:rFonts w:eastAsia="Times New Roman" w:cs="Arial"/>
          <w:kern w:val="0"/>
          <w:lang w:eastAsia="pt-BR"/>
          <w14:ligatures w14:val="none"/>
        </w:rPr>
        <w:t>{1/12} - 1 = 0,007974]</w:t>
      </w:r>
    </w:p>
    <w:p w14:paraId="22DE8438" w14:textId="26ADC7C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[0,007974 \times 100 = 0,7974% \</w:t>
      </w:r>
      <w:proofErr w:type="spellStart"/>
      <w:proofErr w:type="gramStart"/>
      <w:r w:rsidRPr="00B74E01">
        <w:rPr>
          <w:rFonts w:eastAsia="Times New Roman" w:cs="Arial"/>
          <w:kern w:val="0"/>
          <w:lang w:eastAsia="pt-BR"/>
          <w14:ligatures w14:val="none"/>
        </w:rPr>
        <w:t>text</w:t>
      </w:r>
      <w:proofErr w:type="spellEnd"/>
      <w:r w:rsidRPr="00B74E01">
        <w:rPr>
          <w:rFonts w:eastAsia="Times New Roman" w:cs="Arial"/>
          <w:kern w:val="0"/>
          <w:lang w:eastAsia="pt-BR"/>
          <w14:ligatures w14:val="none"/>
        </w:rPr>
        <w:t>{ a.m.</w:t>
      </w:r>
      <w:proofErr w:type="gramEnd"/>
      <w:r w:rsidRPr="00B74E01">
        <w:rPr>
          <w:rFonts w:eastAsia="Times New Roman" w:cs="Arial"/>
          <w:kern w:val="0"/>
          <w:lang w:eastAsia="pt-BR"/>
          <w14:ligatures w14:val="none"/>
        </w:rPr>
        <w:t>}]</w:t>
      </w:r>
    </w:p>
    <w:p w14:paraId="4D831A6E"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Essa taxa mensal equivalente é utilizada para cálculo do serviço da dívida no sistema </w:t>
      </w:r>
      <w:proofErr w:type="spellStart"/>
      <w:r w:rsidRPr="00B74E01">
        <w:rPr>
          <w:rFonts w:eastAsia="Times New Roman" w:cs="Arial"/>
          <w:kern w:val="0"/>
          <w:lang w:eastAsia="pt-BR"/>
          <w14:ligatures w14:val="none"/>
        </w:rPr>
        <w:t>Price</w:t>
      </w:r>
      <w:proofErr w:type="spellEnd"/>
      <w:r w:rsidRPr="00B74E01">
        <w:rPr>
          <w:rFonts w:eastAsia="Times New Roman" w:cs="Arial"/>
          <w:kern w:val="0"/>
          <w:lang w:eastAsia="pt-BR"/>
          <w14:ligatures w14:val="none"/>
        </w:rPr>
        <w:t>.</w:t>
      </w:r>
    </w:p>
    <w:p w14:paraId="5CC3876F" w14:textId="77777777" w:rsidR="00A3112D" w:rsidRPr="00B74E01" w:rsidRDefault="00A3112D" w:rsidP="00E04C44">
      <w:pPr>
        <w:pStyle w:val="Ttulo2"/>
        <w:rPr>
          <w:rFonts w:eastAsia="Times New Roman"/>
          <w:lang w:eastAsia="pt-BR"/>
        </w:rPr>
      </w:pPr>
      <w:bookmarkStart w:id="147" w:name="_Toc230204149"/>
      <w:r w:rsidRPr="00B74E01">
        <w:rPr>
          <w:rFonts w:eastAsia="Times New Roman"/>
          <w:lang w:eastAsia="pt-BR"/>
        </w:rPr>
        <w:t>12.6. Serviço da dívida durante a carência</w:t>
      </w:r>
      <w:bookmarkEnd w:id="147"/>
    </w:p>
    <w:p w14:paraId="542F9E3E"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Durante o período de carência, considera-se pagamento apenas dos juros incidentes sobre o saldo financiado.</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084"/>
        <w:gridCol w:w="2004"/>
      </w:tblGrid>
      <w:tr w:rsidR="00A3112D" w:rsidRPr="00B74E01" w14:paraId="74222DDF" w14:textId="77777777" w:rsidTr="009C2073">
        <w:trPr>
          <w:tblHeader/>
          <w:tblCellSpacing w:w="15" w:type="dxa"/>
        </w:trPr>
        <w:tc>
          <w:tcPr>
            <w:tcW w:w="0" w:type="auto"/>
            <w:vAlign w:val="center"/>
            <w:hideMark/>
          </w:tcPr>
          <w:p w14:paraId="41D68019" w14:textId="77777777" w:rsidR="00A3112D" w:rsidRPr="00B74E01" w:rsidRDefault="00A3112D" w:rsidP="00E362A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Item</w:t>
            </w:r>
          </w:p>
        </w:tc>
        <w:tc>
          <w:tcPr>
            <w:tcW w:w="0" w:type="auto"/>
            <w:vAlign w:val="center"/>
            <w:hideMark/>
          </w:tcPr>
          <w:p w14:paraId="5CFD152C" w14:textId="77777777" w:rsidR="00A3112D" w:rsidRPr="00B74E01" w:rsidRDefault="00A3112D" w:rsidP="00E362A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w:t>
            </w:r>
          </w:p>
        </w:tc>
      </w:tr>
      <w:tr w:rsidR="00A3112D" w:rsidRPr="00B74E01" w14:paraId="48156ACA" w14:textId="77777777" w:rsidTr="009C2073">
        <w:trPr>
          <w:tblCellSpacing w:w="15" w:type="dxa"/>
        </w:trPr>
        <w:tc>
          <w:tcPr>
            <w:tcW w:w="0" w:type="auto"/>
            <w:vAlign w:val="center"/>
            <w:hideMark/>
          </w:tcPr>
          <w:p w14:paraId="5E46ABA3"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Saldo financiado estimado</w:t>
            </w:r>
          </w:p>
        </w:tc>
        <w:tc>
          <w:tcPr>
            <w:tcW w:w="0" w:type="auto"/>
            <w:vAlign w:val="center"/>
            <w:hideMark/>
          </w:tcPr>
          <w:p w14:paraId="58336E25"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R$ 32.269.873,38</w:t>
            </w:r>
          </w:p>
        </w:tc>
      </w:tr>
      <w:tr w:rsidR="00A3112D" w:rsidRPr="00B74E01" w14:paraId="34F51DFB" w14:textId="77777777" w:rsidTr="009C2073">
        <w:trPr>
          <w:tblCellSpacing w:w="15" w:type="dxa"/>
        </w:trPr>
        <w:tc>
          <w:tcPr>
            <w:tcW w:w="0" w:type="auto"/>
            <w:vAlign w:val="center"/>
            <w:hideMark/>
          </w:tcPr>
          <w:p w14:paraId="78AEB00E"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Taxa mensal equivalente</w:t>
            </w:r>
          </w:p>
        </w:tc>
        <w:tc>
          <w:tcPr>
            <w:tcW w:w="0" w:type="auto"/>
            <w:vAlign w:val="center"/>
            <w:hideMark/>
          </w:tcPr>
          <w:p w14:paraId="60A4FFC5"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0,7974% a.m.</w:t>
            </w:r>
          </w:p>
        </w:tc>
      </w:tr>
      <w:tr w:rsidR="00A3112D" w:rsidRPr="00B74E01" w14:paraId="6242D23F" w14:textId="77777777" w:rsidTr="009C2073">
        <w:trPr>
          <w:tblCellSpacing w:w="15" w:type="dxa"/>
        </w:trPr>
        <w:tc>
          <w:tcPr>
            <w:tcW w:w="0" w:type="auto"/>
            <w:vAlign w:val="center"/>
            <w:hideMark/>
          </w:tcPr>
          <w:p w14:paraId="3A8BF1DD"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Serviço mensal da dívida na carência</w:t>
            </w:r>
          </w:p>
        </w:tc>
        <w:tc>
          <w:tcPr>
            <w:tcW w:w="0" w:type="auto"/>
            <w:vAlign w:val="center"/>
            <w:hideMark/>
          </w:tcPr>
          <w:p w14:paraId="25CA704C"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R$ 257.324,50</w:t>
            </w:r>
          </w:p>
        </w:tc>
      </w:tr>
      <w:tr w:rsidR="00A3112D" w:rsidRPr="00B74E01" w14:paraId="7790FD3D" w14:textId="77777777" w:rsidTr="009C2073">
        <w:trPr>
          <w:tblCellSpacing w:w="15" w:type="dxa"/>
        </w:trPr>
        <w:tc>
          <w:tcPr>
            <w:tcW w:w="0" w:type="auto"/>
            <w:vAlign w:val="center"/>
            <w:hideMark/>
          </w:tcPr>
          <w:p w14:paraId="3888B565"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Serviço anual da dívida na carência</w:t>
            </w:r>
          </w:p>
        </w:tc>
        <w:tc>
          <w:tcPr>
            <w:tcW w:w="0" w:type="auto"/>
            <w:vAlign w:val="center"/>
            <w:hideMark/>
          </w:tcPr>
          <w:p w14:paraId="6FA3BCDA"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R$ 3.087.894,00</w:t>
            </w:r>
          </w:p>
        </w:tc>
      </w:tr>
    </w:tbl>
    <w:p w14:paraId="5884AB83" w14:textId="77777777" w:rsidR="00E00EEF" w:rsidRDefault="00E00EEF" w:rsidP="00E00EEF">
      <w:pPr>
        <w:rPr>
          <w:lang w:eastAsia="pt-BR"/>
        </w:rPr>
      </w:pPr>
    </w:p>
    <w:p w14:paraId="10500BB8" w14:textId="75B915C2" w:rsidR="00A3112D" w:rsidRPr="00E00EEF" w:rsidRDefault="00A3112D" w:rsidP="00E00EEF">
      <w:pPr>
        <w:ind w:firstLine="708"/>
        <w:rPr>
          <w:b/>
          <w:bCs/>
          <w:lang w:eastAsia="pt-BR"/>
        </w:rPr>
      </w:pPr>
      <w:r w:rsidRPr="00E00EEF">
        <w:rPr>
          <w:b/>
          <w:bCs/>
          <w:lang w:eastAsia="pt-BR"/>
        </w:rPr>
        <w:t>Memória de cálculo</w:t>
      </w:r>
    </w:p>
    <w:p w14:paraId="69DE3D60" w14:textId="70DB9784"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[R$ 32.269.873,38 \times 0,7974% = R$ 257.324,50/mês]</w:t>
      </w:r>
    </w:p>
    <w:p w14:paraId="0DE57A2C"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Durante a carência, a SPE ainda não amortiza o principal, pagando apenas o custo financeiro. Essa estrutura reduz a pressão de caixa nos primeiros anos e é compatível com projetos de infraestrutura, em que o retorno operacional se consolida gradualmente.</w:t>
      </w:r>
    </w:p>
    <w:p w14:paraId="378CABD9" w14:textId="60C202E2" w:rsidR="00A3112D" w:rsidRDefault="00A3112D" w:rsidP="00B74E01">
      <w:pPr>
        <w:spacing w:after="0" w:line="360" w:lineRule="auto"/>
        <w:ind w:firstLine="709"/>
        <w:jc w:val="both"/>
        <w:rPr>
          <w:rFonts w:eastAsia="Times New Roman" w:cs="Arial"/>
          <w:kern w:val="0"/>
          <w:lang w:eastAsia="pt-BR"/>
          <w14:ligatures w14:val="none"/>
        </w:rPr>
      </w:pPr>
    </w:p>
    <w:p w14:paraId="1F937486" w14:textId="77777777" w:rsidR="00E362A0" w:rsidRPr="00B74E01" w:rsidRDefault="00E362A0" w:rsidP="00B74E01">
      <w:pPr>
        <w:spacing w:after="0" w:line="360" w:lineRule="auto"/>
        <w:ind w:firstLine="709"/>
        <w:jc w:val="both"/>
        <w:rPr>
          <w:rFonts w:eastAsia="Times New Roman" w:cs="Arial"/>
          <w:kern w:val="0"/>
          <w:lang w:eastAsia="pt-BR"/>
          <w14:ligatures w14:val="none"/>
        </w:rPr>
      </w:pPr>
    </w:p>
    <w:p w14:paraId="2AA970B6" w14:textId="77777777" w:rsidR="00A3112D" w:rsidRPr="00B74E01" w:rsidRDefault="00A3112D" w:rsidP="00E362A0">
      <w:pPr>
        <w:pStyle w:val="Ttulo2"/>
        <w:rPr>
          <w:rFonts w:eastAsia="Times New Roman"/>
          <w:lang w:eastAsia="pt-BR"/>
        </w:rPr>
      </w:pPr>
      <w:bookmarkStart w:id="148" w:name="_Toc230204150"/>
      <w:r w:rsidRPr="00B74E01">
        <w:rPr>
          <w:rFonts w:eastAsia="Times New Roman"/>
          <w:lang w:eastAsia="pt-BR"/>
        </w:rPr>
        <w:lastRenderedPageBreak/>
        <w:t>12.7. Serviço da dívida após a carência</w:t>
      </w:r>
      <w:bookmarkEnd w:id="148"/>
    </w:p>
    <w:p w14:paraId="4155B788"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Após a carência, considera-se amortização pelo sistema </w:t>
      </w:r>
      <w:proofErr w:type="spellStart"/>
      <w:r w:rsidRPr="00B74E01">
        <w:rPr>
          <w:rFonts w:eastAsia="Times New Roman" w:cs="Arial"/>
          <w:kern w:val="0"/>
          <w:lang w:eastAsia="pt-BR"/>
          <w14:ligatures w14:val="none"/>
        </w:rPr>
        <w:t>Price</w:t>
      </w:r>
      <w:proofErr w:type="spellEnd"/>
      <w:r w:rsidRPr="00B74E01">
        <w:rPr>
          <w:rFonts w:eastAsia="Times New Roman" w:cs="Arial"/>
          <w:kern w:val="0"/>
          <w:lang w:eastAsia="pt-BR"/>
          <w14:ligatures w14:val="none"/>
        </w:rPr>
        <w:t xml:space="preserve">, com prazo de </w:t>
      </w:r>
      <w:r w:rsidRPr="00B74E01">
        <w:rPr>
          <w:rFonts w:eastAsia="Times New Roman" w:cs="Arial"/>
          <w:b/>
          <w:bCs/>
          <w:kern w:val="0"/>
          <w:lang w:eastAsia="pt-BR"/>
          <w14:ligatures w14:val="none"/>
        </w:rPr>
        <w:t>26 anos</w:t>
      </w:r>
      <w:r w:rsidRPr="00B74E01">
        <w:rPr>
          <w:rFonts w:eastAsia="Times New Roman" w:cs="Arial"/>
          <w:kern w:val="0"/>
          <w:lang w:eastAsia="pt-BR"/>
          <w14:ligatures w14:val="none"/>
        </w:rPr>
        <w:t xml:space="preserve">, equivalente a </w:t>
      </w:r>
      <w:r w:rsidRPr="00B74E01">
        <w:rPr>
          <w:rFonts w:eastAsia="Times New Roman" w:cs="Arial"/>
          <w:b/>
          <w:bCs/>
          <w:kern w:val="0"/>
          <w:lang w:eastAsia="pt-BR"/>
          <w14:ligatures w14:val="none"/>
        </w:rPr>
        <w:t>312 meses</w:t>
      </w:r>
      <w:r w:rsidRPr="00B74E01">
        <w:rPr>
          <w:rFonts w:eastAsia="Times New Roman" w:cs="Arial"/>
          <w:kern w:val="0"/>
          <w:lang w:eastAsia="pt-BR"/>
          <w14:ligatures w14:val="none"/>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911"/>
        <w:gridCol w:w="2004"/>
      </w:tblGrid>
      <w:tr w:rsidR="00A3112D" w:rsidRPr="00B74E01" w14:paraId="57129148" w14:textId="77777777" w:rsidTr="009C2073">
        <w:trPr>
          <w:tblHeade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106EA5D7" w14:textId="77777777" w:rsidR="00A3112D" w:rsidRPr="00B74E01" w:rsidRDefault="00A3112D" w:rsidP="00E362A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Item</w:t>
            </w:r>
          </w:p>
        </w:tc>
        <w:tc>
          <w:tcPr>
            <w:tcW w:w="0" w:type="auto"/>
            <w:tcBorders>
              <w:top w:val="single" w:sz="4" w:space="0" w:color="auto"/>
              <w:left w:val="single" w:sz="4" w:space="0" w:color="auto"/>
              <w:bottom w:val="single" w:sz="4" w:space="0" w:color="auto"/>
              <w:right w:val="single" w:sz="4" w:space="0" w:color="auto"/>
            </w:tcBorders>
            <w:vAlign w:val="center"/>
            <w:hideMark/>
          </w:tcPr>
          <w:p w14:paraId="7FDCDCE1" w14:textId="77777777" w:rsidR="00A3112D" w:rsidRPr="00B74E01" w:rsidRDefault="00A3112D" w:rsidP="00E362A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w:t>
            </w:r>
          </w:p>
        </w:tc>
      </w:tr>
      <w:tr w:rsidR="00A3112D" w:rsidRPr="00B74E01" w14:paraId="2C9488C0" w14:textId="77777777" w:rsidTr="009C2073">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7E5C6692"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Saldo financiado estimado</w:t>
            </w:r>
          </w:p>
        </w:tc>
        <w:tc>
          <w:tcPr>
            <w:tcW w:w="0" w:type="auto"/>
            <w:tcBorders>
              <w:top w:val="single" w:sz="4" w:space="0" w:color="auto"/>
              <w:left w:val="single" w:sz="4" w:space="0" w:color="auto"/>
              <w:bottom w:val="single" w:sz="4" w:space="0" w:color="auto"/>
              <w:right w:val="single" w:sz="4" w:space="0" w:color="auto"/>
            </w:tcBorders>
            <w:vAlign w:val="center"/>
            <w:hideMark/>
          </w:tcPr>
          <w:p w14:paraId="39D7F310"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R$ 32.269.873,38</w:t>
            </w:r>
          </w:p>
        </w:tc>
      </w:tr>
      <w:tr w:rsidR="00A3112D" w:rsidRPr="00B74E01" w14:paraId="6A441A89" w14:textId="77777777" w:rsidTr="009C2073">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594F02B8"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Taxa mensal equivalente</w:t>
            </w:r>
          </w:p>
        </w:tc>
        <w:tc>
          <w:tcPr>
            <w:tcW w:w="0" w:type="auto"/>
            <w:tcBorders>
              <w:top w:val="single" w:sz="4" w:space="0" w:color="auto"/>
              <w:left w:val="single" w:sz="4" w:space="0" w:color="auto"/>
              <w:bottom w:val="single" w:sz="4" w:space="0" w:color="auto"/>
              <w:right w:val="single" w:sz="4" w:space="0" w:color="auto"/>
            </w:tcBorders>
            <w:vAlign w:val="center"/>
            <w:hideMark/>
          </w:tcPr>
          <w:p w14:paraId="472825EF"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0,7974% a.m.</w:t>
            </w:r>
          </w:p>
        </w:tc>
      </w:tr>
      <w:tr w:rsidR="00A3112D" w:rsidRPr="00B74E01" w14:paraId="32C3E2E1" w14:textId="77777777" w:rsidTr="009C2073">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51BAFC5E"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Prazo de amortização</w:t>
            </w:r>
          </w:p>
        </w:tc>
        <w:tc>
          <w:tcPr>
            <w:tcW w:w="0" w:type="auto"/>
            <w:tcBorders>
              <w:top w:val="single" w:sz="4" w:space="0" w:color="auto"/>
              <w:left w:val="single" w:sz="4" w:space="0" w:color="auto"/>
              <w:bottom w:val="single" w:sz="4" w:space="0" w:color="auto"/>
              <w:right w:val="single" w:sz="4" w:space="0" w:color="auto"/>
            </w:tcBorders>
            <w:vAlign w:val="center"/>
            <w:hideMark/>
          </w:tcPr>
          <w:p w14:paraId="0D7092FE"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312 meses</w:t>
            </w:r>
          </w:p>
        </w:tc>
      </w:tr>
      <w:tr w:rsidR="00A3112D" w:rsidRPr="00B74E01" w14:paraId="040E9989" w14:textId="77777777" w:rsidTr="009C2073">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1FE3ABF4"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Sistema</w:t>
            </w:r>
          </w:p>
        </w:tc>
        <w:tc>
          <w:tcPr>
            <w:tcW w:w="0" w:type="auto"/>
            <w:tcBorders>
              <w:top w:val="single" w:sz="4" w:space="0" w:color="auto"/>
              <w:left w:val="single" w:sz="4" w:space="0" w:color="auto"/>
              <w:bottom w:val="single" w:sz="4" w:space="0" w:color="auto"/>
              <w:right w:val="single" w:sz="4" w:space="0" w:color="auto"/>
            </w:tcBorders>
            <w:vAlign w:val="center"/>
            <w:hideMark/>
          </w:tcPr>
          <w:p w14:paraId="7C487DCA" w14:textId="77777777" w:rsidR="00A3112D" w:rsidRPr="00B74E01" w:rsidRDefault="00A3112D" w:rsidP="00E362A0">
            <w:pPr>
              <w:spacing w:after="0" w:line="360" w:lineRule="auto"/>
              <w:rPr>
                <w:rFonts w:eastAsia="Times New Roman" w:cs="Arial"/>
                <w:kern w:val="0"/>
                <w:lang w:eastAsia="pt-BR"/>
                <w14:ligatures w14:val="none"/>
              </w:rPr>
            </w:pPr>
            <w:proofErr w:type="spellStart"/>
            <w:r w:rsidRPr="00B74E01">
              <w:rPr>
                <w:rFonts w:eastAsia="Times New Roman" w:cs="Arial"/>
                <w:b/>
                <w:bCs/>
                <w:kern w:val="0"/>
                <w:lang w:eastAsia="pt-BR"/>
                <w14:ligatures w14:val="none"/>
              </w:rPr>
              <w:t>Price</w:t>
            </w:r>
            <w:proofErr w:type="spellEnd"/>
          </w:p>
        </w:tc>
      </w:tr>
      <w:tr w:rsidR="00A3112D" w:rsidRPr="00B74E01" w14:paraId="0E469F56" w14:textId="77777777" w:rsidTr="009C2073">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3F24C6A8"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Parcela mensal estimada</w:t>
            </w:r>
          </w:p>
        </w:tc>
        <w:tc>
          <w:tcPr>
            <w:tcW w:w="0" w:type="auto"/>
            <w:tcBorders>
              <w:top w:val="single" w:sz="4" w:space="0" w:color="auto"/>
              <w:left w:val="single" w:sz="4" w:space="0" w:color="auto"/>
              <w:bottom w:val="single" w:sz="4" w:space="0" w:color="auto"/>
              <w:right w:val="single" w:sz="4" w:space="0" w:color="auto"/>
            </w:tcBorders>
            <w:vAlign w:val="center"/>
            <w:hideMark/>
          </w:tcPr>
          <w:p w14:paraId="00E5E31E"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R$ 280.892,95</w:t>
            </w:r>
          </w:p>
        </w:tc>
      </w:tr>
      <w:tr w:rsidR="00A3112D" w:rsidRPr="00B74E01" w14:paraId="33C8CB7E" w14:textId="77777777" w:rsidTr="009C2073">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465B6AE1"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Parcela anual estimada</w:t>
            </w:r>
          </w:p>
        </w:tc>
        <w:tc>
          <w:tcPr>
            <w:tcW w:w="0" w:type="auto"/>
            <w:tcBorders>
              <w:top w:val="single" w:sz="4" w:space="0" w:color="auto"/>
              <w:left w:val="single" w:sz="4" w:space="0" w:color="auto"/>
              <w:bottom w:val="single" w:sz="4" w:space="0" w:color="auto"/>
              <w:right w:val="single" w:sz="4" w:space="0" w:color="auto"/>
            </w:tcBorders>
            <w:vAlign w:val="center"/>
            <w:hideMark/>
          </w:tcPr>
          <w:p w14:paraId="3C200767"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R$ 3.370.715,40</w:t>
            </w:r>
          </w:p>
        </w:tc>
      </w:tr>
    </w:tbl>
    <w:p w14:paraId="393368C8"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parcela após a carência incorpora juros e amortização do principal, representando o serviço regular da dívida durante o período de amortização.</w:t>
      </w:r>
    </w:p>
    <w:p w14:paraId="4772492A" w14:textId="77777777" w:rsidR="00A3112D" w:rsidRPr="00B74E01" w:rsidRDefault="00A3112D" w:rsidP="00E362A0">
      <w:pPr>
        <w:pStyle w:val="Ttulo2"/>
        <w:rPr>
          <w:rFonts w:eastAsia="Times New Roman"/>
          <w:lang w:eastAsia="pt-BR"/>
        </w:rPr>
      </w:pPr>
      <w:bookmarkStart w:id="149" w:name="_Toc230204151"/>
      <w:r w:rsidRPr="00B74E01">
        <w:rPr>
          <w:rFonts w:eastAsia="Times New Roman"/>
          <w:lang w:eastAsia="pt-BR"/>
        </w:rPr>
        <w:t>12.8. Comparação entre carência e amortização</w:t>
      </w:r>
      <w:bookmarkEnd w:id="149"/>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621"/>
        <w:gridCol w:w="2199"/>
        <w:gridCol w:w="2023"/>
        <w:gridCol w:w="2218"/>
      </w:tblGrid>
      <w:tr w:rsidR="00A3112D" w:rsidRPr="00B74E01" w14:paraId="18ECEB97" w14:textId="77777777" w:rsidTr="009C2073">
        <w:trPr>
          <w:tblHeader/>
          <w:tblCellSpacing w:w="15" w:type="dxa"/>
        </w:trPr>
        <w:tc>
          <w:tcPr>
            <w:tcW w:w="0" w:type="auto"/>
            <w:vAlign w:val="center"/>
            <w:hideMark/>
          </w:tcPr>
          <w:p w14:paraId="066DB869" w14:textId="77777777" w:rsidR="00A3112D" w:rsidRPr="00B74E01" w:rsidRDefault="00A3112D" w:rsidP="00E362A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Fase do financiamento</w:t>
            </w:r>
          </w:p>
        </w:tc>
        <w:tc>
          <w:tcPr>
            <w:tcW w:w="0" w:type="auto"/>
            <w:vAlign w:val="center"/>
            <w:hideMark/>
          </w:tcPr>
          <w:p w14:paraId="3A485A0E" w14:textId="77777777" w:rsidR="00A3112D" w:rsidRPr="00B74E01" w:rsidRDefault="00A3112D" w:rsidP="00E362A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Pagamento mensal</w:t>
            </w:r>
          </w:p>
        </w:tc>
        <w:tc>
          <w:tcPr>
            <w:tcW w:w="0" w:type="auto"/>
            <w:vAlign w:val="center"/>
            <w:hideMark/>
          </w:tcPr>
          <w:p w14:paraId="04B390A0" w14:textId="77777777" w:rsidR="00A3112D" w:rsidRPr="00B74E01" w:rsidRDefault="00A3112D" w:rsidP="00E362A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Pagamento anual</w:t>
            </w:r>
          </w:p>
        </w:tc>
        <w:tc>
          <w:tcPr>
            <w:tcW w:w="0" w:type="auto"/>
            <w:vAlign w:val="center"/>
            <w:hideMark/>
          </w:tcPr>
          <w:p w14:paraId="77BFECD0" w14:textId="77777777" w:rsidR="00A3112D" w:rsidRPr="00B74E01" w:rsidRDefault="00A3112D" w:rsidP="00E362A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Característica</w:t>
            </w:r>
          </w:p>
        </w:tc>
      </w:tr>
      <w:tr w:rsidR="00A3112D" w:rsidRPr="00B74E01" w14:paraId="2FBB786D" w14:textId="77777777" w:rsidTr="009C2073">
        <w:trPr>
          <w:tblCellSpacing w:w="15" w:type="dxa"/>
        </w:trPr>
        <w:tc>
          <w:tcPr>
            <w:tcW w:w="0" w:type="auto"/>
            <w:vAlign w:val="center"/>
            <w:hideMark/>
          </w:tcPr>
          <w:p w14:paraId="5416B56E"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Carência</w:t>
            </w:r>
          </w:p>
        </w:tc>
        <w:tc>
          <w:tcPr>
            <w:tcW w:w="0" w:type="auto"/>
            <w:vAlign w:val="center"/>
            <w:hideMark/>
          </w:tcPr>
          <w:p w14:paraId="063B11EF"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R$ 257.324,50</w:t>
            </w:r>
          </w:p>
        </w:tc>
        <w:tc>
          <w:tcPr>
            <w:tcW w:w="0" w:type="auto"/>
            <w:vAlign w:val="center"/>
            <w:hideMark/>
          </w:tcPr>
          <w:p w14:paraId="232BB08E"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R$ 3.087.894,00</w:t>
            </w:r>
          </w:p>
        </w:tc>
        <w:tc>
          <w:tcPr>
            <w:tcW w:w="0" w:type="auto"/>
            <w:vAlign w:val="center"/>
            <w:hideMark/>
          </w:tcPr>
          <w:p w14:paraId="5E20E9F0"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Pagamento de juros</w:t>
            </w:r>
          </w:p>
        </w:tc>
      </w:tr>
      <w:tr w:rsidR="00A3112D" w:rsidRPr="00B74E01" w14:paraId="451FBA7E" w14:textId="77777777" w:rsidTr="009C2073">
        <w:trPr>
          <w:tblCellSpacing w:w="15" w:type="dxa"/>
        </w:trPr>
        <w:tc>
          <w:tcPr>
            <w:tcW w:w="0" w:type="auto"/>
            <w:vAlign w:val="center"/>
            <w:hideMark/>
          </w:tcPr>
          <w:p w14:paraId="4607B814"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Amortização</w:t>
            </w:r>
          </w:p>
        </w:tc>
        <w:tc>
          <w:tcPr>
            <w:tcW w:w="0" w:type="auto"/>
            <w:vAlign w:val="center"/>
            <w:hideMark/>
          </w:tcPr>
          <w:p w14:paraId="312D9FDF"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R$ 280.892,95</w:t>
            </w:r>
          </w:p>
        </w:tc>
        <w:tc>
          <w:tcPr>
            <w:tcW w:w="0" w:type="auto"/>
            <w:vAlign w:val="center"/>
            <w:hideMark/>
          </w:tcPr>
          <w:p w14:paraId="3E5B083A"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R$ 3.370.715,40</w:t>
            </w:r>
          </w:p>
        </w:tc>
        <w:tc>
          <w:tcPr>
            <w:tcW w:w="0" w:type="auto"/>
            <w:vAlign w:val="center"/>
            <w:hideMark/>
          </w:tcPr>
          <w:p w14:paraId="45576738"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Juros + amortização</w:t>
            </w:r>
          </w:p>
        </w:tc>
      </w:tr>
    </w:tbl>
    <w:p w14:paraId="6D4243DF"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diferença entre a fase de carência e a fase de amortização é relativamente moderada, o que ajuda a estabilidade do fluxo financeiro da SPE.</w:t>
      </w:r>
    </w:p>
    <w:p w14:paraId="2232A286"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estrutura de longo prazo é importante porque evita concentração excessiva de amortização nos primeiros anos, quando a operação ainda pode estar consolidando eficiência, receitas acessórias, mercado de subprodutos e certificações ambientais.</w:t>
      </w:r>
    </w:p>
    <w:p w14:paraId="0B91A05C" w14:textId="5A32A972" w:rsidR="00A3112D" w:rsidRPr="00B74E01" w:rsidRDefault="00A3112D" w:rsidP="00B74E01">
      <w:pPr>
        <w:spacing w:after="0" w:line="360" w:lineRule="auto"/>
        <w:ind w:firstLine="709"/>
        <w:jc w:val="both"/>
        <w:rPr>
          <w:rFonts w:eastAsia="Times New Roman" w:cs="Arial"/>
          <w:kern w:val="0"/>
          <w:lang w:eastAsia="pt-BR"/>
          <w14:ligatures w14:val="none"/>
        </w:rPr>
      </w:pPr>
    </w:p>
    <w:p w14:paraId="6CC1AD4E" w14:textId="77777777" w:rsidR="00A3112D" w:rsidRPr="00B74E01" w:rsidRDefault="00A3112D" w:rsidP="00E362A0">
      <w:pPr>
        <w:pStyle w:val="Ttulo2"/>
        <w:rPr>
          <w:rFonts w:eastAsia="Times New Roman"/>
          <w:lang w:eastAsia="pt-BR"/>
        </w:rPr>
      </w:pPr>
      <w:bookmarkStart w:id="150" w:name="_Toc230204152"/>
      <w:r w:rsidRPr="00B74E01">
        <w:rPr>
          <w:rFonts w:eastAsia="Times New Roman"/>
          <w:lang w:eastAsia="pt-BR"/>
        </w:rPr>
        <w:lastRenderedPageBreak/>
        <w:t>12.9. Cobertura da dívida sem receitas acessórias</w:t>
      </w:r>
      <w:bookmarkEnd w:id="150"/>
    </w:p>
    <w:p w14:paraId="5D2278E7"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 primeira leitura de </w:t>
      </w:r>
      <w:proofErr w:type="spellStart"/>
      <w:r w:rsidRPr="00B74E01">
        <w:rPr>
          <w:rFonts w:eastAsia="Times New Roman" w:cs="Arial"/>
          <w:kern w:val="0"/>
          <w:lang w:eastAsia="pt-BR"/>
          <w14:ligatures w14:val="none"/>
        </w:rPr>
        <w:t>bancabilidade</w:t>
      </w:r>
      <w:proofErr w:type="spellEnd"/>
      <w:r w:rsidRPr="00B74E01">
        <w:rPr>
          <w:rFonts w:eastAsia="Times New Roman" w:cs="Arial"/>
          <w:kern w:val="0"/>
          <w:lang w:eastAsia="pt-BR"/>
          <w14:ligatures w14:val="none"/>
        </w:rPr>
        <w:t xml:space="preserve"> deve considerar apenas as receitas principais da PPP, sem depender das receitas acessórias.</w:t>
      </w:r>
    </w:p>
    <w:p w14:paraId="0E852198"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No cenário-base de destinação a </w:t>
      </w:r>
      <w:r w:rsidRPr="00B74E01">
        <w:rPr>
          <w:rFonts w:eastAsia="Times New Roman" w:cs="Arial"/>
          <w:b/>
          <w:bCs/>
          <w:kern w:val="0"/>
          <w:lang w:eastAsia="pt-BR"/>
          <w14:ligatures w14:val="none"/>
        </w:rPr>
        <w:t>R$ 95/t</w:t>
      </w:r>
      <w:r w:rsidRPr="00B74E01">
        <w:rPr>
          <w:rFonts w:eastAsia="Times New Roman" w:cs="Arial"/>
          <w:kern w:val="0"/>
          <w:lang w:eastAsia="pt-BR"/>
          <w14:ligatures w14:val="none"/>
        </w:rPr>
        <w:t>, a cobertura da dívida é a seguinte:</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688"/>
        <w:gridCol w:w="3385"/>
        <w:gridCol w:w="1755"/>
        <w:gridCol w:w="1457"/>
        <w:gridCol w:w="776"/>
      </w:tblGrid>
      <w:tr w:rsidR="00A3112D" w:rsidRPr="00B74E01" w14:paraId="68B3D6F3" w14:textId="77777777" w:rsidTr="009C2073">
        <w:trPr>
          <w:tblHeader/>
          <w:tblCellSpacing w:w="15" w:type="dxa"/>
        </w:trPr>
        <w:tc>
          <w:tcPr>
            <w:tcW w:w="0" w:type="auto"/>
            <w:vAlign w:val="center"/>
            <w:hideMark/>
          </w:tcPr>
          <w:p w14:paraId="2466785F" w14:textId="77777777" w:rsidR="00A3112D" w:rsidRPr="00B74E01" w:rsidRDefault="00A3112D" w:rsidP="00E362A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Fase</w:t>
            </w:r>
          </w:p>
        </w:tc>
        <w:tc>
          <w:tcPr>
            <w:tcW w:w="0" w:type="auto"/>
            <w:vAlign w:val="center"/>
            <w:hideMark/>
          </w:tcPr>
          <w:p w14:paraId="0A24982D" w14:textId="77777777" w:rsidR="00A3112D" w:rsidRPr="00B74E01" w:rsidRDefault="00A3112D" w:rsidP="00E362A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EBITDA mensal sem receitas acessórias</w:t>
            </w:r>
          </w:p>
        </w:tc>
        <w:tc>
          <w:tcPr>
            <w:tcW w:w="0" w:type="auto"/>
            <w:vAlign w:val="center"/>
            <w:hideMark/>
          </w:tcPr>
          <w:p w14:paraId="38EEAAA6" w14:textId="77777777" w:rsidR="00A3112D" w:rsidRPr="00B74E01" w:rsidRDefault="00A3112D" w:rsidP="00E362A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Serviço da dívida</w:t>
            </w:r>
          </w:p>
        </w:tc>
        <w:tc>
          <w:tcPr>
            <w:tcW w:w="0" w:type="auto"/>
            <w:vAlign w:val="center"/>
            <w:hideMark/>
          </w:tcPr>
          <w:p w14:paraId="371573E7" w14:textId="77777777" w:rsidR="00A3112D" w:rsidRPr="00B74E01" w:rsidRDefault="00A3112D" w:rsidP="00E362A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Sobra mensal</w:t>
            </w:r>
          </w:p>
        </w:tc>
        <w:tc>
          <w:tcPr>
            <w:tcW w:w="0" w:type="auto"/>
            <w:vAlign w:val="center"/>
            <w:hideMark/>
          </w:tcPr>
          <w:p w14:paraId="4D0C3757" w14:textId="77777777" w:rsidR="00A3112D" w:rsidRPr="00B74E01" w:rsidRDefault="00A3112D" w:rsidP="00E362A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DSCR</w:t>
            </w:r>
          </w:p>
        </w:tc>
      </w:tr>
      <w:tr w:rsidR="00A3112D" w:rsidRPr="00B74E01" w14:paraId="5F3F51EE" w14:textId="77777777" w:rsidTr="009C2073">
        <w:trPr>
          <w:tblCellSpacing w:w="15" w:type="dxa"/>
        </w:trPr>
        <w:tc>
          <w:tcPr>
            <w:tcW w:w="0" w:type="auto"/>
            <w:vAlign w:val="center"/>
            <w:hideMark/>
          </w:tcPr>
          <w:p w14:paraId="564A1A04"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Durante a carência</w:t>
            </w:r>
          </w:p>
        </w:tc>
        <w:tc>
          <w:tcPr>
            <w:tcW w:w="0" w:type="auto"/>
            <w:vAlign w:val="center"/>
            <w:hideMark/>
          </w:tcPr>
          <w:p w14:paraId="73D50150"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R$ 314.606,70</w:t>
            </w:r>
          </w:p>
        </w:tc>
        <w:tc>
          <w:tcPr>
            <w:tcW w:w="0" w:type="auto"/>
            <w:vAlign w:val="center"/>
            <w:hideMark/>
          </w:tcPr>
          <w:p w14:paraId="4DA04F8D"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R$ 257.324,50</w:t>
            </w:r>
          </w:p>
        </w:tc>
        <w:tc>
          <w:tcPr>
            <w:tcW w:w="0" w:type="auto"/>
            <w:vAlign w:val="center"/>
            <w:hideMark/>
          </w:tcPr>
          <w:p w14:paraId="1A18A6DF"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R$ 57.282,20</w:t>
            </w:r>
          </w:p>
        </w:tc>
        <w:tc>
          <w:tcPr>
            <w:tcW w:w="0" w:type="auto"/>
            <w:vAlign w:val="center"/>
            <w:hideMark/>
          </w:tcPr>
          <w:p w14:paraId="3EC679E6"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1,22x</w:t>
            </w:r>
          </w:p>
        </w:tc>
      </w:tr>
      <w:tr w:rsidR="00A3112D" w:rsidRPr="00B74E01" w14:paraId="7B278FE4" w14:textId="77777777" w:rsidTr="009C2073">
        <w:trPr>
          <w:tblCellSpacing w:w="15" w:type="dxa"/>
        </w:trPr>
        <w:tc>
          <w:tcPr>
            <w:tcW w:w="0" w:type="auto"/>
            <w:vAlign w:val="center"/>
            <w:hideMark/>
          </w:tcPr>
          <w:p w14:paraId="1B370E73"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Após a carência</w:t>
            </w:r>
          </w:p>
        </w:tc>
        <w:tc>
          <w:tcPr>
            <w:tcW w:w="0" w:type="auto"/>
            <w:vAlign w:val="center"/>
            <w:hideMark/>
          </w:tcPr>
          <w:p w14:paraId="2A321657"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R$ 314.606,70</w:t>
            </w:r>
          </w:p>
        </w:tc>
        <w:tc>
          <w:tcPr>
            <w:tcW w:w="0" w:type="auto"/>
            <w:vAlign w:val="center"/>
            <w:hideMark/>
          </w:tcPr>
          <w:p w14:paraId="5E8FC2CC"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R$ 280.892,95</w:t>
            </w:r>
          </w:p>
        </w:tc>
        <w:tc>
          <w:tcPr>
            <w:tcW w:w="0" w:type="auto"/>
            <w:vAlign w:val="center"/>
            <w:hideMark/>
          </w:tcPr>
          <w:p w14:paraId="4C30F8FB"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R$ 33.713,75</w:t>
            </w:r>
          </w:p>
        </w:tc>
        <w:tc>
          <w:tcPr>
            <w:tcW w:w="0" w:type="auto"/>
            <w:vAlign w:val="center"/>
            <w:hideMark/>
          </w:tcPr>
          <w:p w14:paraId="0DCC8C1B"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1,12x</w:t>
            </w:r>
          </w:p>
        </w:tc>
      </w:tr>
    </w:tbl>
    <w:p w14:paraId="37C824DA"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operação fecha positivamente sem receitas acessórias, mas com margem restrita. Essa leitura é fundamental para a defesa do caderno: o projeto não depende exclusivamente das receitas acessórias para operar, mas precisa de garantias contratuais robustas para proteger o fluxo principal.</w:t>
      </w:r>
    </w:p>
    <w:p w14:paraId="23256CF3" w14:textId="77777777" w:rsidR="00A3112D" w:rsidRPr="00B74E01" w:rsidRDefault="00A3112D" w:rsidP="00E362A0">
      <w:pPr>
        <w:pStyle w:val="Ttulo2"/>
        <w:rPr>
          <w:rFonts w:eastAsia="Times New Roman"/>
          <w:lang w:eastAsia="pt-BR"/>
        </w:rPr>
      </w:pPr>
      <w:bookmarkStart w:id="151" w:name="_Toc230204153"/>
      <w:r w:rsidRPr="00B74E01">
        <w:rPr>
          <w:rFonts w:eastAsia="Times New Roman"/>
          <w:lang w:eastAsia="pt-BR"/>
        </w:rPr>
        <w:t>12.10. Cobertura da dívida no cenário superior regional de R$ 140/t</w:t>
      </w:r>
      <w:bookmarkEnd w:id="151"/>
    </w:p>
    <w:p w14:paraId="6DD167FD"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No cenário de tarifa de destinação de </w:t>
      </w:r>
      <w:r w:rsidRPr="00B74E01">
        <w:rPr>
          <w:rFonts w:eastAsia="Times New Roman" w:cs="Arial"/>
          <w:b/>
          <w:bCs/>
          <w:kern w:val="0"/>
          <w:lang w:eastAsia="pt-BR"/>
          <w14:ligatures w14:val="none"/>
        </w:rPr>
        <w:t>R$ 140/t</w:t>
      </w:r>
      <w:r w:rsidRPr="00B74E01">
        <w:rPr>
          <w:rFonts w:eastAsia="Times New Roman" w:cs="Arial"/>
          <w:kern w:val="0"/>
          <w:lang w:eastAsia="pt-BR"/>
          <w14:ligatures w14:val="none"/>
        </w:rPr>
        <w:t>, a receita principal da SPE aumenta e a cobertura da dívida melhora.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677"/>
        <w:gridCol w:w="3354"/>
        <w:gridCol w:w="1747"/>
        <w:gridCol w:w="1507"/>
        <w:gridCol w:w="776"/>
      </w:tblGrid>
      <w:tr w:rsidR="00A3112D" w:rsidRPr="00B74E01" w14:paraId="44DD5071" w14:textId="77777777" w:rsidTr="009C2073">
        <w:trPr>
          <w:tblHeade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158F3A37" w14:textId="77777777" w:rsidR="00A3112D" w:rsidRPr="00B74E01" w:rsidRDefault="00A3112D" w:rsidP="00E362A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Fase</w:t>
            </w:r>
          </w:p>
        </w:tc>
        <w:tc>
          <w:tcPr>
            <w:tcW w:w="0" w:type="auto"/>
            <w:tcBorders>
              <w:top w:val="single" w:sz="4" w:space="0" w:color="auto"/>
              <w:left w:val="single" w:sz="4" w:space="0" w:color="auto"/>
              <w:bottom w:val="single" w:sz="4" w:space="0" w:color="auto"/>
              <w:right w:val="single" w:sz="4" w:space="0" w:color="auto"/>
            </w:tcBorders>
            <w:vAlign w:val="center"/>
            <w:hideMark/>
          </w:tcPr>
          <w:p w14:paraId="32B919A3" w14:textId="77777777" w:rsidR="00A3112D" w:rsidRPr="00B74E01" w:rsidRDefault="00A3112D" w:rsidP="00E362A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EBITDA mensal sem receitas acessórias</w:t>
            </w:r>
          </w:p>
        </w:tc>
        <w:tc>
          <w:tcPr>
            <w:tcW w:w="0" w:type="auto"/>
            <w:tcBorders>
              <w:top w:val="single" w:sz="4" w:space="0" w:color="auto"/>
              <w:left w:val="single" w:sz="4" w:space="0" w:color="auto"/>
              <w:bottom w:val="single" w:sz="4" w:space="0" w:color="auto"/>
              <w:right w:val="single" w:sz="4" w:space="0" w:color="auto"/>
            </w:tcBorders>
            <w:vAlign w:val="center"/>
            <w:hideMark/>
          </w:tcPr>
          <w:p w14:paraId="02194AE6" w14:textId="77777777" w:rsidR="00A3112D" w:rsidRPr="00B74E01" w:rsidRDefault="00A3112D" w:rsidP="00E362A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Serviço da dívida</w:t>
            </w:r>
          </w:p>
        </w:tc>
        <w:tc>
          <w:tcPr>
            <w:tcW w:w="0" w:type="auto"/>
            <w:tcBorders>
              <w:top w:val="single" w:sz="4" w:space="0" w:color="auto"/>
              <w:left w:val="single" w:sz="4" w:space="0" w:color="auto"/>
              <w:bottom w:val="single" w:sz="4" w:space="0" w:color="auto"/>
              <w:right w:val="single" w:sz="4" w:space="0" w:color="auto"/>
            </w:tcBorders>
            <w:vAlign w:val="center"/>
            <w:hideMark/>
          </w:tcPr>
          <w:p w14:paraId="1F5B1460" w14:textId="77777777" w:rsidR="00A3112D" w:rsidRPr="00B74E01" w:rsidRDefault="00A3112D" w:rsidP="00E362A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Sobra mensal</w:t>
            </w:r>
          </w:p>
        </w:tc>
        <w:tc>
          <w:tcPr>
            <w:tcW w:w="0" w:type="auto"/>
            <w:tcBorders>
              <w:top w:val="single" w:sz="4" w:space="0" w:color="auto"/>
              <w:left w:val="single" w:sz="4" w:space="0" w:color="auto"/>
              <w:bottom w:val="single" w:sz="4" w:space="0" w:color="auto"/>
              <w:right w:val="single" w:sz="4" w:space="0" w:color="auto"/>
            </w:tcBorders>
            <w:vAlign w:val="center"/>
            <w:hideMark/>
          </w:tcPr>
          <w:p w14:paraId="042970E9" w14:textId="77777777" w:rsidR="00A3112D" w:rsidRPr="00B74E01" w:rsidRDefault="00A3112D" w:rsidP="00E362A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DSCR</w:t>
            </w:r>
          </w:p>
        </w:tc>
      </w:tr>
      <w:tr w:rsidR="00A3112D" w:rsidRPr="00B74E01" w14:paraId="66871E22" w14:textId="77777777" w:rsidTr="009C2073">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7963E8EC"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Durante a carência</w:t>
            </w:r>
          </w:p>
        </w:tc>
        <w:tc>
          <w:tcPr>
            <w:tcW w:w="0" w:type="auto"/>
            <w:tcBorders>
              <w:top w:val="single" w:sz="4" w:space="0" w:color="auto"/>
              <w:left w:val="single" w:sz="4" w:space="0" w:color="auto"/>
              <w:bottom w:val="single" w:sz="4" w:space="0" w:color="auto"/>
              <w:right w:val="single" w:sz="4" w:space="0" w:color="auto"/>
            </w:tcBorders>
            <w:vAlign w:val="center"/>
            <w:hideMark/>
          </w:tcPr>
          <w:p w14:paraId="08EB98D4"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R$ 411.787,95</w:t>
            </w:r>
          </w:p>
        </w:tc>
        <w:tc>
          <w:tcPr>
            <w:tcW w:w="0" w:type="auto"/>
            <w:tcBorders>
              <w:top w:val="single" w:sz="4" w:space="0" w:color="auto"/>
              <w:left w:val="single" w:sz="4" w:space="0" w:color="auto"/>
              <w:bottom w:val="single" w:sz="4" w:space="0" w:color="auto"/>
              <w:right w:val="single" w:sz="4" w:space="0" w:color="auto"/>
            </w:tcBorders>
            <w:vAlign w:val="center"/>
            <w:hideMark/>
          </w:tcPr>
          <w:p w14:paraId="5152B07E"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R$ 257.324,50</w:t>
            </w:r>
          </w:p>
        </w:tc>
        <w:tc>
          <w:tcPr>
            <w:tcW w:w="0" w:type="auto"/>
            <w:tcBorders>
              <w:top w:val="single" w:sz="4" w:space="0" w:color="auto"/>
              <w:left w:val="single" w:sz="4" w:space="0" w:color="auto"/>
              <w:bottom w:val="single" w:sz="4" w:space="0" w:color="auto"/>
              <w:right w:val="single" w:sz="4" w:space="0" w:color="auto"/>
            </w:tcBorders>
            <w:vAlign w:val="center"/>
            <w:hideMark/>
          </w:tcPr>
          <w:p w14:paraId="6C49A371"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R$ 154.463,45</w:t>
            </w:r>
          </w:p>
        </w:tc>
        <w:tc>
          <w:tcPr>
            <w:tcW w:w="0" w:type="auto"/>
            <w:tcBorders>
              <w:top w:val="single" w:sz="4" w:space="0" w:color="auto"/>
              <w:left w:val="single" w:sz="4" w:space="0" w:color="auto"/>
              <w:bottom w:val="single" w:sz="4" w:space="0" w:color="auto"/>
              <w:right w:val="single" w:sz="4" w:space="0" w:color="auto"/>
            </w:tcBorders>
            <w:vAlign w:val="center"/>
            <w:hideMark/>
          </w:tcPr>
          <w:p w14:paraId="601025CD"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1,60x</w:t>
            </w:r>
          </w:p>
        </w:tc>
      </w:tr>
      <w:tr w:rsidR="00A3112D" w:rsidRPr="00B74E01" w14:paraId="7948125A" w14:textId="77777777" w:rsidTr="009C2073">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689BF76F"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Após a carência</w:t>
            </w:r>
          </w:p>
        </w:tc>
        <w:tc>
          <w:tcPr>
            <w:tcW w:w="0" w:type="auto"/>
            <w:tcBorders>
              <w:top w:val="single" w:sz="4" w:space="0" w:color="auto"/>
              <w:left w:val="single" w:sz="4" w:space="0" w:color="auto"/>
              <w:bottom w:val="single" w:sz="4" w:space="0" w:color="auto"/>
              <w:right w:val="single" w:sz="4" w:space="0" w:color="auto"/>
            </w:tcBorders>
            <w:vAlign w:val="center"/>
            <w:hideMark/>
          </w:tcPr>
          <w:p w14:paraId="42704B8B"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R$ 411.787,95</w:t>
            </w:r>
          </w:p>
        </w:tc>
        <w:tc>
          <w:tcPr>
            <w:tcW w:w="0" w:type="auto"/>
            <w:tcBorders>
              <w:top w:val="single" w:sz="4" w:space="0" w:color="auto"/>
              <w:left w:val="single" w:sz="4" w:space="0" w:color="auto"/>
              <w:bottom w:val="single" w:sz="4" w:space="0" w:color="auto"/>
              <w:right w:val="single" w:sz="4" w:space="0" w:color="auto"/>
            </w:tcBorders>
            <w:vAlign w:val="center"/>
            <w:hideMark/>
          </w:tcPr>
          <w:p w14:paraId="690EF4C0"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R$ 280.892,95</w:t>
            </w:r>
          </w:p>
        </w:tc>
        <w:tc>
          <w:tcPr>
            <w:tcW w:w="0" w:type="auto"/>
            <w:tcBorders>
              <w:top w:val="single" w:sz="4" w:space="0" w:color="auto"/>
              <w:left w:val="single" w:sz="4" w:space="0" w:color="auto"/>
              <w:bottom w:val="single" w:sz="4" w:space="0" w:color="auto"/>
              <w:right w:val="single" w:sz="4" w:space="0" w:color="auto"/>
            </w:tcBorders>
            <w:vAlign w:val="center"/>
            <w:hideMark/>
          </w:tcPr>
          <w:p w14:paraId="7DD0611B"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R$ 130.895,00</w:t>
            </w:r>
          </w:p>
        </w:tc>
        <w:tc>
          <w:tcPr>
            <w:tcW w:w="0" w:type="auto"/>
            <w:tcBorders>
              <w:top w:val="single" w:sz="4" w:space="0" w:color="auto"/>
              <w:left w:val="single" w:sz="4" w:space="0" w:color="auto"/>
              <w:bottom w:val="single" w:sz="4" w:space="0" w:color="auto"/>
              <w:right w:val="single" w:sz="4" w:space="0" w:color="auto"/>
            </w:tcBorders>
            <w:vAlign w:val="center"/>
            <w:hideMark/>
          </w:tcPr>
          <w:p w14:paraId="3E2A5693"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1,47x</w:t>
            </w:r>
          </w:p>
        </w:tc>
      </w:tr>
    </w:tbl>
    <w:p w14:paraId="5CF4F570"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lastRenderedPageBreak/>
        <w:t xml:space="preserve">Esse cenário demonstra que, quando a tarifa de destinação se aproxima do limite superior regional, a </w:t>
      </w:r>
      <w:proofErr w:type="spellStart"/>
      <w:r w:rsidRPr="00B74E01">
        <w:rPr>
          <w:rFonts w:eastAsia="Times New Roman" w:cs="Arial"/>
          <w:kern w:val="0"/>
          <w:lang w:eastAsia="pt-BR"/>
          <w14:ligatures w14:val="none"/>
        </w:rPr>
        <w:t>bancabilidade</w:t>
      </w:r>
      <w:proofErr w:type="spellEnd"/>
      <w:r w:rsidRPr="00B74E01">
        <w:rPr>
          <w:rFonts w:eastAsia="Times New Roman" w:cs="Arial"/>
          <w:kern w:val="0"/>
          <w:lang w:eastAsia="pt-BR"/>
          <w14:ligatures w14:val="none"/>
        </w:rPr>
        <w:t xml:space="preserve"> melhora substancialmente mesmo sem receitas acessórias.</w:t>
      </w:r>
    </w:p>
    <w:p w14:paraId="3C78B583"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Contudo, esse cenário deve ser tratado como referência de sensibilidade e parâmetro regional, não como substituto automático do cenário-base de </w:t>
      </w:r>
      <w:r w:rsidRPr="00B74E01">
        <w:rPr>
          <w:rFonts w:eastAsia="Times New Roman" w:cs="Arial"/>
          <w:b/>
          <w:bCs/>
          <w:kern w:val="0"/>
          <w:lang w:eastAsia="pt-BR"/>
          <w14:ligatures w14:val="none"/>
        </w:rPr>
        <w:t>R$ 95/t</w:t>
      </w:r>
      <w:r w:rsidRPr="00B74E01">
        <w:rPr>
          <w:rFonts w:eastAsia="Times New Roman" w:cs="Arial"/>
          <w:kern w:val="0"/>
          <w:lang w:eastAsia="pt-BR"/>
          <w14:ligatures w14:val="none"/>
        </w:rPr>
        <w:t>.</w:t>
      </w:r>
    </w:p>
    <w:p w14:paraId="6803E2A1" w14:textId="77777777" w:rsidR="00A3112D" w:rsidRPr="00B74E01" w:rsidRDefault="00A3112D" w:rsidP="00E362A0">
      <w:pPr>
        <w:pStyle w:val="Ttulo2"/>
        <w:rPr>
          <w:rFonts w:eastAsia="Times New Roman"/>
          <w:lang w:eastAsia="pt-BR"/>
        </w:rPr>
      </w:pPr>
      <w:bookmarkStart w:id="152" w:name="_Toc230204154"/>
      <w:r w:rsidRPr="00B74E01">
        <w:rPr>
          <w:rFonts w:eastAsia="Times New Roman"/>
          <w:lang w:eastAsia="pt-BR"/>
        </w:rPr>
        <w:t>12.11. Cobertura da dívida com receitas acessórias</w:t>
      </w:r>
      <w:bookmarkEnd w:id="152"/>
    </w:p>
    <w:p w14:paraId="781A15F9"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Considerando a realização de </w:t>
      </w:r>
      <w:r w:rsidRPr="00B74E01">
        <w:rPr>
          <w:rFonts w:eastAsia="Times New Roman" w:cs="Arial"/>
          <w:b/>
          <w:bCs/>
          <w:kern w:val="0"/>
          <w:lang w:eastAsia="pt-BR"/>
          <w14:ligatures w14:val="none"/>
        </w:rPr>
        <w:t>100% das receitas acessórias potenciais</w:t>
      </w:r>
      <w:r w:rsidRPr="00B74E01">
        <w:rPr>
          <w:rFonts w:eastAsia="Times New Roman" w:cs="Arial"/>
          <w:kern w:val="0"/>
          <w:lang w:eastAsia="pt-BR"/>
          <w14:ligatures w14:val="none"/>
        </w:rPr>
        <w:t xml:space="preserve">, o EBITDA mensal da SPE passa a </w:t>
      </w:r>
      <w:r w:rsidRPr="00B74E01">
        <w:rPr>
          <w:rFonts w:eastAsia="Times New Roman" w:cs="Arial"/>
          <w:b/>
          <w:bCs/>
          <w:kern w:val="0"/>
          <w:lang w:eastAsia="pt-BR"/>
          <w14:ligatures w14:val="none"/>
        </w:rPr>
        <w:t>R$ 1.107.091,76</w:t>
      </w:r>
      <w:r w:rsidRPr="00B74E01">
        <w:rPr>
          <w:rFonts w:eastAsia="Times New Roman" w:cs="Arial"/>
          <w:kern w:val="0"/>
          <w:lang w:eastAsia="pt-BR"/>
          <w14:ligatures w14:val="none"/>
        </w:rPr>
        <w:t xml:space="preserve"> no cenário-base.</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663"/>
        <w:gridCol w:w="3383"/>
        <w:gridCol w:w="1737"/>
        <w:gridCol w:w="1502"/>
        <w:gridCol w:w="776"/>
      </w:tblGrid>
      <w:tr w:rsidR="00A3112D" w:rsidRPr="00B74E01" w14:paraId="2A4FC7D9" w14:textId="77777777" w:rsidTr="009C2073">
        <w:trPr>
          <w:tblHeader/>
          <w:tblCellSpacing w:w="15" w:type="dxa"/>
        </w:trPr>
        <w:tc>
          <w:tcPr>
            <w:tcW w:w="0" w:type="auto"/>
            <w:vAlign w:val="center"/>
            <w:hideMark/>
          </w:tcPr>
          <w:p w14:paraId="1BC9E958" w14:textId="77777777" w:rsidR="00A3112D" w:rsidRPr="00B74E01" w:rsidRDefault="00A3112D" w:rsidP="00E362A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Fase</w:t>
            </w:r>
          </w:p>
        </w:tc>
        <w:tc>
          <w:tcPr>
            <w:tcW w:w="0" w:type="auto"/>
            <w:vAlign w:val="center"/>
            <w:hideMark/>
          </w:tcPr>
          <w:p w14:paraId="2C09A06C" w14:textId="77777777" w:rsidR="00A3112D" w:rsidRPr="00B74E01" w:rsidRDefault="00A3112D" w:rsidP="00E362A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EBITDA mensal com receitas acessórias</w:t>
            </w:r>
          </w:p>
        </w:tc>
        <w:tc>
          <w:tcPr>
            <w:tcW w:w="0" w:type="auto"/>
            <w:vAlign w:val="center"/>
            <w:hideMark/>
          </w:tcPr>
          <w:p w14:paraId="085C25B5" w14:textId="77777777" w:rsidR="00A3112D" w:rsidRPr="00B74E01" w:rsidRDefault="00A3112D" w:rsidP="00E362A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Serviço da dívida</w:t>
            </w:r>
          </w:p>
        </w:tc>
        <w:tc>
          <w:tcPr>
            <w:tcW w:w="0" w:type="auto"/>
            <w:vAlign w:val="center"/>
            <w:hideMark/>
          </w:tcPr>
          <w:p w14:paraId="521F3565" w14:textId="77777777" w:rsidR="00A3112D" w:rsidRPr="00B74E01" w:rsidRDefault="00A3112D" w:rsidP="00E362A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Sobra mensal</w:t>
            </w:r>
          </w:p>
        </w:tc>
        <w:tc>
          <w:tcPr>
            <w:tcW w:w="0" w:type="auto"/>
            <w:vAlign w:val="center"/>
            <w:hideMark/>
          </w:tcPr>
          <w:p w14:paraId="125036B7" w14:textId="77777777" w:rsidR="00A3112D" w:rsidRPr="00B74E01" w:rsidRDefault="00A3112D" w:rsidP="00E362A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DSCR</w:t>
            </w:r>
          </w:p>
        </w:tc>
      </w:tr>
      <w:tr w:rsidR="00A3112D" w:rsidRPr="00B74E01" w14:paraId="7AEFB98E" w14:textId="77777777" w:rsidTr="009C2073">
        <w:trPr>
          <w:tblCellSpacing w:w="15" w:type="dxa"/>
        </w:trPr>
        <w:tc>
          <w:tcPr>
            <w:tcW w:w="0" w:type="auto"/>
            <w:vAlign w:val="center"/>
            <w:hideMark/>
          </w:tcPr>
          <w:p w14:paraId="51B2A09B"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Durante a carência</w:t>
            </w:r>
          </w:p>
        </w:tc>
        <w:tc>
          <w:tcPr>
            <w:tcW w:w="0" w:type="auto"/>
            <w:vAlign w:val="center"/>
            <w:hideMark/>
          </w:tcPr>
          <w:p w14:paraId="4CC82CCE"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R$ 1.107.091,76</w:t>
            </w:r>
          </w:p>
        </w:tc>
        <w:tc>
          <w:tcPr>
            <w:tcW w:w="0" w:type="auto"/>
            <w:vAlign w:val="center"/>
            <w:hideMark/>
          </w:tcPr>
          <w:p w14:paraId="366BB427"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R$ 257.324,50</w:t>
            </w:r>
          </w:p>
        </w:tc>
        <w:tc>
          <w:tcPr>
            <w:tcW w:w="0" w:type="auto"/>
            <w:vAlign w:val="center"/>
            <w:hideMark/>
          </w:tcPr>
          <w:p w14:paraId="5CEB036C"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R$ 849.767,26</w:t>
            </w:r>
          </w:p>
        </w:tc>
        <w:tc>
          <w:tcPr>
            <w:tcW w:w="0" w:type="auto"/>
            <w:vAlign w:val="center"/>
            <w:hideMark/>
          </w:tcPr>
          <w:p w14:paraId="3EEF3C79"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4,30x</w:t>
            </w:r>
          </w:p>
        </w:tc>
      </w:tr>
      <w:tr w:rsidR="00A3112D" w:rsidRPr="00B74E01" w14:paraId="0328ADD3" w14:textId="77777777" w:rsidTr="009C2073">
        <w:trPr>
          <w:tblCellSpacing w:w="15" w:type="dxa"/>
        </w:trPr>
        <w:tc>
          <w:tcPr>
            <w:tcW w:w="0" w:type="auto"/>
            <w:vAlign w:val="center"/>
            <w:hideMark/>
          </w:tcPr>
          <w:p w14:paraId="59AE875A"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Após a carência</w:t>
            </w:r>
          </w:p>
        </w:tc>
        <w:tc>
          <w:tcPr>
            <w:tcW w:w="0" w:type="auto"/>
            <w:vAlign w:val="center"/>
            <w:hideMark/>
          </w:tcPr>
          <w:p w14:paraId="178B70D3"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R$ 1.107.091,76</w:t>
            </w:r>
          </w:p>
        </w:tc>
        <w:tc>
          <w:tcPr>
            <w:tcW w:w="0" w:type="auto"/>
            <w:vAlign w:val="center"/>
            <w:hideMark/>
          </w:tcPr>
          <w:p w14:paraId="5B73FC0F"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R$ 280.892,95</w:t>
            </w:r>
          </w:p>
        </w:tc>
        <w:tc>
          <w:tcPr>
            <w:tcW w:w="0" w:type="auto"/>
            <w:vAlign w:val="center"/>
            <w:hideMark/>
          </w:tcPr>
          <w:p w14:paraId="0B99A824"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R$ 826.198,81</w:t>
            </w:r>
          </w:p>
        </w:tc>
        <w:tc>
          <w:tcPr>
            <w:tcW w:w="0" w:type="auto"/>
            <w:vAlign w:val="center"/>
            <w:hideMark/>
          </w:tcPr>
          <w:p w14:paraId="20D414A4"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3,94x</w:t>
            </w:r>
          </w:p>
        </w:tc>
      </w:tr>
    </w:tbl>
    <w:p w14:paraId="4AA12DC0"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Esse cenário demonstra forte capacidade de pagamento e elevada atratividade financeira. Porém, justamente por apresentar indicadores muito robustos, deve ser acompanhado de ressalvas claras quanto à natureza potencial das receitas acessórias.</w:t>
      </w:r>
    </w:p>
    <w:p w14:paraId="517657F6" w14:textId="77777777" w:rsidR="00A3112D" w:rsidRPr="00B74E01" w:rsidRDefault="00A3112D" w:rsidP="00E362A0">
      <w:pPr>
        <w:pStyle w:val="Ttulo2"/>
        <w:rPr>
          <w:rFonts w:eastAsia="Times New Roman"/>
          <w:lang w:eastAsia="pt-BR"/>
        </w:rPr>
      </w:pPr>
      <w:bookmarkStart w:id="153" w:name="_Toc230204155"/>
      <w:r w:rsidRPr="00B74E01">
        <w:rPr>
          <w:rFonts w:eastAsia="Times New Roman"/>
          <w:lang w:eastAsia="pt-BR"/>
        </w:rPr>
        <w:t>12.12. Sensibilidade por realização das receitas acessórias</w:t>
      </w:r>
      <w:bookmarkEnd w:id="153"/>
    </w:p>
    <w:p w14:paraId="44194AA3"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Para evitar aparência de otimismo excessivo, recomenda-se testar diferentes níveis de realização das receitas acessórias.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428"/>
        <w:gridCol w:w="1634"/>
        <w:gridCol w:w="2246"/>
        <w:gridCol w:w="1977"/>
        <w:gridCol w:w="776"/>
      </w:tblGrid>
      <w:tr w:rsidR="00A3112D" w:rsidRPr="00B74E01" w14:paraId="47704FD2" w14:textId="77777777" w:rsidTr="009C2073">
        <w:trPr>
          <w:tblHeader/>
          <w:tblCellSpacing w:w="15" w:type="dxa"/>
        </w:trPr>
        <w:tc>
          <w:tcPr>
            <w:tcW w:w="0" w:type="auto"/>
            <w:vAlign w:val="center"/>
            <w:hideMark/>
          </w:tcPr>
          <w:p w14:paraId="195139FE" w14:textId="77777777" w:rsidR="00A3112D" w:rsidRPr="00B74E01" w:rsidRDefault="00A3112D" w:rsidP="00E362A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Realização das receitas acessórias</w:t>
            </w:r>
          </w:p>
        </w:tc>
        <w:tc>
          <w:tcPr>
            <w:tcW w:w="0" w:type="auto"/>
            <w:vAlign w:val="center"/>
            <w:hideMark/>
          </w:tcPr>
          <w:p w14:paraId="5C2A7287" w14:textId="77777777" w:rsidR="00A3112D" w:rsidRPr="00B74E01" w:rsidRDefault="00A3112D" w:rsidP="00E362A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EBITDA mensal</w:t>
            </w:r>
          </w:p>
        </w:tc>
        <w:tc>
          <w:tcPr>
            <w:tcW w:w="0" w:type="auto"/>
            <w:vAlign w:val="center"/>
            <w:hideMark/>
          </w:tcPr>
          <w:p w14:paraId="63789A27" w14:textId="77777777" w:rsidR="00A3112D" w:rsidRPr="00B74E01" w:rsidRDefault="00A3112D" w:rsidP="00E362A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Serviço da dívida após carência</w:t>
            </w:r>
          </w:p>
        </w:tc>
        <w:tc>
          <w:tcPr>
            <w:tcW w:w="0" w:type="auto"/>
            <w:vAlign w:val="center"/>
            <w:hideMark/>
          </w:tcPr>
          <w:p w14:paraId="24BEC6B3" w14:textId="77777777" w:rsidR="00A3112D" w:rsidRPr="00B74E01" w:rsidRDefault="00A3112D" w:rsidP="00E362A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Sobra mensal após dívida</w:t>
            </w:r>
          </w:p>
        </w:tc>
        <w:tc>
          <w:tcPr>
            <w:tcW w:w="0" w:type="auto"/>
            <w:vAlign w:val="center"/>
            <w:hideMark/>
          </w:tcPr>
          <w:p w14:paraId="45D99685" w14:textId="77777777" w:rsidR="00A3112D" w:rsidRPr="00B74E01" w:rsidRDefault="00A3112D" w:rsidP="00E362A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DSCR</w:t>
            </w:r>
          </w:p>
        </w:tc>
      </w:tr>
      <w:tr w:rsidR="00A3112D" w:rsidRPr="00B74E01" w14:paraId="3A79AE60" w14:textId="77777777" w:rsidTr="009C2073">
        <w:trPr>
          <w:tblCellSpacing w:w="15" w:type="dxa"/>
        </w:trPr>
        <w:tc>
          <w:tcPr>
            <w:tcW w:w="0" w:type="auto"/>
            <w:vAlign w:val="center"/>
            <w:hideMark/>
          </w:tcPr>
          <w:p w14:paraId="3AB30D85"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0%</w:t>
            </w:r>
          </w:p>
        </w:tc>
        <w:tc>
          <w:tcPr>
            <w:tcW w:w="0" w:type="auto"/>
            <w:vAlign w:val="center"/>
            <w:hideMark/>
          </w:tcPr>
          <w:p w14:paraId="021A862E"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R$ 314.606,70</w:t>
            </w:r>
          </w:p>
        </w:tc>
        <w:tc>
          <w:tcPr>
            <w:tcW w:w="0" w:type="auto"/>
            <w:vAlign w:val="center"/>
            <w:hideMark/>
          </w:tcPr>
          <w:p w14:paraId="4E9A448A"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R$ 280.892,95</w:t>
            </w:r>
          </w:p>
        </w:tc>
        <w:tc>
          <w:tcPr>
            <w:tcW w:w="0" w:type="auto"/>
            <w:vAlign w:val="center"/>
            <w:hideMark/>
          </w:tcPr>
          <w:p w14:paraId="0F4433F6"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R$ 33.713,75</w:t>
            </w:r>
          </w:p>
        </w:tc>
        <w:tc>
          <w:tcPr>
            <w:tcW w:w="0" w:type="auto"/>
            <w:vAlign w:val="center"/>
            <w:hideMark/>
          </w:tcPr>
          <w:p w14:paraId="468A15F8"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1,12x</w:t>
            </w:r>
          </w:p>
        </w:tc>
      </w:tr>
      <w:tr w:rsidR="00A3112D" w:rsidRPr="00B74E01" w14:paraId="7017E70B" w14:textId="77777777" w:rsidTr="009C2073">
        <w:trPr>
          <w:tblCellSpacing w:w="15" w:type="dxa"/>
        </w:trPr>
        <w:tc>
          <w:tcPr>
            <w:tcW w:w="0" w:type="auto"/>
            <w:vAlign w:val="center"/>
            <w:hideMark/>
          </w:tcPr>
          <w:p w14:paraId="69236633"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lastRenderedPageBreak/>
              <w:t>50%</w:t>
            </w:r>
          </w:p>
        </w:tc>
        <w:tc>
          <w:tcPr>
            <w:tcW w:w="0" w:type="auto"/>
            <w:vAlign w:val="center"/>
            <w:hideMark/>
          </w:tcPr>
          <w:p w14:paraId="0E149DC1"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R$ 710.849,23</w:t>
            </w:r>
          </w:p>
        </w:tc>
        <w:tc>
          <w:tcPr>
            <w:tcW w:w="0" w:type="auto"/>
            <w:vAlign w:val="center"/>
            <w:hideMark/>
          </w:tcPr>
          <w:p w14:paraId="47F4A5D1"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R$ 280.892,95</w:t>
            </w:r>
          </w:p>
        </w:tc>
        <w:tc>
          <w:tcPr>
            <w:tcW w:w="0" w:type="auto"/>
            <w:vAlign w:val="center"/>
            <w:hideMark/>
          </w:tcPr>
          <w:p w14:paraId="0F8A1F51"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R$ 429.956,28</w:t>
            </w:r>
          </w:p>
        </w:tc>
        <w:tc>
          <w:tcPr>
            <w:tcW w:w="0" w:type="auto"/>
            <w:vAlign w:val="center"/>
            <w:hideMark/>
          </w:tcPr>
          <w:p w14:paraId="40E0187A"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2,53x</w:t>
            </w:r>
          </w:p>
        </w:tc>
      </w:tr>
      <w:tr w:rsidR="00A3112D" w:rsidRPr="00B74E01" w14:paraId="41E86F8E" w14:textId="77777777" w:rsidTr="009C2073">
        <w:trPr>
          <w:tblCellSpacing w:w="15" w:type="dxa"/>
        </w:trPr>
        <w:tc>
          <w:tcPr>
            <w:tcW w:w="0" w:type="auto"/>
            <w:vAlign w:val="center"/>
            <w:hideMark/>
          </w:tcPr>
          <w:p w14:paraId="60079252"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75%</w:t>
            </w:r>
          </w:p>
        </w:tc>
        <w:tc>
          <w:tcPr>
            <w:tcW w:w="0" w:type="auto"/>
            <w:vAlign w:val="center"/>
            <w:hideMark/>
          </w:tcPr>
          <w:p w14:paraId="1D854169"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R$ 908.970,49</w:t>
            </w:r>
          </w:p>
        </w:tc>
        <w:tc>
          <w:tcPr>
            <w:tcW w:w="0" w:type="auto"/>
            <w:vAlign w:val="center"/>
            <w:hideMark/>
          </w:tcPr>
          <w:p w14:paraId="1C2B2905"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R$ 280.892,95</w:t>
            </w:r>
          </w:p>
        </w:tc>
        <w:tc>
          <w:tcPr>
            <w:tcW w:w="0" w:type="auto"/>
            <w:vAlign w:val="center"/>
            <w:hideMark/>
          </w:tcPr>
          <w:p w14:paraId="3ED1706B"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R$ 628.077,54</w:t>
            </w:r>
          </w:p>
        </w:tc>
        <w:tc>
          <w:tcPr>
            <w:tcW w:w="0" w:type="auto"/>
            <w:vAlign w:val="center"/>
            <w:hideMark/>
          </w:tcPr>
          <w:p w14:paraId="03D29D47"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3,24x</w:t>
            </w:r>
          </w:p>
        </w:tc>
      </w:tr>
      <w:tr w:rsidR="00A3112D" w:rsidRPr="00B74E01" w14:paraId="7E1E9E7D" w14:textId="77777777" w:rsidTr="009C2073">
        <w:trPr>
          <w:tblCellSpacing w:w="15" w:type="dxa"/>
        </w:trPr>
        <w:tc>
          <w:tcPr>
            <w:tcW w:w="0" w:type="auto"/>
            <w:vAlign w:val="center"/>
            <w:hideMark/>
          </w:tcPr>
          <w:p w14:paraId="0D0C6E5C"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100%</w:t>
            </w:r>
          </w:p>
        </w:tc>
        <w:tc>
          <w:tcPr>
            <w:tcW w:w="0" w:type="auto"/>
            <w:vAlign w:val="center"/>
            <w:hideMark/>
          </w:tcPr>
          <w:p w14:paraId="30F275BF"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R$ 1.107.091,76</w:t>
            </w:r>
          </w:p>
        </w:tc>
        <w:tc>
          <w:tcPr>
            <w:tcW w:w="0" w:type="auto"/>
            <w:vAlign w:val="center"/>
            <w:hideMark/>
          </w:tcPr>
          <w:p w14:paraId="609BEE4F"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R$ 280.892,95</w:t>
            </w:r>
          </w:p>
        </w:tc>
        <w:tc>
          <w:tcPr>
            <w:tcW w:w="0" w:type="auto"/>
            <w:vAlign w:val="center"/>
            <w:hideMark/>
          </w:tcPr>
          <w:p w14:paraId="5912494E"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R$ 826.198,81</w:t>
            </w:r>
          </w:p>
        </w:tc>
        <w:tc>
          <w:tcPr>
            <w:tcW w:w="0" w:type="auto"/>
            <w:vAlign w:val="center"/>
            <w:hideMark/>
          </w:tcPr>
          <w:p w14:paraId="2D9311CD"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3,94x</w:t>
            </w:r>
          </w:p>
        </w:tc>
      </w:tr>
    </w:tbl>
    <w:p w14:paraId="77B32A60"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análise demonstra que o projeto permanece positivo mesmo sem receitas acessórias e ganha robustez progressiva conforme essas receitas se realizam.</w:t>
      </w:r>
    </w:p>
    <w:p w14:paraId="2F6DA694"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Esse resultado deve ser usado com inteligência: fortalece o projeto perante investidores, mas exige cautela perante órgãos de controle, pois receitas acessórias dependem de mercado, certificação, qualidade, compradores e regulação.</w:t>
      </w:r>
    </w:p>
    <w:p w14:paraId="313A1343" w14:textId="77777777" w:rsidR="00A3112D" w:rsidRPr="00B74E01" w:rsidRDefault="00A3112D" w:rsidP="00E362A0">
      <w:pPr>
        <w:pStyle w:val="Ttulo2"/>
        <w:rPr>
          <w:rFonts w:eastAsia="Times New Roman"/>
          <w:lang w:eastAsia="pt-BR"/>
        </w:rPr>
      </w:pPr>
      <w:bookmarkStart w:id="154" w:name="_Toc230204156"/>
      <w:r w:rsidRPr="00B74E01">
        <w:rPr>
          <w:rFonts w:eastAsia="Times New Roman"/>
          <w:lang w:eastAsia="pt-BR"/>
        </w:rPr>
        <w:t>12.13. Sensibilidade da taxa de juros</w:t>
      </w:r>
      <w:bookmarkEnd w:id="154"/>
    </w:p>
    <w:p w14:paraId="1C01C2F0"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Também é recomendável testar diferentes taxas de juros, especialmente </w:t>
      </w:r>
      <w:r w:rsidRPr="00B74E01">
        <w:rPr>
          <w:rFonts w:eastAsia="Times New Roman" w:cs="Arial"/>
          <w:b/>
          <w:bCs/>
          <w:kern w:val="0"/>
          <w:lang w:eastAsia="pt-BR"/>
          <w14:ligatures w14:val="none"/>
        </w:rPr>
        <w:t>8%, 10% e 12% a.a.</w:t>
      </w:r>
      <w:r w:rsidRPr="00B74E01">
        <w:rPr>
          <w:rFonts w:eastAsia="Times New Roman" w:cs="Arial"/>
          <w:kern w:val="0"/>
          <w:lang w:eastAsia="pt-BR"/>
          <w14:ligatures w14:val="none"/>
        </w:rPr>
        <w:t>, considerando o mesmo saldo financiado e prazo de amortização.</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759"/>
        <w:gridCol w:w="1104"/>
        <w:gridCol w:w="1413"/>
        <w:gridCol w:w="1411"/>
        <w:gridCol w:w="1398"/>
        <w:gridCol w:w="1562"/>
        <w:gridCol w:w="1414"/>
      </w:tblGrid>
      <w:tr w:rsidR="00A3112D" w:rsidRPr="00B74E01" w14:paraId="4EF9EECC" w14:textId="77777777" w:rsidTr="00050088">
        <w:trPr>
          <w:tblHeader/>
          <w:tblCellSpacing w:w="15" w:type="dxa"/>
        </w:trPr>
        <w:tc>
          <w:tcPr>
            <w:tcW w:w="0" w:type="auto"/>
            <w:vAlign w:val="center"/>
            <w:hideMark/>
          </w:tcPr>
          <w:p w14:paraId="0AA0439D" w14:textId="77777777" w:rsidR="00A3112D" w:rsidRPr="00B74E01" w:rsidRDefault="00A3112D" w:rsidP="00E362A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Taxa anual</w:t>
            </w:r>
          </w:p>
        </w:tc>
        <w:tc>
          <w:tcPr>
            <w:tcW w:w="0" w:type="auto"/>
            <w:vAlign w:val="center"/>
            <w:hideMark/>
          </w:tcPr>
          <w:p w14:paraId="414E8A05" w14:textId="77777777" w:rsidR="00A3112D" w:rsidRPr="00B74E01" w:rsidRDefault="00A3112D" w:rsidP="00E362A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Taxa mensal aprox.</w:t>
            </w:r>
          </w:p>
        </w:tc>
        <w:tc>
          <w:tcPr>
            <w:tcW w:w="0" w:type="auto"/>
            <w:vAlign w:val="center"/>
            <w:hideMark/>
          </w:tcPr>
          <w:p w14:paraId="7D11AD31" w14:textId="77777777" w:rsidR="00A3112D" w:rsidRPr="00B74E01" w:rsidRDefault="00A3112D" w:rsidP="00E362A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Serviço mensal após carência</w:t>
            </w:r>
          </w:p>
        </w:tc>
        <w:tc>
          <w:tcPr>
            <w:tcW w:w="0" w:type="auto"/>
            <w:vAlign w:val="center"/>
            <w:hideMark/>
          </w:tcPr>
          <w:p w14:paraId="2A2E26AA" w14:textId="77777777" w:rsidR="00A3112D" w:rsidRPr="00B74E01" w:rsidRDefault="00A3112D" w:rsidP="00E362A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EBITDA sem acessórias</w:t>
            </w:r>
          </w:p>
        </w:tc>
        <w:tc>
          <w:tcPr>
            <w:tcW w:w="0" w:type="auto"/>
            <w:vAlign w:val="center"/>
            <w:hideMark/>
          </w:tcPr>
          <w:p w14:paraId="478E16F5" w14:textId="77777777" w:rsidR="00A3112D" w:rsidRPr="00B74E01" w:rsidRDefault="00A3112D" w:rsidP="00E362A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DSCR sem acessórias</w:t>
            </w:r>
          </w:p>
        </w:tc>
        <w:tc>
          <w:tcPr>
            <w:tcW w:w="0" w:type="auto"/>
            <w:vAlign w:val="center"/>
            <w:hideMark/>
          </w:tcPr>
          <w:p w14:paraId="31138E9F" w14:textId="77777777" w:rsidR="00A3112D" w:rsidRPr="00B74E01" w:rsidRDefault="00A3112D" w:rsidP="00E362A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EBITDA com acessórias</w:t>
            </w:r>
          </w:p>
        </w:tc>
        <w:tc>
          <w:tcPr>
            <w:tcW w:w="0" w:type="auto"/>
            <w:vAlign w:val="center"/>
            <w:hideMark/>
          </w:tcPr>
          <w:p w14:paraId="56532687" w14:textId="77777777" w:rsidR="00A3112D" w:rsidRPr="00B74E01" w:rsidRDefault="00A3112D" w:rsidP="00E362A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DSCR com acessórias</w:t>
            </w:r>
          </w:p>
        </w:tc>
      </w:tr>
      <w:tr w:rsidR="00A3112D" w:rsidRPr="00B74E01" w14:paraId="456A0CA9" w14:textId="77777777" w:rsidTr="00050088">
        <w:trPr>
          <w:tblCellSpacing w:w="15" w:type="dxa"/>
        </w:trPr>
        <w:tc>
          <w:tcPr>
            <w:tcW w:w="0" w:type="auto"/>
            <w:vAlign w:val="center"/>
            <w:hideMark/>
          </w:tcPr>
          <w:p w14:paraId="654AD535"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8% a.a.</w:t>
            </w:r>
          </w:p>
        </w:tc>
        <w:tc>
          <w:tcPr>
            <w:tcW w:w="0" w:type="auto"/>
            <w:vAlign w:val="center"/>
            <w:hideMark/>
          </w:tcPr>
          <w:p w14:paraId="02E24EF0"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0,6434% a.m.</w:t>
            </w:r>
          </w:p>
        </w:tc>
        <w:tc>
          <w:tcPr>
            <w:tcW w:w="0" w:type="auto"/>
            <w:vAlign w:val="center"/>
            <w:hideMark/>
          </w:tcPr>
          <w:p w14:paraId="3EFB0A41"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R$ 244.365,00</w:t>
            </w:r>
          </w:p>
        </w:tc>
        <w:tc>
          <w:tcPr>
            <w:tcW w:w="0" w:type="auto"/>
            <w:vAlign w:val="center"/>
            <w:hideMark/>
          </w:tcPr>
          <w:p w14:paraId="3FC53AE1"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R$ 314.606,70</w:t>
            </w:r>
          </w:p>
        </w:tc>
        <w:tc>
          <w:tcPr>
            <w:tcW w:w="0" w:type="auto"/>
            <w:vAlign w:val="center"/>
            <w:hideMark/>
          </w:tcPr>
          <w:p w14:paraId="0C709D5D"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1,29x</w:t>
            </w:r>
          </w:p>
        </w:tc>
        <w:tc>
          <w:tcPr>
            <w:tcW w:w="0" w:type="auto"/>
            <w:vAlign w:val="center"/>
            <w:hideMark/>
          </w:tcPr>
          <w:p w14:paraId="5751A12C"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R$ 1.107.091,76</w:t>
            </w:r>
          </w:p>
        </w:tc>
        <w:tc>
          <w:tcPr>
            <w:tcW w:w="0" w:type="auto"/>
            <w:vAlign w:val="center"/>
            <w:hideMark/>
          </w:tcPr>
          <w:p w14:paraId="71A0EB26"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4,53x</w:t>
            </w:r>
          </w:p>
        </w:tc>
      </w:tr>
      <w:tr w:rsidR="00A3112D" w:rsidRPr="00B74E01" w14:paraId="01CEC369" w14:textId="77777777" w:rsidTr="00050088">
        <w:trPr>
          <w:tblCellSpacing w:w="15" w:type="dxa"/>
        </w:trPr>
        <w:tc>
          <w:tcPr>
            <w:tcW w:w="0" w:type="auto"/>
            <w:vAlign w:val="center"/>
            <w:hideMark/>
          </w:tcPr>
          <w:p w14:paraId="107492FA"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10% a.a.</w:t>
            </w:r>
          </w:p>
        </w:tc>
        <w:tc>
          <w:tcPr>
            <w:tcW w:w="0" w:type="auto"/>
            <w:vAlign w:val="center"/>
            <w:hideMark/>
          </w:tcPr>
          <w:p w14:paraId="633743A8"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0,7974% a.m.</w:t>
            </w:r>
          </w:p>
        </w:tc>
        <w:tc>
          <w:tcPr>
            <w:tcW w:w="0" w:type="auto"/>
            <w:vAlign w:val="center"/>
            <w:hideMark/>
          </w:tcPr>
          <w:p w14:paraId="5A2B5EC5"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R$ 280.892,95</w:t>
            </w:r>
          </w:p>
        </w:tc>
        <w:tc>
          <w:tcPr>
            <w:tcW w:w="0" w:type="auto"/>
            <w:vAlign w:val="center"/>
            <w:hideMark/>
          </w:tcPr>
          <w:p w14:paraId="4CDF8422"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R$ 314.606,70</w:t>
            </w:r>
          </w:p>
        </w:tc>
        <w:tc>
          <w:tcPr>
            <w:tcW w:w="0" w:type="auto"/>
            <w:vAlign w:val="center"/>
            <w:hideMark/>
          </w:tcPr>
          <w:p w14:paraId="35DCDAA7"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1,12x</w:t>
            </w:r>
          </w:p>
        </w:tc>
        <w:tc>
          <w:tcPr>
            <w:tcW w:w="0" w:type="auto"/>
            <w:vAlign w:val="center"/>
            <w:hideMark/>
          </w:tcPr>
          <w:p w14:paraId="74BD0B63"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R$ 1.107.091,76</w:t>
            </w:r>
          </w:p>
        </w:tc>
        <w:tc>
          <w:tcPr>
            <w:tcW w:w="0" w:type="auto"/>
            <w:vAlign w:val="center"/>
            <w:hideMark/>
          </w:tcPr>
          <w:p w14:paraId="136AC330"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3,94x</w:t>
            </w:r>
          </w:p>
        </w:tc>
      </w:tr>
      <w:tr w:rsidR="00A3112D" w:rsidRPr="00B74E01" w14:paraId="00E262BA" w14:textId="77777777" w:rsidTr="00050088">
        <w:trPr>
          <w:tblCellSpacing w:w="15" w:type="dxa"/>
        </w:trPr>
        <w:tc>
          <w:tcPr>
            <w:tcW w:w="0" w:type="auto"/>
            <w:vAlign w:val="center"/>
            <w:hideMark/>
          </w:tcPr>
          <w:p w14:paraId="742B44BF"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12% a.a.</w:t>
            </w:r>
          </w:p>
        </w:tc>
        <w:tc>
          <w:tcPr>
            <w:tcW w:w="0" w:type="auto"/>
            <w:vAlign w:val="center"/>
            <w:hideMark/>
          </w:tcPr>
          <w:p w14:paraId="3AF936AB"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0,9489% a.m.</w:t>
            </w:r>
          </w:p>
        </w:tc>
        <w:tc>
          <w:tcPr>
            <w:tcW w:w="0" w:type="auto"/>
            <w:vAlign w:val="center"/>
            <w:hideMark/>
          </w:tcPr>
          <w:p w14:paraId="05B32274"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R$ 318.248,00</w:t>
            </w:r>
          </w:p>
        </w:tc>
        <w:tc>
          <w:tcPr>
            <w:tcW w:w="0" w:type="auto"/>
            <w:vAlign w:val="center"/>
            <w:hideMark/>
          </w:tcPr>
          <w:p w14:paraId="443D77EF"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R$ 314.606,70</w:t>
            </w:r>
          </w:p>
        </w:tc>
        <w:tc>
          <w:tcPr>
            <w:tcW w:w="0" w:type="auto"/>
            <w:vAlign w:val="center"/>
            <w:hideMark/>
          </w:tcPr>
          <w:p w14:paraId="052EE3B8"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0,99x</w:t>
            </w:r>
          </w:p>
        </w:tc>
        <w:tc>
          <w:tcPr>
            <w:tcW w:w="0" w:type="auto"/>
            <w:vAlign w:val="center"/>
            <w:hideMark/>
          </w:tcPr>
          <w:p w14:paraId="72E2BFCA"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R$ 1.107.091,76</w:t>
            </w:r>
          </w:p>
        </w:tc>
        <w:tc>
          <w:tcPr>
            <w:tcW w:w="0" w:type="auto"/>
            <w:vAlign w:val="center"/>
            <w:hideMark/>
          </w:tcPr>
          <w:p w14:paraId="7FE4A031"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3,48x</w:t>
            </w:r>
          </w:p>
        </w:tc>
      </w:tr>
    </w:tbl>
    <w:p w14:paraId="07F234D8"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lastRenderedPageBreak/>
        <w:t xml:space="preserve">A sensibilidade demonstra que, sem receitas acessórias, uma taxa de juros de </w:t>
      </w:r>
      <w:r w:rsidRPr="00B74E01">
        <w:rPr>
          <w:rFonts w:eastAsia="Times New Roman" w:cs="Arial"/>
          <w:b/>
          <w:bCs/>
          <w:kern w:val="0"/>
          <w:lang w:eastAsia="pt-BR"/>
          <w14:ligatures w14:val="none"/>
        </w:rPr>
        <w:t>12% a.a.</w:t>
      </w:r>
      <w:r w:rsidRPr="00B74E01">
        <w:rPr>
          <w:rFonts w:eastAsia="Times New Roman" w:cs="Arial"/>
          <w:kern w:val="0"/>
          <w:lang w:eastAsia="pt-BR"/>
          <w14:ligatures w14:val="none"/>
        </w:rPr>
        <w:t xml:space="preserve"> pressionaria a cobertura da dívida no cenário-base. Por isso, são essenciais garantias robustas, eventual estrutura de capital com </w:t>
      </w:r>
      <w:proofErr w:type="spellStart"/>
      <w:r w:rsidRPr="00B74E01">
        <w:rPr>
          <w:rFonts w:eastAsia="Times New Roman" w:cs="Arial"/>
          <w:kern w:val="0"/>
          <w:lang w:eastAsia="pt-BR"/>
          <w14:ligatures w14:val="none"/>
        </w:rPr>
        <w:t>equity</w:t>
      </w:r>
      <w:proofErr w:type="spellEnd"/>
      <w:r w:rsidRPr="00B74E01">
        <w:rPr>
          <w:rFonts w:eastAsia="Times New Roman" w:cs="Arial"/>
          <w:kern w:val="0"/>
          <w:lang w:eastAsia="pt-BR"/>
          <w14:ligatures w14:val="none"/>
        </w:rPr>
        <w:t>, alongamento de prazo, fontes mais baratas ou confirmação das receitas acessórias.</w:t>
      </w:r>
    </w:p>
    <w:p w14:paraId="71E1E994"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Com receitas acessórias, o projeto permanece robusto mesmo em cenário de juros mais elevado.</w:t>
      </w:r>
    </w:p>
    <w:p w14:paraId="3AB74E2F" w14:textId="77777777" w:rsidR="00A3112D" w:rsidRPr="00B74E01" w:rsidRDefault="00A3112D" w:rsidP="00E362A0">
      <w:pPr>
        <w:pStyle w:val="Ttulo2"/>
        <w:rPr>
          <w:rFonts w:eastAsia="Times New Roman"/>
          <w:lang w:eastAsia="pt-BR"/>
        </w:rPr>
      </w:pPr>
      <w:bookmarkStart w:id="155" w:name="_Toc230204157"/>
      <w:r w:rsidRPr="00B74E01">
        <w:rPr>
          <w:rFonts w:eastAsia="Times New Roman"/>
          <w:lang w:eastAsia="pt-BR"/>
        </w:rPr>
        <w:t xml:space="preserve">12.14. Papel das garantias na </w:t>
      </w:r>
      <w:proofErr w:type="spellStart"/>
      <w:r w:rsidRPr="00B74E01">
        <w:rPr>
          <w:rFonts w:eastAsia="Times New Roman"/>
          <w:lang w:eastAsia="pt-BR"/>
        </w:rPr>
        <w:t>bancabilidade</w:t>
      </w:r>
      <w:bookmarkEnd w:id="155"/>
      <w:proofErr w:type="spellEnd"/>
    </w:p>
    <w:p w14:paraId="253F35E6"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existência de garantia de pagamento é decisiva para a análise de crédito.</w:t>
      </w:r>
    </w:p>
    <w:p w14:paraId="0503745A"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No cenário-base, a receita principal mensal </w:t>
      </w:r>
      <w:proofErr w:type="spellStart"/>
      <w:r w:rsidRPr="00B74E01">
        <w:rPr>
          <w:rFonts w:eastAsia="Times New Roman" w:cs="Arial"/>
          <w:kern w:val="0"/>
          <w:lang w:eastAsia="pt-BR"/>
          <w14:ligatures w14:val="none"/>
        </w:rPr>
        <w:t>garantível</w:t>
      </w:r>
      <w:proofErr w:type="spellEnd"/>
      <w:r w:rsidRPr="00B74E01">
        <w:rPr>
          <w:rFonts w:eastAsia="Times New Roman" w:cs="Arial"/>
          <w:kern w:val="0"/>
          <w:lang w:eastAsia="pt-BR"/>
          <w14:ligatures w14:val="none"/>
        </w:rPr>
        <w:t xml:space="preserve"> é de </w:t>
      </w:r>
      <w:r w:rsidRPr="00B74E01">
        <w:rPr>
          <w:rFonts w:eastAsia="Times New Roman" w:cs="Arial"/>
          <w:b/>
          <w:bCs/>
          <w:kern w:val="0"/>
          <w:lang w:eastAsia="pt-BR"/>
          <w14:ligatures w14:val="none"/>
        </w:rPr>
        <w:t>R$ 700.077,09</w:t>
      </w:r>
      <w:r w:rsidRPr="00B74E01">
        <w:rPr>
          <w:rFonts w:eastAsia="Times New Roman" w:cs="Arial"/>
          <w:kern w:val="0"/>
          <w:lang w:eastAsia="pt-BR"/>
          <w14:ligatures w14:val="none"/>
        </w:rPr>
        <w:t xml:space="preserve">. Recomenda-se que o contrato preveja Fundo Garantidor, conta vinculada, conta reserva, </w:t>
      </w:r>
      <w:proofErr w:type="spellStart"/>
      <w:r w:rsidRPr="00B74E01">
        <w:rPr>
          <w:rFonts w:eastAsia="Times New Roman" w:cs="Arial"/>
          <w:kern w:val="0"/>
          <w:lang w:eastAsia="pt-BR"/>
          <w14:ligatures w14:val="none"/>
        </w:rPr>
        <w:t>escrow</w:t>
      </w:r>
      <w:proofErr w:type="spellEnd"/>
      <w:r w:rsidRPr="00B74E01">
        <w:rPr>
          <w:rFonts w:eastAsia="Times New Roman" w:cs="Arial"/>
          <w:kern w:val="0"/>
          <w:lang w:eastAsia="pt-BR"/>
          <w14:ligatures w14:val="none"/>
        </w:rPr>
        <w:t xml:space="preserve"> </w:t>
      </w:r>
      <w:proofErr w:type="spellStart"/>
      <w:r w:rsidRPr="00B74E01">
        <w:rPr>
          <w:rFonts w:eastAsia="Times New Roman" w:cs="Arial"/>
          <w:kern w:val="0"/>
          <w:lang w:eastAsia="pt-BR"/>
          <w14:ligatures w14:val="none"/>
        </w:rPr>
        <w:t>account</w:t>
      </w:r>
      <w:proofErr w:type="spellEnd"/>
      <w:r w:rsidRPr="00B74E01">
        <w:rPr>
          <w:rFonts w:eastAsia="Times New Roman" w:cs="Arial"/>
          <w:kern w:val="0"/>
          <w:lang w:eastAsia="pt-BR"/>
          <w14:ligatures w14:val="none"/>
        </w:rPr>
        <w:t xml:space="preserve"> ou instrumento equivalente.</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550"/>
        <w:gridCol w:w="3069"/>
        <w:gridCol w:w="2830"/>
      </w:tblGrid>
      <w:tr w:rsidR="00A3112D" w:rsidRPr="00B74E01" w14:paraId="3D541B30" w14:textId="77777777" w:rsidTr="00050088">
        <w:trPr>
          <w:tblHeader/>
          <w:tblCellSpacing w:w="15" w:type="dxa"/>
        </w:trPr>
        <w:tc>
          <w:tcPr>
            <w:tcW w:w="0" w:type="auto"/>
            <w:vAlign w:val="center"/>
            <w:hideMark/>
          </w:tcPr>
          <w:p w14:paraId="70935238" w14:textId="77777777" w:rsidR="00A3112D" w:rsidRPr="00B74E01" w:rsidRDefault="00A3112D" w:rsidP="00E362A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Nível de garantia</w:t>
            </w:r>
          </w:p>
        </w:tc>
        <w:tc>
          <w:tcPr>
            <w:tcW w:w="0" w:type="auto"/>
            <w:vAlign w:val="center"/>
            <w:hideMark/>
          </w:tcPr>
          <w:p w14:paraId="5EC63104" w14:textId="77777777" w:rsidR="00A3112D" w:rsidRPr="00B74E01" w:rsidRDefault="00A3112D" w:rsidP="00E362A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Meses de receita principal</w:t>
            </w:r>
          </w:p>
        </w:tc>
        <w:tc>
          <w:tcPr>
            <w:tcW w:w="0" w:type="auto"/>
            <w:vAlign w:val="center"/>
            <w:hideMark/>
          </w:tcPr>
          <w:p w14:paraId="74535E43" w14:textId="77777777" w:rsidR="00A3112D" w:rsidRPr="00B74E01" w:rsidRDefault="00A3112D" w:rsidP="00E362A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 no cenário R$ 95/t</w:t>
            </w:r>
          </w:p>
        </w:tc>
      </w:tr>
      <w:tr w:rsidR="00A3112D" w:rsidRPr="00B74E01" w14:paraId="1600B96C" w14:textId="77777777" w:rsidTr="00050088">
        <w:trPr>
          <w:tblCellSpacing w:w="15" w:type="dxa"/>
        </w:trPr>
        <w:tc>
          <w:tcPr>
            <w:tcW w:w="0" w:type="auto"/>
            <w:vAlign w:val="center"/>
            <w:hideMark/>
          </w:tcPr>
          <w:p w14:paraId="5EA3DB2D"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Garantia mínima</w:t>
            </w:r>
          </w:p>
        </w:tc>
        <w:tc>
          <w:tcPr>
            <w:tcW w:w="0" w:type="auto"/>
            <w:vAlign w:val="center"/>
            <w:hideMark/>
          </w:tcPr>
          <w:p w14:paraId="4F1C25EA"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3 meses</w:t>
            </w:r>
          </w:p>
        </w:tc>
        <w:tc>
          <w:tcPr>
            <w:tcW w:w="0" w:type="auto"/>
            <w:vAlign w:val="center"/>
            <w:hideMark/>
          </w:tcPr>
          <w:p w14:paraId="05E75050"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R$ 2.100.231,27</w:t>
            </w:r>
          </w:p>
        </w:tc>
      </w:tr>
      <w:tr w:rsidR="00A3112D" w:rsidRPr="00B74E01" w14:paraId="34F9194F" w14:textId="77777777" w:rsidTr="00050088">
        <w:trPr>
          <w:tblCellSpacing w:w="15" w:type="dxa"/>
        </w:trPr>
        <w:tc>
          <w:tcPr>
            <w:tcW w:w="0" w:type="auto"/>
            <w:vAlign w:val="center"/>
            <w:hideMark/>
          </w:tcPr>
          <w:p w14:paraId="34D62C17"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Garantia recomendada</w:t>
            </w:r>
          </w:p>
        </w:tc>
        <w:tc>
          <w:tcPr>
            <w:tcW w:w="0" w:type="auto"/>
            <w:vAlign w:val="center"/>
            <w:hideMark/>
          </w:tcPr>
          <w:p w14:paraId="17664F9D"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6 meses</w:t>
            </w:r>
          </w:p>
        </w:tc>
        <w:tc>
          <w:tcPr>
            <w:tcW w:w="0" w:type="auto"/>
            <w:vAlign w:val="center"/>
            <w:hideMark/>
          </w:tcPr>
          <w:p w14:paraId="4B090B08"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R$ 4.200.462,54</w:t>
            </w:r>
          </w:p>
        </w:tc>
      </w:tr>
      <w:tr w:rsidR="00A3112D" w:rsidRPr="00B74E01" w14:paraId="0279046C" w14:textId="77777777" w:rsidTr="00050088">
        <w:trPr>
          <w:tblCellSpacing w:w="15" w:type="dxa"/>
        </w:trPr>
        <w:tc>
          <w:tcPr>
            <w:tcW w:w="0" w:type="auto"/>
            <w:vAlign w:val="center"/>
            <w:hideMark/>
          </w:tcPr>
          <w:p w14:paraId="534CB8A6"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Garantia robusta</w:t>
            </w:r>
          </w:p>
        </w:tc>
        <w:tc>
          <w:tcPr>
            <w:tcW w:w="0" w:type="auto"/>
            <w:vAlign w:val="center"/>
            <w:hideMark/>
          </w:tcPr>
          <w:p w14:paraId="4154A70D"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12 meses</w:t>
            </w:r>
          </w:p>
        </w:tc>
        <w:tc>
          <w:tcPr>
            <w:tcW w:w="0" w:type="auto"/>
            <w:vAlign w:val="center"/>
            <w:hideMark/>
          </w:tcPr>
          <w:p w14:paraId="67996307"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R$ 8.400.925,08</w:t>
            </w:r>
          </w:p>
        </w:tc>
      </w:tr>
    </w:tbl>
    <w:p w14:paraId="77AB66E4"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 garantia recomendada de </w:t>
      </w:r>
      <w:r w:rsidRPr="00B74E01">
        <w:rPr>
          <w:rFonts w:eastAsia="Times New Roman" w:cs="Arial"/>
          <w:b/>
          <w:bCs/>
          <w:kern w:val="0"/>
          <w:lang w:eastAsia="pt-BR"/>
          <w14:ligatures w14:val="none"/>
        </w:rPr>
        <w:t>6 meses</w:t>
      </w:r>
      <w:r w:rsidRPr="00B74E01">
        <w:rPr>
          <w:rFonts w:eastAsia="Times New Roman" w:cs="Arial"/>
          <w:kern w:val="0"/>
          <w:lang w:eastAsia="pt-BR"/>
          <w14:ligatures w14:val="none"/>
        </w:rPr>
        <w:t xml:space="preserve"> representa equilíbrio entre segurança financeira e razoabilidade fiscal.</w:t>
      </w:r>
    </w:p>
    <w:p w14:paraId="059739DC"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Sem garantia adequada, o financiador tende a aumentar a percepção de risco, exigir maior capital próprio, elevar taxa, encurtar prazo ou simplesmente rejeitar o financiamento.</w:t>
      </w:r>
    </w:p>
    <w:p w14:paraId="541F211E" w14:textId="77777777" w:rsidR="00A3112D" w:rsidRPr="00B74E01" w:rsidRDefault="00A3112D" w:rsidP="00E362A0">
      <w:pPr>
        <w:pStyle w:val="Ttulo2"/>
        <w:rPr>
          <w:rFonts w:eastAsia="Times New Roman"/>
          <w:lang w:eastAsia="pt-BR"/>
        </w:rPr>
      </w:pPr>
      <w:bookmarkStart w:id="156" w:name="_Toc230204158"/>
      <w:r w:rsidRPr="00B74E01">
        <w:rPr>
          <w:rFonts w:eastAsia="Times New Roman"/>
          <w:lang w:eastAsia="pt-BR"/>
        </w:rPr>
        <w:t>12.15. Alternativas de estrutura de capital</w:t>
      </w:r>
      <w:bookmarkEnd w:id="156"/>
    </w:p>
    <w:p w14:paraId="49467150"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Embora a modelagem utilize financiamento de 100%, outras estruturas poderão ser apresentadas pelos licitantes.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73"/>
        <w:gridCol w:w="3519"/>
        <w:gridCol w:w="3169"/>
      </w:tblGrid>
      <w:tr w:rsidR="00A3112D" w:rsidRPr="00B74E01" w14:paraId="1494F0CB" w14:textId="77777777" w:rsidTr="00050088">
        <w:trPr>
          <w:tblHeade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2E75D5BE" w14:textId="77777777" w:rsidR="00A3112D" w:rsidRPr="00B74E01" w:rsidRDefault="00A3112D" w:rsidP="00E362A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lastRenderedPageBreak/>
              <w:t>Estrutura possível</w:t>
            </w:r>
          </w:p>
        </w:tc>
        <w:tc>
          <w:tcPr>
            <w:tcW w:w="0" w:type="auto"/>
            <w:tcBorders>
              <w:top w:val="single" w:sz="4" w:space="0" w:color="auto"/>
              <w:left w:val="single" w:sz="4" w:space="0" w:color="auto"/>
              <w:bottom w:val="single" w:sz="4" w:space="0" w:color="auto"/>
              <w:right w:val="single" w:sz="4" w:space="0" w:color="auto"/>
            </w:tcBorders>
            <w:vAlign w:val="center"/>
            <w:hideMark/>
          </w:tcPr>
          <w:p w14:paraId="79959F07" w14:textId="77777777" w:rsidR="00A3112D" w:rsidRPr="00B74E01" w:rsidRDefault="00A3112D" w:rsidP="00E362A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Característica</w:t>
            </w:r>
          </w:p>
        </w:tc>
        <w:tc>
          <w:tcPr>
            <w:tcW w:w="0" w:type="auto"/>
            <w:tcBorders>
              <w:top w:val="single" w:sz="4" w:space="0" w:color="auto"/>
              <w:left w:val="single" w:sz="4" w:space="0" w:color="auto"/>
              <w:bottom w:val="single" w:sz="4" w:space="0" w:color="auto"/>
              <w:right w:val="single" w:sz="4" w:space="0" w:color="auto"/>
            </w:tcBorders>
            <w:vAlign w:val="center"/>
            <w:hideMark/>
          </w:tcPr>
          <w:p w14:paraId="7C02DAE8" w14:textId="77777777" w:rsidR="00A3112D" w:rsidRPr="00B74E01" w:rsidRDefault="00A3112D" w:rsidP="00E362A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Efeito provável</w:t>
            </w:r>
          </w:p>
        </w:tc>
      </w:tr>
      <w:tr w:rsidR="00A3112D" w:rsidRPr="00B74E01" w14:paraId="1629CE18" w14:textId="77777777" w:rsidTr="0005008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30E64EA0"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100% dívida</w:t>
            </w:r>
          </w:p>
        </w:tc>
        <w:tc>
          <w:tcPr>
            <w:tcW w:w="0" w:type="auto"/>
            <w:tcBorders>
              <w:top w:val="single" w:sz="4" w:space="0" w:color="auto"/>
              <w:left w:val="single" w:sz="4" w:space="0" w:color="auto"/>
              <w:bottom w:val="single" w:sz="4" w:space="0" w:color="auto"/>
              <w:right w:val="single" w:sz="4" w:space="0" w:color="auto"/>
            </w:tcBorders>
            <w:vAlign w:val="center"/>
            <w:hideMark/>
          </w:tcPr>
          <w:p w14:paraId="0E63106B"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Maior alavancagem</w:t>
            </w:r>
          </w:p>
        </w:tc>
        <w:tc>
          <w:tcPr>
            <w:tcW w:w="0" w:type="auto"/>
            <w:tcBorders>
              <w:top w:val="single" w:sz="4" w:space="0" w:color="auto"/>
              <w:left w:val="single" w:sz="4" w:space="0" w:color="auto"/>
              <w:bottom w:val="single" w:sz="4" w:space="0" w:color="auto"/>
              <w:right w:val="single" w:sz="4" w:space="0" w:color="auto"/>
            </w:tcBorders>
            <w:vAlign w:val="center"/>
            <w:hideMark/>
          </w:tcPr>
          <w:p w14:paraId="09798682"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Aumenta exigência de DSCR e garantias</w:t>
            </w:r>
          </w:p>
        </w:tc>
      </w:tr>
      <w:tr w:rsidR="00A3112D" w:rsidRPr="00B74E01" w14:paraId="5449DCB2" w14:textId="77777777" w:rsidTr="0005008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5CD43048"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 xml:space="preserve">Dívida + </w:t>
            </w:r>
            <w:proofErr w:type="spellStart"/>
            <w:r w:rsidRPr="00B74E01">
              <w:rPr>
                <w:rFonts w:eastAsia="Times New Roman" w:cs="Arial"/>
                <w:kern w:val="0"/>
                <w:lang w:eastAsia="pt-BR"/>
                <w14:ligatures w14:val="none"/>
              </w:rPr>
              <w:t>equity</w:t>
            </w:r>
            <w:proofErr w:type="spellEnd"/>
          </w:p>
        </w:tc>
        <w:tc>
          <w:tcPr>
            <w:tcW w:w="0" w:type="auto"/>
            <w:tcBorders>
              <w:top w:val="single" w:sz="4" w:space="0" w:color="auto"/>
              <w:left w:val="single" w:sz="4" w:space="0" w:color="auto"/>
              <w:bottom w:val="single" w:sz="4" w:space="0" w:color="auto"/>
              <w:right w:val="single" w:sz="4" w:space="0" w:color="auto"/>
            </w:tcBorders>
            <w:vAlign w:val="center"/>
            <w:hideMark/>
          </w:tcPr>
          <w:p w14:paraId="534D1186"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Estrutura mais equilibrada</w:t>
            </w:r>
          </w:p>
        </w:tc>
        <w:tc>
          <w:tcPr>
            <w:tcW w:w="0" w:type="auto"/>
            <w:tcBorders>
              <w:top w:val="single" w:sz="4" w:space="0" w:color="auto"/>
              <w:left w:val="single" w:sz="4" w:space="0" w:color="auto"/>
              <w:bottom w:val="single" w:sz="4" w:space="0" w:color="auto"/>
              <w:right w:val="single" w:sz="4" w:space="0" w:color="auto"/>
            </w:tcBorders>
            <w:vAlign w:val="center"/>
            <w:hideMark/>
          </w:tcPr>
          <w:p w14:paraId="4EA61393"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Reduz pressão do serviço da dívida</w:t>
            </w:r>
          </w:p>
        </w:tc>
      </w:tr>
      <w:tr w:rsidR="00A3112D" w:rsidRPr="00B74E01" w14:paraId="2867670D" w14:textId="77777777" w:rsidTr="0005008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30A480E4"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Financiamento parcial</w:t>
            </w:r>
          </w:p>
        </w:tc>
        <w:tc>
          <w:tcPr>
            <w:tcW w:w="0" w:type="auto"/>
            <w:tcBorders>
              <w:top w:val="single" w:sz="4" w:space="0" w:color="auto"/>
              <w:left w:val="single" w:sz="4" w:space="0" w:color="auto"/>
              <w:bottom w:val="single" w:sz="4" w:space="0" w:color="auto"/>
              <w:right w:val="single" w:sz="4" w:space="0" w:color="auto"/>
            </w:tcBorders>
            <w:vAlign w:val="center"/>
            <w:hideMark/>
          </w:tcPr>
          <w:p w14:paraId="31F177B5"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Menor risco para financiador</w:t>
            </w:r>
          </w:p>
        </w:tc>
        <w:tc>
          <w:tcPr>
            <w:tcW w:w="0" w:type="auto"/>
            <w:tcBorders>
              <w:top w:val="single" w:sz="4" w:space="0" w:color="auto"/>
              <w:left w:val="single" w:sz="4" w:space="0" w:color="auto"/>
              <w:bottom w:val="single" w:sz="4" w:space="0" w:color="auto"/>
              <w:right w:val="single" w:sz="4" w:space="0" w:color="auto"/>
            </w:tcBorders>
            <w:vAlign w:val="center"/>
            <w:hideMark/>
          </w:tcPr>
          <w:p w14:paraId="178A1C2B"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Exige maior aporte privado</w:t>
            </w:r>
          </w:p>
        </w:tc>
      </w:tr>
      <w:tr w:rsidR="00A3112D" w:rsidRPr="00B74E01" w14:paraId="4C051239" w14:textId="77777777" w:rsidTr="0005008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21E937DD" w14:textId="77777777" w:rsidR="00A3112D" w:rsidRPr="00B74E01" w:rsidRDefault="00A3112D" w:rsidP="00E362A0">
            <w:pPr>
              <w:spacing w:after="0" w:line="360" w:lineRule="auto"/>
              <w:rPr>
                <w:rFonts w:eastAsia="Times New Roman" w:cs="Arial"/>
                <w:kern w:val="0"/>
                <w:lang w:eastAsia="pt-BR"/>
                <w14:ligatures w14:val="none"/>
              </w:rPr>
            </w:pPr>
            <w:proofErr w:type="spellStart"/>
            <w:r w:rsidRPr="00B74E01">
              <w:rPr>
                <w:rFonts w:eastAsia="Times New Roman" w:cs="Arial"/>
                <w:kern w:val="0"/>
                <w:lang w:eastAsia="pt-BR"/>
                <w14:ligatures w14:val="none"/>
              </w:rPr>
              <w:t>Blended</w:t>
            </w:r>
            <w:proofErr w:type="spellEnd"/>
            <w:r w:rsidRPr="00B74E01">
              <w:rPr>
                <w:rFonts w:eastAsia="Times New Roman" w:cs="Arial"/>
                <w:kern w:val="0"/>
                <w:lang w:eastAsia="pt-BR"/>
                <w14:ligatures w14:val="none"/>
              </w:rPr>
              <w:t xml:space="preserve"> </w:t>
            </w:r>
            <w:proofErr w:type="spellStart"/>
            <w:r w:rsidRPr="00B74E01">
              <w:rPr>
                <w:rFonts w:eastAsia="Times New Roman" w:cs="Arial"/>
                <w:kern w:val="0"/>
                <w:lang w:eastAsia="pt-BR"/>
                <w14:ligatures w14:val="none"/>
              </w:rPr>
              <w:t>finance</w:t>
            </w:r>
            <w:proofErr w:type="spellEnd"/>
          </w:p>
        </w:tc>
        <w:tc>
          <w:tcPr>
            <w:tcW w:w="0" w:type="auto"/>
            <w:tcBorders>
              <w:top w:val="single" w:sz="4" w:space="0" w:color="auto"/>
              <w:left w:val="single" w:sz="4" w:space="0" w:color="auto"/>
              <w:bottom w:val="single" w:sz="4" w:space="0" w:color="auto"/>
              <w:right w:val="single" w:sz="4" w:space="0" w:color="auto"/>
            </w:tcBorders>
            <w:vAlign w:val="center"/>
            <w:hideMark/>
          </w:tcPr>
          <w:p w14:paraId="0B10E078"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Combina fontes públicas, privadas e climáticas</w:t>
            </w:r>
          </w:p>
        </w:tc>
        <w:tc>
          <w:tcPr>
            <w:tcW w:w="0" w:type="auto"/>
            <w:tcBorders>
              <w:top w:val="single" w:sz="4" w:space="0" w:color="auto"/>
              <w:left w:val="single" w:sz="4" w:space="0" w:color="auto"/>
              <w:bottom w:val="single" w:sz="4" w:space="0" w:color="auto"/>
              <w:right w:val="single" w:sz="4" w:space="0" w:color="auto"/>
            </w:tcBorders>
            <w:vAlign w:val="center"/>
            <w:hideMark/>
          </w:tcPr>
          <w:p w14:paraId="21802480"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Pode reduzir custo médio de capital</w:t>
            </w:r>
          </w:p>
        </w:tc>
      </w:tr>
      <w:tr w:rsidR="00A3112D" w:rsidRPr="00B74E01" w14:paraId="1E7B9FBB" w14:textId="77777777" w:rsidTr="0005008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7998F8BC"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Debêntures incentivadas</w:t>
            </w:r>
          </w:p>
        </w:tc>
        <w:tc>
          <w:tcPr>
            <w:tcW w:w="0" w:type="auto"/>
            <w:tcBorders>
              <w:top w:val="single" w:sz="4" w:space="0" w:color="auto"/>
              <w:left w:val="single" w:sz="4" w:space="0" w:color="auto"/>
              <w:bottom w:val="single" w:sz="4" w:space="0" w:color="auto"/>
              <w:right w:val="single" w:sz="4" w:space="0" w:color="auto"/>
            </w:tcBorders>
            <w:vAlign w:val="center"/>
            <w:hideMark/>
          </w:tcPr>
          <w:p w14:paraId="7C8B30F1"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Fonte de mercado de capitais</w:t>
            </w:r>
          </w:p>
        </w:tc>
        <w:tc>
          <w:tcPr>
            <w:tcW w:w="0" w:type="auto"/>
            <w:tcBorders>
              <w:top w:val="single" w:sz="4" w:space="0" w:color="auto"/>
              <w:left w:val="single" w:sz="4" w:space="0" w:color="auto"/>
              <w:bottom w:val="single" w:sz="4" w:space="0" w:color="auto"/>
              <w:right w:val="single" w:sz="4" w:space="0" w:color="auto"/>
            </w:tcBorders>
            <w:vAlign w:val="center"/>
            <w:hideMark/>
          </w:tcPr>
          <w:p w14:paraId="02E17614"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Depende de estruturação e rating</w:t>
            </w:r>
          </w:p>
        </w:tc>
      </w:tr>
      <w:tr w:rsidR="00A3112D" w:rsidRPr="00B74E01" w14:paraId="6D4B2A0C" w14:textId="77777777" w:rsidTr="0005008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07AB80D6"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BNDES / fundos climáticos</w:t>
            </w:r>
          </w:p>
        </w:tc>
        <w:tc>
          <w:tcPr>
            <w:tcW w:w="0" w:type="auto"/>
            <w:tcBorders>
              <w:top w:val="single" w:sz="4" w:space="0" w:color="auto"/>
              <w:left w:val="single" w:sz="4" w:space="0" w:color="auto"/>
              <w:bottom w:val="single" w:sz="4" w:space="0" w:color="auto"/>
              <w:right w:val="single" w:sz="4" w:space="0" w:color="auto"/>
            </w:tcBorders>
            <w:vAlign w:val="center"/>
            <w:hideMark/>
          </w:tcPr>
          <w:p w14:paraId="597A4930"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Alternativas de longo prazo</w:t>
            </w:r>
          </w:p>
        </w:tc>
        <w:tc>
          <w:tcPr>
            <w:tcW w:w="0" w:type="auto"/>
            <w:tcBorders>
              <w:top w:val="single" w:sz="4" w:space="0" w:color="auto"/>
              <w:left w:val="single" w:sz="4" w:space="0" w:color="auto"/>
              <w:bottom w:val="single" w:sz="4" w:space="0" w:color="auto"/>
              <w:right w:val="single" w:sz="4" w:space="0" w:color="auto"/>
            </w:tcBorders>
            <w:vAlign w:val="center"/>
            <w:hideMark/>
          </w:tcPr>
          <w:p w14:paraId="4356A029"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Podem melhorar prazo e custo</w:t>
            </w:r>
          </w:p>
        </w:tc>
      </w:tr>
      <w:tr w:rsidR="00A3112D" w:rsidRPr="00B74E01" w14:paraId="40AE5CAA" w14:textId="77777777" w:rsidTr="0005008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7798F070"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FIDC ou recebíveis</w:t>
            </w:r>
          </w:p>
        </w:tc>
        <w:tc>
          <w:tcPr>
            <w:tcW w:w="0" w:type="auto"/>
            <w:tcBorders>
              <w:top w:val="single" w:sz="4" w:space="0" w:color="auto"/>
              <w:left w:val="single" w:sz="4" w:space="0" w:color="auto"/>
              <w:bottom w:val="single" w:sz="4" w:space="0" w:color="auto"/>
              <w:right w:val="single" w:sz="4" w:space="0" w:color="auto"/>
            </w:tcBorders>
            <w:vAlign w:val="center"/>
            <w:hideMark/>
          </w:tcPr>
          <w:p w14:paraId="414CF00C"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Usa fluxo contratual como lastro</w:t>
            </w:r>
          </w:p>
        </w:tc>
        <w:tc>
          <w:tcPr>
            <w:tcW w:w="0" w:type="auto"/>
            <w:tcBorders>
              <w:top w:val="single" w:sz="4" w:space="0" w:color="auto"/>
              <w:left w:val="single" w:sz="4" w:space="0" w:color="auto"/>
              <w:bottom w:val="single" w:sz="4" w:space="0" w:color="auto"/>
              <w:right w:val="single" w:sz="4" w:space="0" w:color="auto"/>
            </w:tcBorders>
            <w:vAlign w:val="center"/>
            <w:hideMark/>
          </w:tcPr>
          <w:p w14:paraId="3FA1E3D6"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Exige garantia e previsibilidade</w:t>
            </w:r>
          </w:p>
        </w:tc>
      </w:tr>
    </w:tbl>
    <w:p w14:paraId="7C25AA04"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 licitação não deve engessar a estrutura de capital. O importante é exigir que o proponente demonstre capacidade financeira, </w:t>
      </w:r>
      <w:proofErr w:type="spellStart"/>
      <w:r w:rsidRPr="00B74E01">
        <w:rPr>
          <w:rFonts w:eastAsia="Times New Roman" w:cs="Arial"/>
          <w:kern w:val="0"/>
          <w:lang w:eastAsia="pt-BR"/>
          <w14:ligatures w14:val="none"/>
        </w:rPr>
        <w:t>funding</w:t>
      </w:r>
      <w:proofErr w:type="spellEnd"/>
      <w:r w:rsidRPr="00B74E01">
        <w:rPr>
          <w:rFonts w:eastAsia="Times New Roman" w:cs="Arial"/>
          <w:kern w:val="0"/>
          <w:lang w:eastAsia="pt-BR"/>
          <w14:ligatures w14:val="none"/>
        </w:rPr>
        <w:t>, garantias e coerência entre CAPEX, OPEX, dívida e fluxo de caixa.</w:t>
      </w:r>
    </w:p>
    <w:p w14:paraId="0EDBD0A5" w14:textId="77777777" w:rsidR="00A3112D" w:rsidRPr="00B74E01" w:rsidRDefault="00A3112D" w:rsidP="00E362A0">
      <w:pPr>
        <w:pStyle w:val="Ttulo2"/>
        <w:rPr>
          <w:rFonts w:eastAsia="Times New Roman"/>
          <w:lang w:eastAsia="pt-BR"/>
        </w:rPr>
      </w:pPr>
      <w:bookmarkStart w:id="157" w:name="_Toc230204159"/>
      <w:r w:rsidRPr="00B74E01">
        <w:rPr>
          <w:rFonts w:eastAsia="Times New Roman"/>
          <w:lang w:eastAsia="pt-BR"/>
        </w:rPr>
        <w:t>12.16. Responsabilidade dos licitantes</w:t>
      </w:r>
      <w:bookmarkEnd w:id="157"/>
    </w:p>
    <w:p w14:paraId="21E006EF"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Os licitantes deverão comprovar capacidade econômico-financeira compatível com a execução da PPP.</w:t>
      </w:r>
    </w:p>
    <w:p w14:paraId="2A76D31F"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O edital poderá exigir:</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685"/>
        <w:gridCol w:w="4258"/>
      </w:tblGrid>
      <w:tr w:rsidR="00A3112D" w:rsidRPr="00B74E01" w14:paraId="1BD317EB" w14:textId="77777777" w:rsidTr="00050088">
        <w:trPr>
          <w:tblHeader/>
          <w:tblCellSpacing w:w="15" w:type="dxa"/>
        </w:trPr>
        <w:tc>
          <w:tcPr>
            <w:tcW w:w="0" w:type="auto"/>
            <w:vAlign w:val="center"/>
            <w:hideMark/>
          </w:tcPr>
          <w:p w14:paraId="2B8E0D00" w14:textId="77777777" w:rsidR="00A3112D" w:rsidRPr="00B74E01" w:rsidRDefault="00A3112D" w:rsidP="00E362A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Documento ou comprovação</w:t>
            </w:r>
          </w:p>
        </w:tc>
        <w:tc>
          <w:tcPr>
            <w:tcW w:w="0" w:type="auto"/>
            <w:vAlign w:val="center"/>
            <w:hideMark/>
          </w:tcPr>
          <w:p w14:paraId="03959072" w14:textId="77777777" w:rsidR="00A3112D" w:rsidRPr="00B74E01" w:rsidRDefault="00A3112D" w:rsidP="00E362A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Finalidade</w:t>
            </w:r>
          </w:p>
        </w:tc>
      </w:tr>
      <w:tr w:rsidR="00A3112D" w:rsidRPr="00B74E01" w14:paraId="55CAC56B" w14:textId="77777777" w:rsidTr="00050088">
        <w:trPr>
          <w:tblCellSpacing w:w="15" w:type="dxa"/>
        </w:trPr>
        <w:tc>
          <w:tcPr>
            <w:tcW w:w="0" w:type="auto"/>
            <w:vAlign w:val="center"/>
            <w:hideMark/>
          </w:tcPr>
          <w:p w14:paraId="0C49562F"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Plano de financiamento</w:t>
            </w:r>
          </w:p>
        </w:tc>
        <w:tc>
          <w:tcPr>
            <w:tcW w:w="0" w:type="auto"/>
            <w:vAlign w:val="center"/>
            <w:hideMark/>
          </w:tcPr>
          <w:p w14:paraId="747C0B4F"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 xml:space="preserve">Demonstrar estratégia de </w:t>
            </w:r>
            <w:proofErr w:type="spellStart"/>
            <w:r w:rsidRPr="00B74E01">
              <w:rPr>
                <w:rFonts w:eastAsia="Times New Roman" w:cs="Arial"/>
                <w:kern w:val="0"/>
                <w:lang w:eastAsia="pt-BR"/>
                <w14:ligatures w14:val="none"/>
              </w:rPr>
              <w:t>funding</w:t>
            </w:r>
            <w:proofErr w:type="spellEnd"/>
          </w:p>
        </w:tc>
      </w:tr>
      <w:tr w:rsidR="00A3112D" w:rsidRPr="00B74E01" w14:paraId="34565E65" w14:textId="77777777" w:rsidTr="00050088">
        <w:trPr>
          <w:tblCellSpacing w:w="15" w:type="dxa"/>
        </w:trPr>
        <w:tc>
          <w:tcPr>
            <w:tcW w:w="0" w:type="auto"/>
            <w:vAlign w:val="center"/>
            <w:hideMark/>
          </w:tcPr>
          <w:p w14:paraId="5F046D1D"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Carta de intenção ou sinalização financeira</w:t>
            </w:r>
          </w:p>
        </w:tc>
        <w:tc>
          <w:tcPr>
            <w:tcW w:w="0" w:type="auto"/>
            <w:vAlign w:val="center"/>
            <w:hideMark/>
          </w:tcPr>
          <w:p w14:paraId="47DAEA2B"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Indicar viabilidade preliminar de crédito</w:t>
            </w:r>
          </w:p>
        </w:tc>
      </w:tr>
      <w:tr w:rsidR="00A3112D" w:rsidRPr="00B74E01" w14:paraId="1201BCCF" w14:textId="77777777" w:rsidTr="00050088">
        <w:trPr>
          <w:tblCellSpacing w:w="15" w:type="dxa"/>
        </w:trPr>
        <w:tc>
          <w:tcPr>
            <w:tcW w:w="0" w:type="auto"/>
            <w:vAlign w:val="center"/>
            <w:hideMark/>
          </w:tcPr>
          <w:p w14:paraId="70701C4F"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Capacidade patrimonial</w:t>
            </w:r>
          </w:p>
        </w:tc>
        <w:tc>
          <w:tcPr>
            <w:tcW w:w="0" w:type="auto"/>
            <w:vAlign w:val="center"/>
            <w:hideMark/>
          </w:tcPr>
          <w:p w14:paraId="17FAF7D1"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Verificar robustez do proponente</w:t>
            </w:r>
          </w:p>
        </w:tc>
      </w:tr>
      <w:tr w:rsidR="00A3112D" w:rsidRPr="00B74E01" w14:paraId="591C6BE1" w14:textId="77777777" w:rsidTr="00050088">
        <w:trPr>
          <w:tblCellSpacing w:w="15" w:type="dxa"/>
        </w:trPr>
        <w:tc>
          <w:tcPr>
            <w:tcW w:w="0" w:type="auto"/>
            <w:vAlign w:val="center"/>
            <w:hideMark/>
          </w:tcPr>
          <w:p w14:paraId="67B5074C"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Estrutura de capital proposta</w:t>
            </w:r>
          </w:p>
        </w:tc>
        <w:tc>
          <w:tcPr>
            <w:tcW w:w="0" w:type="auto"/>
            <w:vAlign w:val="center"/>
            <w:hideMark/>
          </w:tcPr>
          <w:p w14:paraId="26E5CDFF"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 xml:space="preserve">Identificar dívida, </w:t>
            </w:r>
            <w:proofErr w:type="spellStart"/>
            <w:r w:rsidRPr="00B74E01">
              <w:rPr>
                <w:rFonts w:eastAsia="Times New Roman" w:cs="Arial"/>
                <w:kern w:val="0"/>
                <w:lang w:eastAsia="pt-BR"/>
                <w14:ligatures w14:val="none"/>
              </w:rPr>
              <w:t>equity</w:t>
            </w:r>
            <w:proofErr w:type="spellEnd"/>
            <w:r w:rsidRPr="00B74E01">
              <w:rPr>
                <w:rFonts w:eastAsia="Times New Roman" w:cs="Arial"/>
                <w:kern w:val="0"/>
                <w:lang w:eastAsia="pt-BR"/>
                <w14:ligatures w14:val="none"/>
              </w:rPr>
              <w:t xml:space="preserve"> e fontes</w:t>
            </w:r>
          </w:p>
        </w:tc>
      </w:tr>
      <w:tr w:rsidR="00A3112D" w:rsidRPr="00B74E01" w14:paraId="4FF17AE4" w14:textId="77777777" w:rsidTr="00050088">
        <w:trPr>
          <w:tblCellSpacing w:w="15" w:type="dxa"/>
        </w:trPr>
        <w:tc>
          <w:tcPr>
            <w:tcW w:w="0" w:type="auto"/>
            <w:vAlign w:val="center"/>
            <w:hideMark/>
          </w:tcPr>
          <w:p w14:paraId="32637214"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lastRenderedPageBreak/>
              <w:t>Cronograma de desembolso</w:t>
            </w:r>
          </w:p>
        </w:tc>
        <w:tc>
          <w:tcPr>
            <w:tcW w:w="0" w:type="auto"/>
            <w:vAlign w:val="center"/>
            <w:hideMark/>
          </w:tcPr>
          <w:p w14:paraId="2C1C2CDA"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Compatibilizar CAPEX e implantação</w:t>
            </w:r>
          </w:p>
        </w:tc>
      </w:tr>
      <w:tr w:rsidR="00A3112D" w:rsidRPr="00B74E01" w14:paraId="4AAD1839" w14:textId="77777777" w:rsidTr="00050088">
        <w:trPr>
          <w:tblCellSpacing w:w="15" w:type="dxa"/>
        </w:trPr>
        <w:tc>
          <w:tcPr>
            <w:tcW w:w="0" w:type="auto"/>
            <w:vAlign w:val="center"/>
            <w:hideMark/>
          </w:tcPr>
          <w:p w14:paraId="7E04528B"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Simulação de serviço da dívida</w:t>
            </w:r>
          </w:p>
        </w:tc>
        <w:tc>
          <w:tcPr>
            <w:tcW w:w="0" w:type="auto"/>
            <w:vAlign w:val="center"/>
            <w:hideMark/>
          </w:tcPr>
          <w:p w14:paraId="06DF96E9"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Demonstrar capacidade de pagamento</w:t>
            </w:r>
          </w:p>
        </w:tc>
      </w:tr>
      <w:tr w:rsidR="00A3112D" w:rsidRPr="00B74E01" w14:paraId="7F93B5BC" w14:textId="77777777" w:rsidTr="00050088">
        <w:trPr>
          <w:tblCellSpacing w:w="15" w:type="dxa"/>
        </w:trPr>
        <w:tc>
          <w:tcPr>
            <w:tcW w:w="0" w:type="auto"/>
            <w:vAlign w:val="center"/>
            <w:hideMark/>
          </w:tcPr>
          <w:p w14:paraId="6D8729A8"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Garantias ofertadas</w:t>
            </w:r>
          </w:p>
        </w:tc>
        <w:tc>
          <w:tcPr>
            <w:tcW w:w="0" w:type="auto"/>
            <w:vAlign w:val="center"/>
            <w:hideMark/>
          </w:tcPr>
          <w:p w14:paraId="755601E5"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Reduzir risco de inadimplemento</w:t>
            </w:r>
          </w:p>
        </w:tc>
      </w:tr>
      <w:tr w:rsidR="00A3112D" w:rsidRPr="00B74E01" w14:paraId="5F0D8934" w14:textId="77777777" w:rsidTr="00050088">
        <w:trPr>
          <w:tblCellSpacing w:w="15" w:type="dxa"/>
        </w:trPr>
        <w:tc>
          <w:tcPr>
            <w:tcW w:w="0" w:type="auto"/>
            <w:vAlign w:val="center"/>
            <w:hideMark/>
          </w:tcPr>
          <w:p w14:paraId="60AFDDC3"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Plano de contingência financeira</w:t>
            </w:r>
          </w:p>
        </w:tc>
        <w:tc>
          <w:tcPr>
            <w:tcW w:w="0" w:type="auto"/>
            <w:vAlign w:val="center"/>
            <w:hideMark/>
          </w:tcPr>
          <w:p w14:paraId="55DB7467"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Mitigar atrasos e estouros de custo</w:t>
            </w:r>
          </w:p>
        </w:tc>
      </w:tr>
    </w:tbl>
    <w:p w14:paraId="25557E69"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Essas exigências devem ser proporcionais e não restritivas, mas suficientemente robustas para evitar propostas aventureiras.</w:t>
      </w:r>
    </w:p>
    <w:p w14:paraId="2262C986" w14:textId="77777777" w:rsidR="00A3112D" w:rsidRPr="00B74E01" w:rsidRDefault="00A3112D" w:rsidP="00E362A0">
      <w:pPr>
        <w:pStyle w:val="Ttulo2"/>
        <w:rPr>
          <w:rFonts w:eastAsia="Times New Roman"/>
          <w:lang w:eastAsia="pt-BR"/>
        </w:rPr>
      </w:pPr>
      <w:bookmarkStart w:id="158" w:name="_Toc230204160"/>
      <w:r w:rsidRPr="00B74E01">
        <w:rPr>
          <w:rFonts w:eastAsia="Times New Roman"/>
          <w:lang w:eastAsia="pt-BR"/>
        </w:rPr>
        <w:t>12.17. Conclusão do tópico</w:t>
      </w:r>
      <w:bookmarkEnd w:id="158"/>
    </w:p>
    <w:p w14:paraId="42D9DC37"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 modelagem adota como referência financiamento de </w:t>
      </w:r>
      <w:r w:rsidRPr="00B74E01">
        <w:rPr>
          <w:rFonts w:eastAsia="Times New Roman" w:cs="Arial"/>
          <w:b/>
          <w:bCs/>
          <w:kern w:val="0"/>
          <w:lang w:eastAsia="pt-BR"/>
          <w14:ligatures w14:val="none"/>
        </w:rPr>
        <w:t>R$ 32.269.873,38</w:t>
      </w:r>
      <w:r w:rsidRPr="00B74E01">
        <w:rPr>
          <w:rFonts w:eastAsia="Times New Roman" w:cs="Arial"/>
          <w:kern w:val="0"/>
          <w:lang w:eastAsia="pt-BR"/>
          <w14:ligatures w14:val="none"/>
        </w:rPr>
        <w:t xml:space="preserve">, equivalente a 100% do investimento financeiro total estimado, com taxa prudencial de </w:t>
      </w:r>
      <w:r w:rsidRPr="00B74E01">
        <w:rPr>
          <w:rFonts w:eastAsia="Times New Roman" w:cs="Arial"/>
          <w:b/>
          <w:bCs/>
          <w:kern w:val="0"/>
          <w:lang w:eastAsia="pt-BR"/>
          <w14:ligatures w14:val="none"/>
        </w:rPr>
        <w:t>10% a.a.</w:t>
      </w:r>
      <w:r w:rsidRPr="00B74E01">
        <w:rPr>
          <w:rFonts w:eastAsia="Times New Roman" w:cs="Arial"/>
          <w:kern w:val="0"/>
          <w:lang w:eastAsia="pt-BR"/>
          <w14:ligatures w14:val="none"/>
        </w:rPr>
        <w:t xml:space="preserve">, prazo total de </w:t>
      </w:r>
      <w:r w:rsidRPr="00B74E01">
        <w:rPr>
          <w:rFonts w:eastAsia="Times New Roman" w:cs="Arial"/>
          <w:b/>
          <w:bCs/>
          <w:kern w:val="0"/>
          <w:lang w:eastAsia="pt-BR"/>
          <w14:ligatures w14:val="none"/>
        </w:rPr>
        <w:t>34 anos</w:t>
      </w:r>
      <w:r w:rsidRPr="00B74E01">
        <w:rPr>
          <w:rFonts w:eastAsia="Times New Roman" w:cs="Arial"/>
          <w:kern w:val="0"/>
          <w:lang w:eastAsia="pt-BR"/>
          <w14:ligatures w14:val="none"/>
        </w:rPr>
        <w:t xml:space="preserve">, carência de </w:t>
      </w:r>
      <w:r w:rsidRPr="00B74E01">
        <w:rPr>
          <w:rFonts w:eastAsia="Times New Roman" w:cs="Arial"/>
          <w:b/>
          <w:bCs/>
          <w:kern w:val="0"/>
          <w:lang w:eastAsia="pt-BR"/>
          <w14:ligatures w14:val="none"/>
        </w:rPr>
        <w:t>8 anos</w:t>
      </w:r>
      <w:r w:rsidRPr="00B74E01">
        <w:rPr>
          <w:rFonts w:eastAsia="Times New Roman" w:cs="Arial"/>
          <w:kern w:val="0"/>
          <w:lang w:eastAsia="pt-BR"/>
          <w14:ligatures w14:val="none"/>
        </w:rPr>
        <w:t xml:space="preserve">, amortização em </w:t>
      </w:r>
      <w:r w:rsidRPr="00B74E01">
        <w:rPr>
          <w:rFonts w:eastAsia="Times New Roman" w:cs="Arial"/>
          <w:b/>
          <w:bCs/>
          <w:kern w:val="0"/>
          <w:lang w:eastAsia="pt-BR"/>
          <w14:ligatures w14:val="none"/>
        </w:rPr>
        <w:t>26 anos</w:t>
      </w:r>
      <w:r w:rsidRPr="00B74E01">
        <w:rPr>
          <w:rFonts w:eastAsia="Times New Roman" w:cs="Arial"/>
          <w:kern w:val="0"/>
          <w:lang w:eastAsia="pt-BR"/>
          <w14:ligatures w14:val="none"/>
        </w:rPr>
        <w:t xml:space="preserve"> e sistema </w:t>
      </w:r>
      <w:proofErr w:type="spellStart"/>
      <w:r w:rsidRPr="00B74E01">
        <w:rPr>
          <w:rFonts w:eastAsia="Times New Roman" w:cs="Arial"/>
          <w:kern w:val="0"/>
          <w:lang w:eastAsia="pt-BR"/>
          <w14:ligatures w14:val="none"/>
        </w:rPr>
        <w:t>Price</w:t>
      </w:r>
      <w:proofErr w:type="spellEnd"/>
      <w:r w:rsidRPr="00B74E01">
        <w:rPr>
          <w:rFonts w:eastAsia="Times New Roman" w:cs="Arial"/>
          <w:kern w:val="0"/>
          <w:lang w:eastAsia="pt-BR"/>
          <w14:ligatures w14:val="none"/>
        </w:rPr>
        <w:t>.</w:t>
      </w:r>
    </w:p>
    <w:p w14:paraId="3AE20F36"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O serviço mensal da dívida é estimado em </w:t>
      </w:r>
      <w:r w:rsidRPr="00B74E01">
        <w:rPr>
          <w:rFonts w:eastAsia="Times New Roman" w:cs="Arial"/>
          <w:b/>
          <w:bCs/>
          <w:kern w:val="0"/>
          <w:lang w:eastAsia="pt-BR"/>
          <w14:ligatures w14:val="none"/>
        </w:rPr>
        <w:t>R$ 257.324,50</w:t>
      </w:r>
      <w:r w:rsidRPr="00B74E01">
        <w:rPr>
          <w:rFonts w:eastAsia="Times New Roman" w:cs="Arial"/>
          <w:kern w:val="0"/>
          <w:lang w:eastAsia="pt-BR"/>
          <w14:ligatures w14:val="none"/>
        </w:rPr>
        <w:t xml:space="preserve"> durante a carência e </w:t>
      </w:r>
      <w:r w:rsidRPr="00B74E01">
        <w:rPr>
          <w:rFonts w:eastAsia="Times New Roman" w:cs="Arial"/>
          <w:b/>
          <w:bCs/>
          <w:kern w:val="0"/>
          <w:lang w:eastAsia="pt-BR"/>
          <w14:ligatures w14:val="none"/>
        </w:rPr>
        <w:t>R$ 280.892,95</w:t>
      </w:r>
      <w:r w:rsidRPr="00B74E01">
        <w:rPr>
          <w:rFonts w:eastAsia="Times New Roman" w:cs="Arial"/>
          <w:kern w:val="0"/>
          <w:lang w:eastAsia="pt-BR"/>
          <w14:ligatures w14:val="none"/>
        </w:rPr>
        <w:t xml:space="preserve"> após a carência.</w:t>
      </w:r>
    </w:p>
    <w:p w14:paraId="0D6E4D4F"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No cenário-base de </w:t>
      </w:r>
      <w:r w:rsidRPr="00B74E01">
        <w:rPr>
          <w:rFonts w:eastAsia="Times New Roman" w:cs="Arial"/>
          <w:b/>
          <w:bCs/>
          <w:kern w:val="0"/>
          <w:lang w:eastAsia="pt-BR"/>
          <w14:ligatures w14:val="none"/>
        </w:rPr>
        <w:t>R$ 95/t</w:t>
      </w:r>
      <w:r w:rsidRPr="00B74E01">
        <w:rPr>
          <w:rFonts w:eastAsia="Times New Roman" w:cs="Arial"/>
          <w:kern w:val="0"/>
          <w:lang w:eastAsia="pt-BR"/>
          <w14:ligatures w14:val="none"/>
        </w:rPr>
        <w:t xml:space="preserve">, a operação fecha positivamente sem receitas acessórias, com DSCR após carência de </w:t>
      </w:r>
      <w:r w:rsidRPr="00B74E01">
        <w:rPr>
          <w:rFonts w:eastAsia="Times New Roman" w:cs="Arial"/>
          <w:b/>
          <w:bCs/>
          <w:kern w:val="0"/>
          <w:lang w:eastAsia="pt-BR"/>
          <w14:ligatures w14:val="none"/>
        </w:rPr>
        <w:t>1,12x</w:t>
      </w:r>
      <w:r w:rsidRPr="00B74E01">
        <w:rPr>
          <w:rFonts w:eastAsia="Times New Roman" w:cs="Arial"/>
          <w:kern w:val="0"/>
          <w:lang w:eastAsia="pt-BR"/>
          <w14:ligatures w14:val="none"/>
        </w:rPr>
        <w:t xml:space="preserve">, mas com margem restrita. No cenário superior regional de </w:t>
      </w:r>
      <w:r w:rsidRPr="00B74E01">
        <w:rPr>
          <w:rFonts w:eastAsia="Times New Roman" w:cs="Arial"/>
          <w:b/>
          <w:bCs/>
          <w:kern w:val="0"/>
          <w:lang w:eastAsia="pt-BR"/>
          <w14:ligatures w14:val="none"/>
        </w:rPr>
        <w:t>R$ 140/t</w:t>
      </w:r>
      <w:r w:rsidRPr="00B74E01">
        <w:rPr>
          <w:rFonts w:eastAsia="Times New Roman" w:cs="Arial"/>
          <w:kern w:val="0"/>
          <w:lang w:eastAsia="pt-BR"/>
          <w14:ligatures w14:val="none"/>
        </w:rPr>
        <w:t xml:space="preserve">, o DSCR sem receitas acessórias sobe para </w:t>
      </w:r>
      <w:r w:rsidRPr="00B74E01">
        <w:rPr>
          <w:rFonts w:eastAsia="Times New Roman" w:cs="Arial"/>
          <w:b/>
          <w:bCs/>
          <w:kern w:val="0"/>
          <w:lang w:eastAsia="pt-BR"/>
          <w14:ligatures w14:val="none"/>
        </w:rPr>
        <w:t>1,47x</w:t>
      </w:r>
      <w:r w:rsidRPr="00B74E01">
        <w:rPr>
          <w:rFonts w:eastAsia="Times New Roman" w:cs="Arial"/>
          <w:kern w:val="0"/>
          <w:lang w:eastAsia="pt-BR"/>
          <w14:ligatures w14:val="none"/>
        </w:rPr>
        <w:t xml:space="preserve">. Com receitas acessórias, o DSCR chega a </w:t>
      </w:r>
      <w:r w:rsidRPr="00B74E01">
        <w:rPr>
          <w:rFonts w:eastAsia="Times New Roman" w:cs="Arial"/>
          <w:b/>
          <w:bCs/>
          <w:kern w:val="0"/>
          <w:lang w:eastAsia="pt-BR"/>
          <w14:ligatures w14:val="none"/>
        </w:rPr>
        <w:t>3,94x</w:t>
      </w:r>
      <w:r w:rsidRPr="00B74E01">
        <w:rPr>
          <w:rFonts w:eastAsia="Times New Roman" w:cs="Arial"/>
          <w:kern w:val="0"/>
          <w:lang w:eastAsia="pt-BR"/>
          <w14:ligatures w14:val="none"/>
        </w:rPr>
        <w:t xml:space="preserve"> no cenário-base.</w:t>
      </w:r>
    </w:p>
    <w:p w14:paraId="5B987623"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 adoção do </w:t>
      </w:r>
      <w:r w:rsidRPr="00B74E01">
        <w:rPr>
          <w:rFonts w:eastAsia="Times New Roman" w:cs="Arial"/>
          <w:b/>
          <w:bCs/>
          <w:kern w:val="0"/>
          <w:lang w:eastAsia="pt-BR"/>
          <w14:ligatures w14:val="none"/>
        </w:rPr>
        <w:t>FNE Verde / Banco do Nordeste</w:t>
      </w:r>
      <w:r w:rsidRPr="00B74E01">
        <w:rPr>
          <w:rFonts w:eastAsia="Times New Roman" w:cs="Arial"/>
          <w:kern w:val="0"/>
          <w:lang w:eastAsia="pt-BR"/>
          <w14:ligatures w14:val="none"/>
        </w:rPr>
        <w:t xml:space="preserve"> como referência é adequada pela aderência territorial, ambiental, energética e de desenvolvimento regional do projeto. Entretanto, o financiamento definitivo deverá ser estruturado pelos licitantes ou pela futura SPE, podendo envolver outras fontes, capital próprio e combinações financeiras mais eficientes.</w:t>
      </w:r>
    </w:p>
    <w:p w14:paraId="02F8FD87"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 </w:t>
      </w:r>
      <w:proofErr w:type="spellStart"/>
      <w:r w:rsidRPr="00B74E01">
        <w:rPr>
          <w:rFonts w:eastAsia="Times New Roman" w:cs="Arial"/>
          <w:kern w:val="0"/>
          <w:lang w:eastAsia="pt-BR"/>
          <w14:ligatures w14:val="none"/>
        </w:rPr>
        <w:t>bancabilidade</w:t>
      </w:r>
      <w:proofErr w:type="spellEnd"/>
      <w:r w:rsidRPr="00B74E01">
        <w:rPr>
          <w:rFonts w:eastAsia="Times New Roman" w:cs="Arial"/>
          <w:kern w:val="0"/>
          <w:lang w:eastAsia="pt-BR"/>
          <w14:ligatures w14:val="none"/>
        </w:rPr>
        <w:t xml:space="preserve"> da PPP dependerá de três fatores centrais: estabilidade das receitas principais, qualidade das garantias de pagamento e realismo das premissas de CAPEX, OPEX, receitas acessórias e serviço da dívida.</w:t>
      </w:r>
    </w:p>
    <w:p w14:paraId="2522CB3C" w14:textId="691285AF" w:rsidR="00A3112D" w:rsidRDefault="00A3112D" w:rsidP="00B74E01">
      <w:pPr>
        <w:spacing w:after="0" w:line="360" w:lineRule="auto"/>
        <w:ind w:firstLine="709"/>
        <w:jc w:val="both"/>
        <w:rPr>
          <w:rFonts w:eastAsia="Times New Roman" w:cs="Arial"/>
          <w:kern w:val="0"/>
          <w:lang w:eastAsia="pt-BR"/>
          <w14:ligatures w14:val="none"/>
        </w:rPr>
      </w:pPr>
    </w:p>
    <w:p w14:paraId="2BA396E0" w14:textId="77777777" w:rsidR="00A3112D" w:rsidRPr="00B74E01" w:rsidRDefault="00A3112D" w:rsidP="00E362A0">
      <w:pPr>
        <w:pStyle w:val="Ttulo1"/>
        <w:rPr>
          <w:rFonts w:eastAsia="Times New Roman"/>
          <w:lang w:eastAsia="pt-BR"/>
        </w:rPr>
      </w:pPr>
      <w:bookmarkStart w:id="159" w:name="_Toc230204161"/>
      <w:r w:rsidRPr="00B74E01">
        <w:rPr>
          <w:rFonts w:eastAsia="Times New Roman"/>
          <w:lang w:eastAsia="pt-BR"/>
        </w:rPr>
        <w:lastRenderedPageBreak/>
        <w:t>13. Resultado Econômico-Financeiro da SPE</w:t>
      </w:r>
      <w:bookmarkEnd w:id="159"/>
    </w:p>
    <w:p w14:paraId="3DDFDCC7"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O resultado econômico-financeiro da SPE demonstra a capacidade do projeto de gerar caixa operacional suficiente para custear a operação, pagar tributos, atender ao serviço da dívida e remunerar adequadamente o risco privado assumido.</w:t>
      </w:r>
    </w:p>
    <w:p w14:paraId="50258A1F"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Neste tópico, a análise será apresentada em duas camadas: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399"/>
        <w:gridCol w:w="6662"/>
      </w:tblGrid>
      <w:tr w:rsidR="00A3112D" w:rsidRPr="00B74E01" w14:paraId="590B2E58" w14:textId="77777777" w:rsidTr="00050088">
        <w:trPr>
          <w:tblHeader/>
          <w:tblCellSpacing w:w="15" w:type="dxa"/>
        </w:trPr>
        <w:tc>
          <w:tcPr>
            <w:tcW w:w="0" w:type="auto"/>
            <w:vAlign w:val="center"/>
            <w:hideMark/>
          </w:tcPr>
          <w:p w14:paraId="4B309A35" w14:textId="77777777" w:rsidR="00A3112D" w:rsidRPr="00B74E01" w:rsidRDefault="00A3112D" w:rsidP="00E362A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Camada de análise</w:t>
            </w:r>
          </w:p>
        </w:tc>
        <w:tc>
          <w:tcPr>
            <w:tcW w:w="0" w:type="auto"/>
            <w:vAlign w:val="center"/>
            <w:hideMark/>
          </w:tcPr>
          <w:p w14:paraId="2298C004" w14:textId="77777777" w:rsidR="00A3112D" w:rsidRPr="00B74E01" w:rsidRDefault="00A3112D" w:rsidP="00E362A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Finalidade</w:t>
            </w:r>
          </w:p>
        </w:tc>
      </w:tr>
      <w:tr w:rsidR="00A3112D" w:rsidRPr="00B74E01" w14:paraId="449C26AF" w14:textId="77777777" w:rsidTr="00050088">
        <w:trPr>
          <w:tblCellSpacing w:w="15" w:type="dxa"/>
        </w:trPr>
        <w:tc>
          <w:tcPr>
            <w:tcW w:w="0" w:type="auto"/>
            <w:vAlign w:val="center"/>
            <w:hideMark/>
          </w:tcPr>
          <w:p w14:paraId="1CFDDE75"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Cenário mínimo contratual</w:t>
            </w:r>
          </w:p>
        </w:tc>
        <w:tc>
          <w:tcPr>
            <w:tcW w:w="0" w:type="auto"/>
            <w:vAlign w:val="center"/>
            <w:hideMark/>
          </w:tcPr>
          <w:p w14:paraId="524BE4FA"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Avaliar o resultado da SPE considerando apenas as receitas principais da PPP: destinação/tratamento de RSU e disponibilização de capacidade energética</w:t>
            </w:r>
          </w:p>
        </w:tc>
      </w:tr>
      <w:tr w:rsidR="00A3112D" w:rsidRPr="00B74E01" w14:paraId="26357061" w14:textId="77777777" w:rsidTr="00050088">
        <w:trPr>
          <w:tblCellSpacing w:w="15" w:type="dxa"/>
        </w:trPr>
        <w:tc>
          <w:tcPr>
            <w:tcW w:w="0" w:type="auto"/>
            <w:vAlign w:val="center"/>
            <w:hideMark/>
          </w:tcPr>
          <w:p w14:paraId="3584D593"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Cenário ampliado com receitas acessórias</w:t>
            </w:r>
          </w:p>
        </w:tc>
        <w:tc>
          <w:tcPr>
            <w:tcW w:w="0" w:type="auto"/>
            <w:vAlign w:val="center"/>
            <w:hideMark/>
          </w:tcPr>
          <w:p w14:paraId="4402459D"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 xml:space="preserve">Avaliar o resultado da SPE considerando também as receitas potenciais oriundas de </w:t>
            </w:r>
            <w:proofErr w:type="spellStart"/>
            <w:r w:rsidRPr="00B74E01">
              <w:rPr>
                <w:rFonts w:eastAsia="Times New Roman" w:cs="Arial"/>
                <w:kern w:val="0"/>
                <w:lang w:eastAsia="pt-BR"/>
                <w14:ligatures w14:val="none"/>
              </w:rPr>
              <w:t>biochar</w:t>
            </w:r>
            <w:proofErr w:type="spellEnd"/>
            <w:r w:rsidRPr="00B74E01">
              <w:rPr>
                <w:rFonts w:eastAsia="Times New Roman" w:cs="Arial"/>
                <w:kern w:val="0"/>
                <w:lang w:eastAsia="pt-BR"/>
                <w14:ligatures w14:val="none"/>
              </w:rPr>
              <w:t>/material carbonáceo, óleo/extrato líquido e créditos de carbono</w:t>
            </w:r>
          </w:p>
        </w:tc>
      </w:tr>
    </w:tbl>
    <w:p w14:paraId="6B24F2A2"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Essa separação é indispensável. O cenário mínimo demonstra a sustentabilidade básica da concessão. O cenário ampliado demonstra a atratividade econômica adicional, mas deve ser tratado com prudência, pois depende da efetiva realização das receitas acessórias.</w:t>
      </w:r>
    </w:p>
    <w:p w14:paraId="6FD930FE" w14:textId="77777777" w:rsidR="00A3112D" w:rsidRPr="00B74E01" w:rsidRDefault="00A3112D" w:rsidP="00E362A0">
      <w:pPr>
        <w:pStyle w:val="Ttulo2"/>
        <w:rPr>
          <w:rFonts w:eastAsia="Times New Roman"/>
          <w:lang w:eastAsia="pt-BR"/>
        </w:rPr>
      </w:pPr>
      <w:bookmarkStart w:id="160" w:name="_Toc230204162"/>
      <w:r w:rsidRPr="00B74E01">
        <w:rPr>
          <w:rFonts w:eastAsia="Times New Roman"/>
          <w:lang w:eastAsia="pt-BR"/>
        </w:rPr>
        <w:t>13.1. Estrutura geral de formação do resultado</w:t>
      </w:r>
      <w:bookmarkEnd w:id="160"/>
    </w:p>
    <w:p w14:paraId="7A39730F"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O resultado econômico-financeiro da SPE é formado pela seguinte sequência lógica:</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433"/>
        <w:gridCol w:w="6628"/>
      </w:tblGrid>
      <w:tr w:rsidR="00A3112D" w:rsidRPr="00B74E01" w14:paraId="73E0D98E" w14:textId="77777777" w:rsidTr="00050088">
        <w:trPr>
          <w:tblHeader/>
          <w:tblCellSpacing w:w="15" w:type="dxa"/>
        </w:trPr>
        <w:tc>
          <w:tcPr>
            <w:tcW w:w="0" w:type="auto"/>
            <w:vAlign w:val="center"/>
            <w:hideMark/>
          </w:tcPr>
          <w:p w14:paraId="09001125" w14:textId="77777777" w:rsidR="00A3112D" w:rsidRPr="00B74E01" w:rsidRDefault="00A3112D" w:rsidP="00E362A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Etapa</w:t>
            </w:r>
          </w:p>
        </w:tc>
        <w:tc>
          <w:tcPr>
            <w:tcW w:w="0" w:type="auto"/>
            <w:vAlign w:val="center"/>
            <w:hideMark/>
          </w:tcPr>
          <w:p w14:paraId="629E744F" w14:textId="77777777" w:rsidR="00A3112D" w:rsidRPr="00B74E01" w:rsidRDefault="00A3112D" w:rsidP="00E362A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Descrição</w:t>
            </w:r>
          </w:p>
        </w:tc>
      </w:tr>
      <w:tr w:rsidR="00A3112D" w:rsidRPr="00B74E01" w14:paraId="42570FC0" w14:textId="77777777" w:rsidTr="00050088">
        <w:trPr>
          <w:tblCellSpacing w:w="15" w:type="dxa"/>
        </w:trPr>
        <w:tc>
          <w:tcPr>
            <w:tcW w:w="0" w:type="auto"/>
            <w:vAlign w:val="center"/>
            <w:hideMark/>
          </w:tcPr>
          <w:p w14:paraId="14071B25"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 bruta</w:t>
            </w:r>
          </w:p>
        </w:tc>
        <w:tc>
          <w:tcPr>
            <w:tcW w:w="0" w:type="auto"/>
            <w:vAlign w:val="center"/>
            <w:hideMark/>
          </w:tcPr>
          <w:p w14:paraId="6FA905F9"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Soma das receitas principais e, quando aplicável, das receitas acessórias</w:t>
            </w:r>
          </w:p>
        </w:tc>
      </w:tr>
      <w:tr w:rsidR="00A3112D" w:rsidRPr="00B74E01" w14:paraId="4A390B70" w14:textId="77777777" w:rsidTr="00050088">
        <w:trPr>
          <w:tblCellSpacing w:w="15" w:type="dxa"/>
        </w:trPr>
        <w:tc>
          <w:tcPr>
            <w:tcW w:w="0" w:type="auto"/>
            <w:vAlign w:val="center"/>
            <w:hideMark/>
          </w:tcPr>
          <w:p w14:paraId="210420FA"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Tributos sobre receita</w:t>
            </w:r>
          </w:p>
        </w:tc>
        <w:tc>
          <w:tcPr>
            <w:tcW w:w="0" w:type="auto"/>
            <w:vAlign w:val="center"/>
            <w:hideMark/>
          </w:tcPr>
          <w:p w14:paraId="3671E3B3"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Dedução de ISS, PIS/COFINS e demais tributos considerados na modelagem</w:t>
            </w:r>
          </w:p>
        </w:tc>
      </w:tr>
      <w:tr w:rsidR="00A3112D" w:rsidRPr="00B74E01" w14:paraId="321C3CD6" w14:textId="77777777" w:rsidTr="00050088">
        <w:trPr>
          <w:tblCellSpacing w:w="15" w:type="dxa"/>
        </w:trPr>
        <w:tc>
          <w:tcPr>
            <w:tcW w:w="0" w:type="auto"/>
            <w:vAlign w:val="center"/>
            <w:hideMark/>
          </w:tcPr>
          <w:p w14:paraId="0978B77C"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lastRenderedPageBreak/>
              <w:t>Receita operacional líquida</w:t>
            </w:r>
          </w:p>
        </w:tc>
        <w:tc>
          <w:tcPr>
            <w:tcW w:w="0" w:type="auto"/>
            <w:vAlign w:val="center"/>
            <w:hideMark/>
          </w:tcPr>
          <w:p w14:paraId="7723C3D2"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 disponível após tributos sobre faturamento</w:t>
            </w:r>
          </w:p>
        </w:tc>
      </w:tr>
      <w:tr w:rsidR="00A3112D" w:rsidRPr="00B74E01" w14:paraId="03020A5C" w14:textId="77777777" w:rsidTr="00050088">
        <w:trPr>
          <w:tblCellSpacing w:w="15" w:type="dxa"/>
        </w:trPr>
        <w:tc>
          <w:tcPr>
            <w:tcW w:w="0" w:type="auto"/>
            <w:vAlign w:val="center"/>
            <w:hideMark/>
          </w:tcPr>
          <w:p w14:paraId="0056A6CD"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OPEX</w:t>
            </w:r>
          </w:p>
        </w:tc>
        <w:tc>
          <w:tcPr>
            <w:tcW w:w="0" w:type="auto"/>
            <w:vAlign w:val="center"/>
            <w:hideMark/>
          </w:tcPr>
          <w:p w14:paraId="1749BDC6"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Dedução dos custos operacionais recorrentes</w:t>
            </w:r>
          </w:p>
        </w:tc>
      </w:tr>
      <w:tr w:rsidR="00A3112D" w:rsidRPr="00B74E01" w14:paraId="387EB270" w14:textId="77777777" w:rsidTr="00050088">
        <w:trPr>
          <w:tblCellSpacing w:w="15" w:type="dxa"/>
        </w:trPr>
        <w:tc>
          <w:tcPr>
            <w:tcW w:w="0" w:type="auto"/>
            <w:vAlign w:val="center"/>
            <w:hideMark/>
          </w:tcPr>
          <w:p w14:paraId="00541A76"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EBITDA</w:t>
            </w:r>
          </w:p>
        </w:tc>
        <w:tc>
          <w:tcPr>
            <w:tcW w:w="0" w:type="auto"/>
            <w:vAlign w:val="center"/>
            <w:hideMark/>
          </w:tcPr>
          <w:p w14:paraId="3587DEE4"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Resultado operacional antes de depreciação, amortização, juros e tributos sobre lucro</w:t>
            </w:r>
          </w:p>
        </w:tc>
      </w:tr>
      <w:tr w:rsidR="00A3112D" w:rsidRPr="00B74E01" w14:paraId="6028BA3B" w14:textId="77777777" w:rsidTr="00050088">
        <w:trPr>
          <w:tblCellSpacing w:w="15" w:type="dxa"/>
        </w:trPr>
        <w:tc>
          <w:tcPr>
            <w:tcW w:w="0" w:type="auto"/>
            <w:vAlign w:val="center"/>
            <w:hideMark/>
          </w:tcPr>
          <w:p w14:paraId="6F9037C5"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Serviço da dívida</w:t>
            </w:r>
          </w:p>
        </w:tc>
        <w:tc>
          <w:tcPr>
            <w:tcW w:w="0" w:type="auto"/>
            <w:vAlign w:val="center"/>
            <w:hideMark/>
          </w:tcPr>
          <w:p w14:paraId="0AB86C8B"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Pagamento de juros e amortização do financiamento</w:t>
            </w:r>
          </w:p>
        </w:tc>
      </w:tr>
      <w:tr w:rsidR="00A3112D" w:rsidRPr="00B74E01" w14:paraId="158DDD1B" w14:textId="77777777" w:rsidTr="00050088">
        <w:trPr>
          <w:tblCellSpacing w:w="15" w:type="dxa"/>
        </w:trPr>
        <w:tc>
          <w:tcPr>
            <w:tcW w:w="0" w:type="auto"/>
            <w:vAlign w:val="center"/>
            <w:hideMark/>
          </w:tcPr>
          <w:p w14:paraId="157D49F2"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Sobra de caixa operacional</w:t>
            </w:r>
          </w:p>
        </w:tc>
        <w:tc>
          <w:tcPr>
            <w:tcW w:w="0" w:type="auto"/>
            <w:vAlign w:val="center"/>
            <w:hideMark/>
          </w:tcPr>
          <w:p w14:paraId="028A7A98"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Resultado após pagamento da dívida</w:t>
            </w:r>
          </w:p>
        </w:tc>
      </w:tr>
      <w:tr w:rsidR="00A3112D" w:rsidRPr="00B74E01" w14:paraId="6E4E5FDA" w14:textId="77777777" w:rsidTr="00050088">
        <w:trPr>
          <w:tblCellSpacing w:w="15" w:type="dxa"/>
        </w:trPr>
        <w:tc>
          <w:tcPr>
            <w:tcW w:w="0" w:type="auto"/>
            <w:vAlign w:val="center"/>
            <w:hideMark/>
          </w:tcPr>
          <w:p w14:paraId="7E681E03"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Indicadores</w:t>
            </w:r>
          </w:p>
        </w:tc>
        <w:tc>
          <w:tcPr>
            <w:tcW w:w="0" w:type="auto"/>
            <w:vAlign w:val="center"/>
            <w:hideMark/>
          </w:tcPr>
          <w:p w14:paraId="7B545BB0"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 xml:space="preserve">DSCR, margem, </w:t>
            </w:r>
            <w:proofErr w:type="spellStart"/>
            <w:r w:rsidRPr="00B74E01">
              <w:rPr>
                <w:rFonts w:eastAsia="Times New Roman" w:cs="Arial"/>
                <w:kern w:val="0"/>
                <w:lang w:eastAsia="pt-BR"/>
                <w14:ligatures w14:val="none"/>
              </w:rPr>
              <w:t>payback</w:t>
            </w:r>
            <w:proofErr w:type="spellEnd"/>
            <w:r w:rsidRPr="00B74E01">
              <w:rPr>
                <w:rFonts w:eastAsia="Times New Roman" w:cs="Arial"/>
                <w:kern w:val="0"/>
                <w:lang w:eastAsia="pt-BR"/>
                <w14:ligatures w14:val="none"/>
              </w:rPr>
              <w:t>, retorno e capacidade de pagamento</w:t>
            </w:r>
          </w:p>
        </w:tc>
      </w:tr>
    </w:tbl>
    <w:p w14:paraId="4FC02435"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Essa estrutura permite verificar se a SPE terá fluxo suficiente para operar a planta, pagar custos, honrar dívida e manter margem adequada de segurança.</w:t>
      </w:r>
    </w:p>
    <w:p w14:paraId="5CAEE7B3" w14:textId="77777777" w:rsidR="00A3112D" w:rsidRPr="00B74E01" w:rsidRDefault="00A3112D" w:rsidP="00E362A0">
      <w:pPr>
        <w:pStyle w:val="Ttulo2"/>
        <w:rPr>
          <w:rFonts w:eastAsia="Times New Roman"/>
          <w:lang w:eastAsia="pt-BR"/>
        </w:rPr>
      </w:pPr>
      <w:bookmarkStart w:id="161" w:name="_Toc230204163"/>
      <w:r w:rsidRPr="00B74E01">
        <w:rPr>
          <w:rFonts w:eastAsia="Times New Roman"/>
          <w:lang w:eastAsia="pt-BR"/>
        </w:rPr>
        <w:t>13.2. Resultado no cenário mínimo contratual — sem receitas acessórias</w:t>
      </w:r>
      <w:bookmarkEnd w:id="161"/>
    </w:p>
    <w:p w14:paraId="3CFBA1E8"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No cenário mínimo contratual, são consideradas apenas as receitas principais da PPP, compostas pela destinação/tratamento de RSU e pela disponibilização de capacidade energética.</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891"/>
        <w:gridCol w:w="1809"/>
        <w:gridCol w:w="2024"/>
      </w:tblGrid>
      <w:tr w:rsidR="00A3112D" w:rsidRPr="00B74E01" w14:paraId="56C65862" w14:textId="77777777" w:rsidTr="00050088">
        <w:trPr>
          <w:tblHeader/>
          <w:tblCellSpacing w:w="15" w:type="dxa"/>
        </w:trPr>
        <w:tc>
          <w:tcPr>
            <w:tcW w:w="0" w:type="auto"/>
            <w:vAlign w:val="center"/>
            <w:hideMark/>
          </w:tcPr>
          <w:p w14:paraId="1C7F1FFE" w14:textId="77777777" w:rsidR="00A3112D" w:rsidRPr="00B74E01" w:rsidRDefault="00A3112D" w:rsidP="00E362A0">
            <w:pPr>
              <w:spacing w:after="0" w:line="360" w:lineRule="auto"/>
              <w:ind w:hanging="60"/>
              <w:rPr>
                <w:rFonts w:eastAsia="Times New Roman" w:cs="Arial"/>
                <w:b/>
                <w:bCs/>
                <w:kern w:val="0"/>
                <w:lang w:eastAsia="pt-BR"/>
                <w14:ligatures w14:val="none"/>
              </w:rPr>
            </w:pPr>
            <w:r w:rsidRPr="00B74E01">
              <w:rPr>
                <w:rFonts w:eastAsia="Times New Roman" w:cs="Arial"/>
                <w:b/>
                <w:bCs/>
                <w:kern w:val="0"/>
                <w:lang w:eastAsia="pt-BR"/>
                <w14:ligatures w14:val="none"/>
              </w:rPr>
              <w:t>Item</w:t>
            </w:r>
          </w:p>
        </w:tc>
        <w:tc>
          <w:tcPr>
            <w:tcW w:w="0" w:type="auto"/>
            <w:vAlign w:val="center"/>
            <w:hideMark/>
          </w:tcPr>
          <w:p w14:paraId="53FB1D87" w14:textId="77777777" w:rsidR="00A3112D" w:rsidRPr="00B74E01" w:rsidRDefault="00A3112D" w:rsidP="00E362A0">
            <w:pPr>
              <w:spacing w:after="0" w:line="360" w:lineRule="auto"/>
              <w:ind w:hanging="60"/>
              <w:rPr>
                <w:rFonts w:eastAsia="Times New Roman" w:cs="Arial"/>
                <w:b/>
                <w:bCs/>
                <w:kern w:val="0"/>
                <w:lang w:eastAsia="pt-BR"/>
                <w14:ligatures w14:val="none"/>
              </w:rPr>
            </w:pPr>
            <w:r w:rsidRPr="00B74E01">
              <w:rPr>
                <w:rFonts w:eastAsia="Times New Roman" w:cs="Arial"/>
                <w:b/>
                <w:bCs/>
                <w:kern w:val="0"/>
                <w:lang w:eastAsia="pt-BR"/>
                <w14:ligatures w14:val="none"/>
              </w:rPr>
              <w:t>Valor mensal</w:t>
            </w:r>
          </w:p>
        </w:tc>
        <w:tc>
          <w:tcPr>
            <w:tcW w:w="0" w:type="auto"/>
            <w:vAlign w:val="center"/>
            <w:hideMark/>
          </w:tcPr>
          <w:p w14:paraId="63A89E1B" w14:textId="77777777" w:rsidR="00A3112D" w:rsidRPr="00B74E01" w:rsidRDefault="00A3112D" w:rsidP="00E362A0">
            <w:pPr>
              <w:spacing w:after="0" w:line="360" w:lineRule="auto"/>
              <w:ind w:hanging="60"/>
              <w:rPr>
                <w:rFonts w:eastAsia="Times New Roman" w:cs="Arial"/>
                <w:b/>
                <w:bCs/>
                <w:kern w:val="0"/>
                <w:lang w:eastAsia="pt-BR"/>
                <w14:ligatures w14:val="none"/>
              </w:rPr>
            </w:pPr>
            <w:r w:rsidRPr="00B74E01">
              <w:rPr>
                <w:rFonts w:eastAsia="Times New Roman" w:cs="Arial"/>
                <w:b/>
                <w:bCs/>
                <w:kern w:val="0"/>
                <w:lang w:eastAsia="pt-BR"/>
                <w14:ligatures w14:val="none"/>
              </w:rPr>
              <w:t>Valor anual</w:t>
            </w:r>
          </w:p>
        </w:tc>
      </w:tr>
      <w:tr w:rsidR="00A3112D" w:rsidRPr="00B74E01" w14:paraId="7F36DFF2" w14:textId="77777777" w:rsidTr="00050088">
        <w:trPr>
          <w:tblCellSpacing w:w="15" w:type="dxa"/>
        </w:trPr>
        <w:tc>
          <w:tcPr>
            <w:tcW w:w="0" w:type="auto"/>
            <w:vAlign w:val="center"/>
            <w:hideMark/>
          </w:tcPr>
          <w:p w14:paraId="12399AFF" w14:textId="77777777" w:rsidR="00A3112D" w:rsidRPr="00B74E01" w:rsidRDefault="00A3112D" w:rsidP="00E362A0">
            <w:pPr>
              <w:spacing w:after="0" w:line="360" w:lineRule="auto"/>
              <w:ind w:hanging="60"/>
              <w:rPr>
                <w:rFonts w:eastAsia="Times New Roman" w:cs="Arial"/>
                <w:kern w:val="0"/>
                <w:lang w:eastAsia="pt-BR"/>
                <w14:ligatures w14:val="none"/>
              </w:rPr>
            </w:pPr>
            <w:r w:rsidRPr="00B74E01">
              <w:rPr>
                <w:rFonts w:eastAsia="Times New Roman" w:cs="Arial"/>
                <w:kern w:val="0"/>
                <w:lang w:eastAsia="pt-BR"/>
                <w14:ligatures w14:val="none"/>
              </w:rPr>
              <w:t>Receita principal bruta da PPP</w:t>
            </w:r>
          </w:p>
        </w:tc>
        <w:tc>
          <w:tcPr>
            <w:tcW w:w="0" w:type="auto"/>
            <w:vAlign w:val="center"/>
            <w:hideMark/>
          </w:tcPr>
          <w:p w14:paraId="46FBD19F" w14:textId="77777777" w:rsidR="00A3112D" w:rsidRPr="00B74E01" w:rsidRDefault="00A3112D" w:rsidP="00E362A0">
            <w:pPr>
              <w:spacing w:after="0" w:line="360" w:lineRule="auto"/>
              <w:ind w:hanging="60"/>
              <w:rPr>
                <w:rFonts w:eastAsia="Times New Roman" w:cs="Arial"/>
                <w:kern w:val="0"/>
                <w:lang w:eastAsia="pt-BR"/>
                <w14:ligatures w14:val="none"/>
              </w:rPr>
            </w:pPr>
            <w:r w:rsidRPr="00B74E01">
              <w:rPr>
                <w:rFonts w:eastAsia="Times New Roman" w:cs="Arial"/>
                <w:b/>
                <w:bCs/>
                <w:kern w:val="0"/>
                <w:lang w:eastAsia="pt-BR"/>
                <w14:ligatures w14:val="none"/>
              </w:rPr>
              <w:t>R$ 700.077,09</w:t>
            </w:r>
          </w:p>
        </w:tc>
        <w:tc>
          <w:tcPr>
            <w:tcW w:w="0" w:type="auto"/>
            <w:vAlign w:val="center"/>
            <w:hideMark/>
          </w:tcPr>
          <w:p w14:paraId="45A5A850" w14:textId="77777777" w:rsidR="00A3112D" w:rsidRPr="00B74E01" w:rsidRDefault="00A3112D" w:rsidP="00E362A0">
            <w:pPr>
              <w:spacing w:after="0" w:line="360" w:lineRule="auto"/>
              <w:ind w:hanging="60"/>
              <w:rPr>
                <w:rFonts w:eastAsia="Times New Roman" w:cs="Arial"/>
                <w:kern w:val="0"/>
                <w:lang w:eastAsia="pt-BR"/>
                <w14:ligatures w14:val="none"/>
              </w:rPr>
            </w:pPr>
            <w:r w:rsidRPr="00B74E01">
              <w:rPr>
                <w:rFonts w:eastAsia="Times New Roman" w:cs="Arial"/>
                <w:b/>
                <w:bCs/>
                <w:kern w:val="0"/>
                <w:lang w:eastAsia="pt-BR"/>
                <w14:ligatures w14:val="none"/>
              </w:rPr>
              <w:t>R$ 8.400.925,04</w:t>
            </w:r>
          </w:p>
        </w:tc>
      </w:tr>
      <w:tr w:rsidR="00A3112D" w:rsidRPr="00B74E01" w14:paraId="64FDE153" w14:textId="77777777" w:rsidTr="00050088">
        <w:trPr>
          <w:tblCellSpacing w:w="15" w:type="dxa"/>
        </w:trPr>
        <w:tc>
          <w:tcPr>
            <w:tcW w:w="0" w:type="auto"/>
            <w:vAlign w:val="center"/>
            <w:hideMark/>
          </w:tcPr>
          <w:p w14:paraId="773A53C7" w14:textId="77777777" w:rsidR="00A3112D" w:rsidRPr="00B74E01" w:rsidRDefault="00A3112D" w:rsidP="00E362A0">
            <w:pPr>
              <w:spacing w:after="0" w:line="360" w:lineRule="auto"/>
              <w:ind w:hanging="60"/>
              <w:rPr>
                <w:rFonts w:eastAsia="Times New Roman" w:cs="Arial"/>
                <w:kern w:val="0"/>
                <w:lang w:eastAsia="pt-BR"/>
                <w14:ligatures w14:val="none"/>
              </w:rPr>
            </w:pPr>
            <w:r w:rsidRPr="00B74E01">
              <w:rPr>
                <w:rFonts w:eastAsia="Times New Roman" w:cs="Arial"/>
                <w:kern w:val="0"/>
                <w:lang w:eastAsia="pt-BR"/>
                <w14:ligatures w14:val="none"/>
              </w:rPr>
              <w:t>ISS estimado — 2%</w:t>
            </w:r>
          </w:p>
        </w:tc>
        <w:tc>
          <w:tcPr>
            <w:tcW w:w="0" w:type="auto"/>
            <w:vAlign w:val="center"/>
            <w:hideMark/>
          </w:tcPr>
          <w:p w14:paraId="13ACE5B8" w14:textId="77777777" w:rsidR="00A3112D" w:rsidRPr="00B74E01" w:rsidRDefault="00A3112D" w:rsidP="00E362A0">
            <w:pPr>
              <w:spacing w:after="0" w:line="360" w:lineRule="auto"/>
              <w:ind w:hanging="60"/>
              <w:rPr>
                <w:rFonts w:eastAsia="Times New Roman" w:cs="Arial"/>
                <w:kern w:val="0"/>
                <w:lang w:eastAsia="pt-BR"/>
                <w14:ligatures w14:val="none"/>
              </w:rPr>
            </w:pPr>
            <w:r w:rsidRPr="00B74E01">
              <w:rPr>
                <w:rFonts w:eastAsia="Times New Roman" w:cs="Arial"/>
                <w:b/>
                <w:bCs/>
                <w:kern w:val="0"/>
                <w:lang w:eastAsia="pt-BR"/>
                <w14:ligatures w14:val="none"/>
              </w:rPr>
              <w:t>-R$ 14.001,54</w:t>
            </w:r>
          </w:p>
        </w:tc>
        <w:tc>
          <w:tcPr>
            <w:tcW w:w="0" w:type="auto"/>
            <w:vAlign w:val="center"/>
            <w:hideMark/>
          </w:tcPr>
          <w:p w14:paraId="6AF57106" w14:textId="77777777" w:rsidR="00A3112D" w:rsidRPr="00B74E01" w:rsidRDefault="00A3112D" w:rsidP="00E362A0">
            <w:pPr>
              <w:spacing w:after="0" w:line="360" w:lineRule="auto"/>
              <w:ind w:hanging="60"/>
              <w:rPr>
                <w:rFonts w:eastAsia="Times New Roman" w:cs="Arial"/>
                <w:kern w:val="0"/>
                <w:lang w:eastAsia="pt-BR"/>
                <w14:ligatures w14:val="none"/>
              </w:rPr>
            </w:pPr>
            <w:r w:rsidRPr="00B74E01">
              <w:rPr>
                <w:rFonts w:eastAsia="Times New Roman" w:cs="Arial"/>
                <w:b/>
                <w:bCs/>
                <w:kern w:val="0"/>
                <w:lang w:eastAsia="pt-BR"/>
                <w14:ligatures w14:val="none"/>
              </w:rPr>
              <w:t>-R$ 168.018,50</w:t>
            </w:r>
          </w:p>
        </w:tc>
      </w:tr>
      <w:tr w:rsidR="00A3112D" w:rsidRPr="00B74E01" w14:paraId="57080FEC" w14:textId="77777777" w:rsidTr="00050088">
        <w:trPr>
          <w:tblCellSpacing w:w="15" w:type="dxa"/>
        </w:trPr>
        <w:tc>
          <w:tcPr>
            <w:tcW w:w="0" w:type="auto"/>
            <w:vAlign w:val="center"/>
            <w:hideMark/>
          </w:tcPr>
          <w:p w14:paraId="7ABA0796" w14:textId="77777777" w:rsidR="00A3112D" w:rsidRPr="00B74E01" w:rsidRDefault="00A3112D" w:rsidP="00E362A0">
            <w:pPr>
              <w:spacing w:after="0" w:line="360" w:lineRule="auto"/>
              <w:ind w:hanging="60"/>
              <w:rPr>
                <w:rFonts w:eastAsia="Times New Roman" w:cs="Arial"/>
                <w:kern w:val="0"/>
                <w:lang w:eastAsia="pt-BR"/>
                <w14:ligatures w14:val="none"/>
              </w:rPr>
            </w:pPr>
            <w:r w:rsidRPr="00B74E01">
              <w:rPr>
                <w:rFonts w:eastAsia="Times New Roman" w:cs="Arial"/>
                <w:kern w:val="0"/>
                <w:lang w:eastAsia="pt-BR"/>
                <w14:ligatures w14:val="none"/>
              </w:rPr>
              <w:t>PIS/COFINS líquido estimado</w:t>
            </w:r>
          </w:p>
        </w:tc>
        <w:tc>
          <w:tcPr>
            <w:tcW w:w="0" w:type="auto"/>
            <w:vAlign w:val="center"/>
            <w:hideMark/>
          </w:tcPr>
          <w:p w14:paraId="4DC20EE9" w14:textId="77777777" w:rsidR="00A3112D" w:rsidRPr="00B74E01" w:rsidRDefault="00A3112D" w:rsidP="00E362A0">
            <w:pPr>
              <w:spacing w:after="0" w:line="360" w:lineRule="auto"/>
              <w:ind w:hanging="60"/>
              <w:rPr>
                <w:rFonts w:eastAsia="Times New Roman" w:cs="Arial"/>
                <w:kern w:val="0"/>
                <w:lang w:eastAsia="pt-BR"/>
                <w14:ligatures w14:val="none"/>
              </w:rPr>
            </w:pPr>
            <w:r w:rsidRPr="00B74E01">
              <w:rPr>
                <w:rFonts w:eastAsia="Times New Roman" w:cs="Arial"/>
                <w:b/>
                <w:bCs/>
                <w:kern w:val="0"/>
                <w:lang w:eastAsia="pt-BR"/>
                <w14:ligatures w14:val="none"/>
              </w:rPr>
              <w:t>-R$ 52.972,78</w:t>
            </w:r>
          </w:p>
        </w:tc>
        <w:tc>
          <w:tcPr>
            <w:tcW w:w="0" w:type="auto"/>
            <w:vAlign w:val="center"/>
            <w:hideMark/>
          </w:tcPr>
          <w:p w14:paraId="28C2DF95" w14:textId="77777777" w:rsidR="00A3112D" w:rsidRPr="00B74E01" w:rsidRDefault="00A3112D" w:rsidP="00E362A0">
            <w:pPr>
              <w:spacing w:after="0" w:line="360" w:lineRule="auto"/>
              <w:ind w:hanging="60"/>
              <w:rPr>
                <w:rFonts w:eastAsia="Times New Roman" w:cs="Arial"/>
                <w:kern w:val="0"/>
                <w:lang w:eastAsia="pt-BR"/>
                <w14:ligatures w14:val="none"/>
              </w:rPr>
            </w:pPr>
            <w:r w:rsidRPr="00B74E01">
              <w:rPr>
                <w:rFonts w:eastAsia="Times New Roman" w:cs="Arial"/>
                <w:b/>
                <w:bCs/>
                <w:kern w:val="0"/>
                <w:lang w:eastAsia="pt-BR"/>
                <w14:ligatures w14:val="none"/>
              </w:rPr>
              <w:t>-R$ 635.673,37</w:t>
            </w:r>
          </w:p>
        </w:tc>
      </w:tr>
      <w:tr w:rsidR="00A3112D" w:rsidRPr="00B74E01" w14:paraId="69A50F70" w14:textId="77777777" w:rsidTr="00050088">
        <w:trPr>
          <w:tblCellSpacing w:w="15" w:type="dxa"/>
        </w:trPr>
        <w:tc>
          <w:tcPr>
            <w:tcW w:w="0" w:type="auto"/>
            <w:vAlign w:val="center"/>
            <w:hideMark/>
          </w:tcPr>
          <w:p w14:paraId="6B57C4CC" w14:textId="77777777" w:rsidR="00A3112D" w:rsidRPr="00B74E01" w:rsidRDefault="00A3112D" w:rsidP="00E362A0">
            <w:pPr>
              <w:spacing w:after="0" w:line="360" w:lineRule="auto"/>
              <w:ind w:hanging="60"/>
              <w:rPr>
                <w:rFonts w:eastAsia="Times New Roman" w:cs="Arial"/>
                <w:kern w:val="0"/>
                <w:lang w:eastAsia="pt-BR"/>
                <w14:ligatures w14:val="none"/>
              </w:rPr>
            </w:pPr>
            <w:r w:rsidRPr="00B74E01">
              <w:rPr>
                <w:rFonts w:eastAsia="Times New Roman" w:cs="Arial"/>
                <w:b/>
                <w:bCs/>
                <w:kern w:val="0"/>
                <w:lang w:eastAsia="pt-BR"/>
                <w14:ligatures w14:val="none"/>
              </w:rPr>
              <w:t>Receita operacional líquida</w:t>
            </w:r>
          </w:p>
        </w:tc>
        <w:tc>
          <w:tcPr>
            <w:tcW w:w="0" w:type="auto"/>
            <w:vAlign w:val="center"/>
            <w:hideMark/>
          </w:tcPr>
          <w:p w14:paraId="2125ADD0" w14:textId="77777777" w:rsidR="00A3112D" w:rsidRPr="00B74E01" w:rsidRDefault="00A3112D" w:rsidP="00E362A0">
            <w:pPr>
              <w:spacing w:after="0" w:line="360" w:lineRule="auto"/>
              <w:ind w:hanging="60"/>
              <w:rPr>
                <w:rFonts w:eastAsia="Times New Roman" w:cs="Arial"/>
                <w:kern w:val="0"/>
                <w:lang w:eastAsia="pt-BR"/>
                <w14:ligatures w14:val="none"/>
              </w:rPr>
            </w:pPr>
            <w:r w:rsidRPr="00B74E01">
              <w:rPr>
                <w:rFonts w:eastAsia="Times New Roman" w:cs="Arial"/>
                <w:b/>
                <w:bCs/>
                <w:kern w:val="0"/>
                <w:lang w:eastAsia="pt-BR"/>
                <w14:ligatures w14:val="none"/>
              </w:rPr>
              <w:t>R$ 633.102,77</w:t>
            </w:r>
          </w:p>
        </w:tc>
        <w:tc>
          <w:tcPr>
            <w:tcW w:w="0" w:type="auto"/>
            <w:vAlign w:val="center"/>
            <w:hideMark/>
          </w:tcPr>
          <w:p w14:paraId="3D89C706" w14:textId="77777777" w:rsidR="00A3112D" w:rsidRPr="00B74E01" w:rsidRDefault="00A3112D" w:rsidP="00E362A0">
            <w:pPr>
              <w:spacing w:after="0" w:line="360" w:lineRule="auto"/>
              <w:ind w:hanging="60"/>
              <w:rPr>
                <w:rFonts w:eastAsia="Times New Roman" w:cs="Arial"/>
                <w:kern w:val="0"/>
                <w:lang w:eastAsia="pt-BR"/>
                <w14:ligatures w14:val="none"/>
              </w:rPr>
            </w:pPr>
            <w:r w:rsidRPr="00B74E01">
              <w:rPr>
                <w:rFonts w:eastAsia="Times New Roman" w:cs="Arial"/>
                <w:b/>
                <w:bCs/>
                <w:kern w:val="0"/>
                <w:lang w:eastAsia="pt-BR"/>
                <w14:ligatures w14:val="none"/>
              </w:rPr>
              <w:t>R$ 7.597.233,17</w:t>
            </w:r>
          </w:p>
        </w:tc>
      </w:tr>
      <w:tr w:rsidR="00A3112D" w:rsidRPr="00B74E01" w14:paraId="29B2F38D" w14:textId="77777777" w:rsidTr="00050088">
        <w:trPr>
          <w:tblCellSpacing w:w="15" w:type="dxa"/>
        </w:trPr>
        <w:tc>
          <w:tcPr>
            <w:tcW w:w="0" w:type="auto"/>
            <w:vAlign w:val="center"/>
            <w:hideMark/>
          </w:tcPr>
          <w:p w14:paraId="7C4E28DB" w14:textId="77777777" w:rsidR="00A3112D" w:rsidRPr="00B74E01" w:rsidRDefault="00A3112D" w:rsidP="00E362A0">
            <w:pPr>
              <w:spacing w:after="0" w:line="360" w:lineRule="auto"/>
              <w:ind w:hanging="60"/>
              <w:rPr>
                <w:rFonts w:eastAsia="Times New Roman" w:cs="Arial"/>
                <w:kern w:val="0"/>
                <w:lang w:eastAsia="pt-BR"/>
                <w14:ligatures w14:val="none"/>
              </w:rPr>
            </w:pPr>
            <w:r w:rsidRPr="00B74E01">
              <w:rPr>
                <w:rFonts w:eastAsia="Times New Roman" w:cs="Arial"/>
                <w:kern w:val="0"/>
                <w:lang w:eastAsia="pt-BR"/>
                <w14:ligatures w14:val="none"/>
              </w:rPr>
              <w:t>OPEX revisado</w:t>
            </w:r>
          </w:p>
        </w:tc>
        <w:tc>
          <w:tcPr>
            <w:tcW w:w="0" w:type="auto"/>
            <w:vAlign w:val="center"/>
            <w:hideMark/>
          </w:tcPr>
          <w:p w14:paraId="5D824C59" w14:textId="77777777" w:rsidR="00A3112D" w:rsidRPr="00B74E01" w:rsidRDefault="00A3112D" w:rsidP="00E362A0">
            <w:pPr>
              <w:spacing w:after="0" w:line="360" w:lineRule="auto"/>
              <w:ind w:hanging="60"/>
              <w:rPr>
                <w:rFonts w:eastAsia="Times New Roman" w:cs="Arial"/>
                <w:kern w:val="0"/>
                <w:lang w:eastAsia="pt-BR"/>
                <w14:ligatures w14:val="none"/>
              </w:rPr>
            </w:pPr>
            <w:r w:rsidRPr="00B74E01">
              <w:rPr>
                <w:rFonts w:eastAsia="Times New Roman" w:cs="Arial"/>
                <w:b/>
                <w:bCs/>
                <w:kern w:val="0"/>
                <w:lang w:eastAsia="pt-BR"/>
                <w14:ligatures w14:val="none"/>
              </w:rPr>
              <w:t>-R$ 318.496,07</w:t>
            </w:r>
          </w:p>
        </w:tc>
        <w:tc>
          <w:tcPr>
            <w:tcW w:w="0" w:type="auto"/>
            <w:vAlign w:val="center"/>
            <w:hideMark/>
          </w:tcPr>
          <w:p w14:paraId="6AB7D6A9" w14:textId="77777777" w:rsidR="00A3112D" w:rsidRPr="00B74E01" w:rsidRDefault="00A3112D" w:rsidP="00E362A0">
            <w:pPr>
              <w:spacing w:after="0" w:line="360" w:lineRule="auto"/>
              <w:ind w:hanging="60"/>
              <w:rPr>
                <w:rFonts w:eastAsia="Times New Roman" w:cs="Arial"/>
                <w:kern w:val="0"/>
                <w:lang w:eastAsia="pt-BR"/>
                <w14:ligatures w14:val="none"/>
              </w:rPr>
            </w:pPr>
            <w:r w:rsidRPr="00B74E01">
              <w:rPr>
                <w:rFonts w:eastAsia="Times New Roman" w:cs="Arial"/>
                <w:b/>
                <w:bCs/>
                <w:kern w:val="0"/>
                <w:lang w:eastAsia="pt-BR"/>
                <w14:ligatures w14:val="none"/>
              </w:rPr>
              <w:t>-R$ 3.821.952,88</w:t>
            </w:r>
          </w:p>
        </w:tc>
      </w:tr>
      <w:tr w:rsidR="00A3112D" w:rsidRPr="00B74E01" w14:paraId="2D48E0A4" w14:textId="77777777" w:rsidTr="00050088">
        <w:trPr>
          <w:tblCellSpacing w:w="15" w:type="dxa"/>
        </w:trPr>
        <w:tc>
          <w:tcPr>
            <w:tcW w:w="0" w:type="auto"/>
            <w:vAlign w:val="center"/>
            <w:hideMark/>
          </w:tcPr>
          <w:p w14:paraId="5136401D" w14:textId="77777777" w:rsidR="00A3112D" w:rsidRPr="00B74E01" w:rsidRDefault="00A3112D" w:rsidP="00E362A0">
            <w:pPr>
              <w:spacing w:after="0" w:line="360" w:lineRule="auto"/>
              <w:ind w:hanging="60"/>
              <w:rPr>
                <w:rFonts w:eastAsia="Times New Roman" w:cs="Arial"/>
                <w:kern w:val="0"/>
                <w:lang w:eastAsia="pt-BR"/>
                <w14:ligatures w14:val="none"/>
              </w:rPr>
            </w:pPr>
            <w:r w:rsidRPr="00B74E01">
              <w:rPr>
                <w:rFonts w:eastAsia="Times New Roman" w:cs="Arial"/>
                <w:b/>
                <w:bCs/>
                <w:kern w:val="0"/>
                <w:lang w:eastAsia="pt-BR"/>
                <w14:ligatures w14:val="none"/>
              </w:rPr>
              <w:t>EBITDA sem receitas acessórias</w:t>
            </w:r>
          </w:p>
        </w:tc>
        <w:tc>
          <w:tcPr>
            <w:tcW w:w="0" w:type="auto"/>
            <w:vAlign w:val="center"/>
            <w:hideMark/>
          </w:tcPr>
          <w:p w14:paraId="294674D9" w14:textId="77777777" w:rsidR="00A3112D" w:rsidRPr="00B74E01" w:rsidRDefault="00A3112D" w:rsidP="00E362A0">
            <w:pPr>
              <w:spacing w:after="0" w:line="360" w:lineRule="auto"/>
              <w:ind w:hanging="60"/>
              <w:rPr>
                <w:rFonts w:eastAsia="Times New Roman" w:cs="Arial"/>
                <w:kern w:val="0"/>
                <w:lang w:eastAsia="pt-BR"/>
                <w14:ligatures w14:val="none"/>
              </w:rPr>
            </w:pPr>
            <w:r w:rsidRPr="00B74E01">
              <w:rPr>
                <w:rFonts w:eastAsia="Times New Roman" w:cs="Arial"/>
                <w:b/>
                <w:bCs/>
                <w:kern w:val="0"/>
                <w:lang w:eastAsia="pt-BR"/>
                <w14:ligatures w14:val="none"/>
              </w:rPr>
              <w:t>R$ 314.606,70</w:t>
            </w:r>
          </w:p>
        </w:tc>
        <w:tc>
          <w:tcPr>
            <w:tcW w:w="0" w:type="auto"/>
            <w:vAlign w:val="center"/>
            <w:hideMark/>
          </w:tcPr>
          <w:p w14:paraId="0EFD7A48" w14:textId="77777777" w:rsidR="00A3112D" w:rsidRPr="00B74E01" w:rsidRDefault="00A3112D" w:rsidP="00E362A0">
            <w:pPr>
              <w:spacing w:after="0" w:line="360" w:lineRule="auto"/>
              <w:ind w:hanging="60"/>
              <w:rPr>
                <w:rFonts w:eastAsia="Times New Roman" w:cs="Arial"/>
                <w:kern w:val="0"/>
                <w:lang w:eastAsia="pt-BR"/>
                <w14:ligatures w14:val="none"/>
              </w:rPr>
            </w:pPr>
            <w:r w:rsidRPr="00B74E01">
              <w:rPr>
                <w:rFonts w:eastAsia="Times New Roman" w:cs="Arial"/>
                <w:b/>
                <w:bCs/>
                <w:kern w:val="0"/>
                <w:lang w:eastAsia="pt-BR"/>
                <w14:ligatures w14:val="none"/>
              </w:rPr>
              <w:t>R$ 3.775.280,29</w:t>
            </w:r>
          </w:p>
        </w:tc>
      </w:tr>
    </w:tbl>
    <w:p w14:paraId="5FDECE2A"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lastRenderedPageBreak/>
        <w:t>A leitura desse cenário é relevante: a operação apresenta EBITDA positivo mesmo sem receitas acessórias. Contudo, a margem é restrita, especialmente quando confrontada com o serviço da dívida.</w:t>
      </w:r>
    </w:p>
    <w:p w14:paraId="4200F7CB" w14:textId="77777777" w:rsidR="00A3112D" w:rsidRPr="00B74E01" w:rsidRDefault="00A3112D" w:rsidP="00E362A0">
      <w:pPr>
        <w:pStyle w:val="Ttulo2"/>
        <w:rPr>
          <w:rFonts w:eastAsia="Times New Roman"/>
          <w:lang w:eastAsia="pt-BR"/>
        </w:rPr>
      </w:pPr>
      <w:bookmarkStart w:id="162" w:name="_Toc230204164"/>
      <w:r w:rsidRPr="00B74E01">
        <w:rPr>
          <w:rFonts w:eastAsia="Times New Roman"/>
          <w:lang w:eastAsia="pt-BR"/>
        </w:rPr>
        <w:t>13.3. Cobertura da dívida no cenário mínimo</w:t>
      </w:r>
      <w:bookmarkEnd w:id="162"/>
    </w:p>
    <w:p w14:paraId="3A2EF8B8"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Considerando o serviço da dívida estimado, o cenário mínimo apresenta a seguinte cobertura:</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123"/>
        <w:gridCol w:w="1868"/>
        <w:gridCol w:w="2055"/>
        <w:gridCol w:w="1654"/>
        <w:gridCol w:w="776"/>
      </w:tblGrid>
      <w:tr w:rsidR="00A3112D" w:rsidRPr="00B74E01" w14:paraId="2A6D235D" w14:textId="77777777" w:rsidTr="00050088">
        <w:trPr>
          <w:tblHeader/>
          <w:tblCellSpacing w:w="15" w:type="dxa"/>
        </w:trPr>
        <w:tc>
          <w:tcPr>
            <w:tcW w:w="0" w:type="auto"/>
            <w:vAlign w:val="center"/>
            <w:hideMark/>
          </w:tcPr>
          <w:p w14:paraId="37088535" w14:textId="77777777" w:rsidR="00A3112D" w:rsidRPr="00B74E01" w:rsidRDefault="00A3112D" w:rsidP="00E362A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Fase</w:t>
            </w:r>
          </w:p>
        </w:tc>
        <w:tc>
          <w:tcPr>
            <w:tcW w:w="0" w:type="auto"/>
            <w:vAlign w:val="center"/>
            <w:hideMark/>
          </w:tcPr>
          <w:p w14:paraId="5CEB1E57" w14:textId="77777777" w:rsidR="00A3112D" w:rsidRPr="00B74E01" w:rsidRDefault="00A3112D" w:rsidP="00E362A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EBITDA mensal</w:t>
            </w:r>
          </w:p>
        </w:tc>
        <w:tc>
          <w:tcPr>
            <w:tcW w:w="0" w:type="auto"/>
            <w:vAlign w:val="center"/>
            <w:hideMark/>
          </w:tcPr>
          <w:p w14:paraId="42F7D283" w14:textId="77777777" w:rsidR="00A3112D" w:rsidRPr="00B74E01" w:rsidRDefault="00A3112D" w:rsidP="00E362A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Serviço da dívida</w:t>
            </w:r>
          </w:p>
        </w:tc>
        <w:tc>
          <w:tcPr>
            <w:tcW w:w="0" w:type="auto"/>
            <w:vAlign w:val="center"/>
            <w:hideMark/>
          </w:tcPr>
          <w:p w14:paraId="3853BC70" w14:textId="77777777" w:rsidR="00A3112D" w:rsidRPr="00B74E01" w:rsidRDefault="00A3112D" w:rsidP="00E362A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Sobra mensal</w:t>
            </w:r>
          </w:p>
        </w:tc>
        <w:tc>
          <w:tcPr>
            <w:tcW w:w="0" w:type="auto"/>
            <w:vAlign w:val="center"/>
            <w:hideMark/>
          </w:tcPr>
          <w:p w14:paraId="7F70EE26" w14:textId="77777777" w:rsidR="00A3112D" w:rsidRPr="00B74E01" w:rsidRDefault="00A3112D" w:rsidP="00E362A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DSCR</w:t>
            </w:r>
          </w:p>
        </w:tc>
      </w:tr>
      <w:tr w:rsidR="00A3112D" w:rsidRPr="00B74E01" w14:paraId="5B6749C5" w14:textId="77777777" w:rsidTr="00050088">
        <w:trPr>
          <w:tblCellSpacing w:w="15" w:type="dxa"/>
        </w:trPr>
        <w:tc>
          <w:tcPr>
            <w:tcW w:w="0" w:type="auto"/>
            <w:vAlign w:val="center"/>
            <w:hideMark/>
          </w:tcPr>
          <w:p w14:paraId="37F26E7E"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Durante a carência</w:t>
            </w:r>
          </w:p>
        </w:tc>
        <w:tc>
          <w:tcPr>
            <w:tcW w:w="0" w:type="auto"/>
            <w:vAlign w:val="center"/>
            <w:hideMark/>
          </w:tcPr>
          <w:p w14:paraId="6A85AB17"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R$ 314.606,70</w:t>
            </w:r>
          </w:p>
        </w:tc>
        <w:tc>
          <w:tcPr>
            <w:tcW w:w="0" w:type="auto"/>
            <w:vAlign w:val="center"/>
            <w:hideMark/>
          </w:tcPr>
          <w:p w14:paraId="250190F6"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R$ 257.324,50</w:t>
            </w:r>
          </w:p>
        </w:tc>
        <w:tc>
          <w:tcPr>
            <w:tcW w:w="0" w:type="auto"/>
            <w:vAlign w:val="center"/>
            <w:hideMark/>
          </w:tcPr>
          <w:p w14:paraId="4822EDA8"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R$ 57.282,20</w:t>
            </w:r>
          </w:p>
        </w:tc>
        <w:tc>
          <w:tcPr>
            <w:tcW w:w="0" w:type="auto"/>
            <w:vAlign w:val="center"/>
            <w:hideMark/>
          </w:tcPr>
          <w:p w14:paraId="7F041A06"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1,22x</w:t>
            </w:r>
          </w:p>
        </w:tc>
      </w:tr>
      <w:tr w:rsidR="00A3112D" w:rsidRPr="00B74E01" w14:paraId="52D5EBB2" w14:textId="77777777" w:rsidTr="00050088">
        <w:trPr>
          <w:tblCellSpacing w:w="15" w:type="dxa"/>
        </w:trPr>
        <w:tc>
          <w:tcPr>
            <w:tcW w:w="0" w:type="auto"/>
            <w:vAlign w:val="center"/>
            <w:hideMark/>
          </w:tcPr>
          <w:p w14:paraId="2485F27E"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Após a carência</w:t>
            </w:r>
          </w:p>
        </w:tc>
        <w:tc>
          <w:tcPr>
            <w:tcW w:w="0" w:type="auto"/>
            <w:vAlign w:val="center"/>
            <w:hideMark/>
          </w:tcPr>
          <w:p w14:paraId="41B4A324"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R$ 314.606,70</w:t>
            </w:r>
          </w:p>
        </w:tc>
        <w:tc>
          <w:tcPr>
            <w:tcW w:w="0" w:type="auto"/>
            <w:vAlign w:val="center"/>
            <w:hideMark/>
          </w:tcPr>
          <w:p w14:paraId="49E36DF9"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R$ 280.892,95</w:t>
            </w:r>
          </w:p>
        </w:tc>
        <w:tc>
          <w:tcPr>
            <w:tcW w:w="0" w:type="auto"/>
            <w:vAlign w:val="center"/>
            <w:hideMark/>
          </w:tcPr>
          <w:p w14:paraId="34FED7C1"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R$ 33.713,75</w:t>
            </w:r>
          </w:p>
        </w:tc>
        <w:tc>
          <w:tcPr>
            <w:tcW w:w="0" w:type="auto"/>
            <w:vAlign w:val="center"/>
            <w:hideMark/>
          </w:tcPr>
          <w:p w14:paraId="2FA7C8FA"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1,12x</w:t>
            </w:r>
          </w:p>
        </w:tc>
      </w:tr>
    </w:tbl>
    <w:p w14:paraId="73BFF370"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O DSCR de </w:t>
      </w:r>
      <w:r w:rsidRPr="00B74E01">
        <w:rPr>
          <w:rFonts w:eastAsia="Times New Roman" w:cs="Arial"/>
          <w:b/>
          <w:bCs/>
          <w:kern w:val="0"/>
          <w:lang w:eastAsia="pt-BR"/>
          <w14:ligatures w14:val="none"/>
        </w:rPr>
        <w:t>1,12x</w:t>
      </w:r>
      <w:r w:rsidRPr="00B74E01">
        <w:rPr>
          <w:rFonts w:eastAsia="Times New Roman" w:cs="Arial"/>
          <w:kern w:val="0"/>
          <w:lang w:eastAsia="pt-BR"/>
          <w14:ligatures w14:val="none"/>
        </w:rPr>
        <w:t xml:space="preserve"> após a carência demonstra que a operação fecha positivamente, mas com baixa folga financeira. Essa informação deve ser apresentada com transparência, pois é justamente ela que justifica a necessidade de garantias contratuais robustas, como Fundo Garantidor, conta vinculada, conta reserva ou instrumento equivalente.</w:t>
      </w:r>
    </w:p>
    <w:p w14:paraId="25EAFF7C"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O cenário mínimo não deve ser apresentado como confortável. Ele é positivo, mas restrito. Isso é tecnicamente importante, porque mostra prudência e evita a percepção de que a modelagem ignora riscos.</w:t>
      </w:r>
    </w:p>
    <w:p w14:paraId="1EFEC4D6" w14:textId="77777777" w:rsidR="00A3112D" w:rsidRPr="00B74E01" w:rsidRDefault="00A3112D" w:rsidP="00E362A0">
      <w:pPr>
        <w:pStyle w:val="Ttulo2"/>
        <w:rPr>
          <w:rFonts w:eastAsia="Times New Roman"/>
          <w:lang w:eastAsia="pt-BR"/>
        </w:rPr>
      </w:pPr>
      <w:bookmarkStart w:id="163" w:name="_Toc230204165"/>
      <w:r w:rsidRPr="00B74E01">
        <w:rPr>
          <w:rFonts w:eastAsia="Times New Roman"/>
          <w:lang w:eastAsia="pt-BR"/>
        </w:rPr>
        <w:t>13.4. Resultado no cenário ampliado — com receitas acessórias</w:t>
      </w:r>
      <w:bookmarkEnd w:id="163"/>
    </w:p>
    <w:p w14:paraId="2ED20EA6"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No cenário ampliado, além das receitas principais, considera-se a realização de 100% das receitas acessórias potenciais, após deduções tributárias e destinação de 5% ao Fundo Municipal.</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564"/>
        <w:gridCol w:w="1855"/>
        <w:gridCol w:w="2004"/>
      </w:tblGrid>
      <w:tr w:rsidR="00A3112D" w:rsidRPr="00B74E01" w14:paraId="3FB6E8F3" w14:textId="77777777" w:rsidTr="00050088">
        <w:trPr>
          <w:tblHeader/>
          <w:tblCellSpacing w:w="15" w:type="dxa"/>
        </w:trPr>
        <w:tc>
          <w:tcPr>
            <w:tcW w:w="0" w:type="auto"/>
            <w:vAlign w:val="center"/>
            <w:hideMark/>
          </w:tcPr>
          <w:p w14:paraId="4B88C607" w14:textId="77777777" w:rsidR="00A3112D" w:rsidRPr="00B74E01" w:rsidRDefault="00A3112D" w:rsidP="00E362A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Item</w:t>
            </w:r>
          </w:p>
        </w:tc>
        <w:tc>
          <w:tcPr>
            <w:tcW w:w="0" w:type="auto"/>
            <w:vAlign w:val="center"/>
            <w:hideMark/>
          </w:tcPr>
          <w:p w14:paraId="5921DE92" w14:textId="77777777" w:rsidR="00A3112D" w:rsidRPr="00B74E01" w:rsidRDefault="00A3112D" w:rsidP="00E362A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 mensal</w:t>
            </w:r>
          </w:p>
        </w:tc>
        <w:tc>
          <w:tcPr>
            <w:tcW w:w="0" w:type="auto"/>
            <w:vAlign w:val="center"/>
            <w:hideMark/>
          </w:tcPr>
          <w:p w14:paraId="036473B0" w14:textId="77777777" w:rsidR="00A3112D" w:rsidRPr="00B74E01" w:rsidRDefault="00A3112D" w:rsidP="00E362A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 anual</w:t>
            </w:r>
          </w:p>
        </w:tc>
      </w:tr>
      <w:tr w:rsidR="00A3112D" w:rsidRPr="00B74E01" w14:paraId="2EA07AF9" w14:textId="77777777" w:rsidTr="00050088">
        <w:trPr>
          <w:tblCellSpacing w:w="15" w:type="dxa"/>
        </w:trPr>
        <w:tc>
          <w:tcPr>
            <w:tcW w:w="0" w:type="auto"/>
            <w:vAlign w:val="center"/>
            <w:hideMark/>
          </w:tcPr>
          <w:p w14:paraId="67138D17"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EBITDA sem receitas acessórias</w:t>
            </w:r>
          </w:p>
        </w:tc>
        <w:tc>
          <w:tcPr>
            <w:tcW w:w="0" w:type="auto"/>
            <w:vAlign w:val="center"/>
            <w:hideMark/>
          </w:tcPr>
          <w:p w14:paraId="74188AE3"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R$ 314.606,70</w:t>
            </w:r>
          </w:p>
        </w:tc>
        <w:tc>
          <w:tcPr>
            <w:tcW w:w="0" w:type="auto"/>
            <w:vAlign w:val="center"/>
            <w:hideMark/>
          </w:tcPr>
          <w:p w14:paraId="6C951701"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R$ 3.775.280,29</w:t>
            </w:r>
          </w:p>
        </w:tc>
      </w:tr>
      <w:tr w:rsidR="00A3112D" w:rsidRPr="00B74E01" w14:paraId="1421B4D0" w14:textId="77777777" w:rsidTr="00050088">
        <w:trPr>
          <w:tblCellSpacing w:w="15" w:type="dxa"/>
        </w:trPr>
        <w:tc>
          <w:tcPr>
            <w:tcW w:w="0" w:type="auto"/>
            <w:vAlign w:val="center"/>
            <w:hideMark/>
          </w:tcPr>
          <w:p w14:paraId="5D9A74CD"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Acréscimo líquido das receitas acessórias</w:t>
            </w:r>
          </w:p>
        </w:tc>
        <w:tc>
          <w:tcPr>
            <w:tcW w:w="0" w:type="auto"/>
            <w:vAlign w:val="center"/>
            <w:hideMark/>
          </w:tcPr>
          <w:p w14:paraId="097FCE38"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R$ 792.485,06</w:t>
            </w:r>
          </w:p>
        </w:tc>
        <w:tc>
          <w:tcPr>
            <w:tcW w:w="0" w:type="auto"/>
            <w:vAlign w:val="center"/>
            <w:hideMark/>
          </w:tcPr>
          <w:p w14:paraId="0716E37C"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R$ 9.509.820,68</w:t>
            </w:r>
          </w:p>
        </w:tc>
      </w:tr>
      <w:tr w:rsidR="00A3112D" w:rsidRPr="00B74E01" w14:paraId="33DE0726" w14:textId="77777777" w:rsidTr="00050088">
        <w:trPr>
          <w:tblCellSpacing w:w="15" w:type="dxa"/>
        </w:trPr>
        <w:tc>
          <w:tcPr>
            <w:tcW w:w="0" w:type="auto"/>
            <w:vAlign w:val="center"/>
            <w:hideMark/>
          </w:tcPr>
          <w:p w14:paraId="6C223BD8"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EBITDA com receitas acessórias</w:t>
            </w:r>
          </w:p>
        </w:tc>
        <w:tc>
          <w:tcPr>
            <w:tcW w:w="0" w:type="auto"/>
            <w:vAlign w:val="center"/>
            <w:hideMark/>
          </w:tcPr>
          <w:p w14:paraId="785EB4B8"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R$ 1.107.091,76</w:t>
            </w:r>
          </w:p>
        </w:tc>
        <w:tc>
          <w:tcPr>
            <w:tcW w:w="0" w:type="auto"/>
            <w:vAlign w:val="center"/>
            <w:hideMark/>
          </w:tcPr>
          <w:p w14:paraId="6447DC5F" w14:textId="77777777" w:rsidR="00A3112D" w:rsidRPr="00B74E01" w:rsidRDefault="00A3112D" w:rsidP="00E362A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R$ 13.285.100,97</w:t>
            </w:r>
          </w:p>
        </w:tc>
      </w:tr>
    </w:tbl>
    <w:p w14:paraId="67C50017"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lastRenderedPageBreak/>
        <w:t>Esse cenário demonstra o potencial de robustez da PPP. As receitas acessórias ampliam fortemente a geração de caixa da SPE e melhoram os indicadores de cobertura da dívida.</w:t>
      </w:r>
    </w:p>
    <w:p w14:paraId="0BA1508B"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Contudo, esse resultado deve ser interpretado como cenário ampliado de atratividade, e não como garantia automática de receita. As receitas acessórias dependem de mercado, laudos, qualidade dos subprodutos, certificações, compradores, metodologia de carbono e regulação.</w:t>
      </w:r>
    </w:p>
    <w:p w14:paraId="5BFC47CA" w14:textId="77777777" w:rsidR="00A3112D" w:rsidRPr="00B74E01" w:rsidRDefault="00A3112D" w:rsidP="00E362A0">
      <w:pPr>
        <w:pStyle w:val="Ttulo2"/>
        <w:rPr>
          <w:rFonts w:eastAsia="Times New Roman"/>
          <w:lang w:eastAsia="pt-BR"/>
        </w:rPr>
      </w:pPr>
      <w:bookmarkStart w:id="164" w:name="_Toc230204166"/>
      <w:r w:rsidRPr="00B74E01">
        <w:rPr>
          <w:rFonts w:eastAsia="Times New Roman"/>
          <w:lang w:eastAsia="pt-BR"/>
        </w:rPr>
        <w:t>13.5. Cobertura da dívida no cenário ampliado</w:t>
      </w:r>
      <w:bookmarkEnd w:id="164"/>
    </w:p>
    <w:p w14:paraId="785AF456"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Com receitas acessórias, a cobertura da dívida passa a ser significativamente superior:</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123"/>
        <w:gridCol w:w="1868"/>
        <w:gridCol w:w="2055"/>
        <w:gridCol w:w="1655"/>
        <w:gridCol w:w="776"/>
      </w:tblGrid>
      <w:tr w:rsidR="00A3112D" w:rsidRPr="00B74E01" w14:paraId="55316408" w14:textId="77777777" w:rsidTr="00050088">
        <w:trPr>
          <w:tblHeader/>
          <w:tblCellSpacing w:w="15" w:type="dxa"/>
        </w:trPr>
        <w:tc>
          <w:tcPr>
            <w:tcW w:w="0" w:type="auto"/>
            <w:vAlign w:val="center"/>
            <w:hideMark/>
          </w:tcPr>
          <w:p w14:paraId="545C6CEB" w14:textId="77777777" w:rsidR="00A3112D" w:rsidRPr="00B74E01" w:rsidRDefault="00A3112D" w:rsidP="00B745F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Fase</w:t>
            </w:r>
          </w:p>
        </w:tc>
        <w:tc>
          <w:tcPr>
            <w:tcW w:w="0" w:type="auto"/>
            <w:vAlign w:val="center"/>
            <w:hideMark/>
          </w:tcPr>
          <w:p w14:paraId="78CB5FF0" w14:textId="77777777" w:rsidR="00A3112D" w:rsidRPr="00B74E01" w:rsidRDefault="00A3112D" w:rsidP="00B745F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EBITDA mensal</w:t>
            </w:r>
          </w:p>
        </w:tc>
        <w:tc>
          <w:tcPr>
            <w:tcW w:w="0" w:type="auto"/>
            <w:vAlign w:val="center"/>
            <w:hideMark/>
          </w:tcPr>
          <w:p w14:paraId="2D2C81F6" w14:textId="77777777" w:rsidR="00A3112D" w:rsidRPr="00B74E01" w:rsidRDefault="00A3112D" w:rsidP="00B745F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Serviço da dívida</w:t>
            </w:r>
          </w:p>
        </w:tc>
        <w:tc>
          <w:tcPr>
            <w:tcW w:w="0" w:type="auto"/>
            <w:vAlign w:val="center"/>
            <w:hideMark/>
          </w:tcPr>
          <w:p w14:paraId="1F8272F1" w14:textId="77777777" w:rsidR="00A3112D" w:rsidRPr="00B74E01" w:rsidRDefault="00A3112D" w:rsidP="00B745F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Sobra mensal</w:t>
            </w:r>
          </w:p>
        </w:tc>
        <w:tc>
          <w:tcPr>
            <w:tcW w:w="0" w:type="auto"/>
            <w:vAlign w:val="center"/>
            <w:hideMark/>
          </w:tcPr>
          <w:p w14:paraId="6A804058" w14:textId="77777777" w:rsidR="00A3112D" w:rsidRPr="00B74E01" w:rsidRDefault="00A3112D" w:rsidP="00B745F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DSCR</w:t>
            </w:r>
          </w:p>
        </w:tc>
      </w:tr>
      <w:tr w:rsidR="00A3112D" w:rsidRPr="00B74E01" w14:paraId="7911F74C" w14:textId="77777777" w:rsidTr="00050088">
        <w:trPr>
          <w:tblCellSpacing w:w="15" w:type="dxa"/>
        </w:trPr>
        <w:tc>
          <w:tcPr>
            <w:tcW w:w="0" w:type="auto"/>
            <w:vAlign w:val="center"/>
            <w:hideMark/>
          </w:tcPr>
          <w:p w14:paraId="62D76E9B"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Durante a carência</w:t>
            </w:r>
          </w:p>
        </w:tc>
        <w:tc>
          <w:tcPr>
            <w:tcW w:w="0" w:type="auto"/>
            <w:vAlign w:val="center"/>
            <w:hideMark/>
          </w:tcPr>
          <w:p w14:paraId="7DBB1921"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R$ 1.107.091,76</w:t>
            </w:r>
          </w:p>
        </w:tc>
        <w:tc>
          <w:tcPr>
            <w:tcW w:w="0" w:type="auto"/>
            <w:vAlign w:val="center"/>
            <w:hideMark/>
          </w:tcPr>
          <w:p w14:paraId="0DC00B9D"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R$ 257.324,50</w:t>
            </w:r>
          </w:p>
        </w:tc>
        <w:tc>
          <w:tcPr>
            <w:tcW w:w="0" w:type="auto"/>
            <w:vAlign w:val="center"/>
            <w:hideMark/>
          </w:tcPr>
          <w:p w14:paraId="1B8A4CFF"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R$ 849.767,26</w:t>
            </w:r>
          </w:p>
        </w:tc>
        <w:tc>
          <w:tcPr>
            <w:tcW w:w="0" w:type="auto"/>
            <w:vAlign w:val="center"/>
            <w:hideMark/>
          </w:tcPr>
          <w:p w14:paraId="23B886A4"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4,30x</w:t>
            </w:r>
          </w:p>
        </w:tc>
      </w:tr>
      <w:tr w:rsidR="00A3112D" w:rsidRPr="00B74E01" w14:paraId="7A63DB3E" w14:textId="77777777" w:rsidTr="00050088">
        <w:trPr>
          <w:tblCellSpacing w:w="15" w:type="dxa"/>
        </w:trPr>
        <w:tc>
          <w:tcPr>
            <w:tcW w:w="0" w:type="auto"/>
            <w:vAlign w:val="center"/>
            <w:hideMark/>
          </w:tcPr>
          <w:p w14:paraId="414927E1"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Após a carência</w:t>
            </w:r>
          </w:p>
        </w:tc>
        <w:tc>
          <w:tcPr>
            <w:tcW w:w="0" w:type="auto"/>
            <w:vAlign w:val="center"/>
            <w:hideMark/>
          </w:tcPr>
          <w:p w14:paraId="2E8BB396"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R$ 1.107.091,76</w:t>
            </w:r>
          </w:p>
        </w:tc>
        <w:tc>
          <w:tcPr>
            <w:tcW w:w="0" w:type="auto"/>
            <w:vAlign w:val="center"/>
            <w:hideMark/>
          </w:tcPr>
          <w:p w14:paraId="40755AF5"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R$ 280.892,95</w:t>
            </w:r>
          </w:p>
        </w:tc>
        <w:tc>
          <w:tcPr>
            <w:tcW w:w="0" w:type="auto"/>
            <w:vAlign w:val="center"/>
            <w:hideMark/>
          </w:tcPr>
          <w:p w14:paraId="712F3E32"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R$ 826.198,81</w:t>
            </w:r>
          </w:p>
        </w:tc>
        <w:tc>
          <w:tcPr>
            <w:tcW w:w="0" w:type="auto"/>
            <w:vAlign w:val="center"/>
            <w:hideMark/>
          </w:tcPr>
          <w:p w14:paraId="3C71F229"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3,94x</w:t>
            </w:r>
          </w:p>
        </w:tc>
      </w:tr>
    </w:tbl>
    <w:p w14:paraId="63DEDD3F"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O DSCR de </w:t>
      </w:r>
      <w:r w:rsidRPr="00B74E01">
        <w:rPr>
          <w:rFonts w:eastAsia="Times New Roman" w:cs="Arial"/>
          <w:b/>
          <w:bCs/>
          <w:kern w:val="0"/>
          <w:lang w:eastAsia="pt-BR"/>
          <w14:ligatures w14:val="none"/>
        </w:rPr>
        <w:t>3,94x</w:t>
      </w:r>
      <w:r w:rsidRPr="00B74E01">
        <w:rPr>
          <w:rFonts w:eastAsia="Times New Roman" w:cs="Arial"/>
          <w:kern w:val="0"/>
          <w:lang w:eastAsia="pt-BR"/>
          <w14:ligatures w14:val="none"/>
        </w:rPr>
        <w:t xml:space="preserve"> após a carência demonstra elevada capacidade de pagamento da dívida, desde que as receitas acessórias se realizem nos patamares estimados.</w:t>
      </w:r>
    </w:p>
    <w:p w14:paraId="77DAA050"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Essa diferença entre o cenário mínimo e o cenário ampliado é central para a leitura do projeto:</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043"/>
        <w:gridCol w:w="1797"/>
        <w:gridCol w:w="5221"/>
      </w:tblGrid>
      <w:tr w:rsidR="00A3112D" w:rsidRPr="00B74E01" w14:paraId="6590E952" w14:textId="77777777" w:rsidTr="00050088">
        <w:trPr>
          <w:tblHeader/>
          <w:tblCellSpacing w:w="15" w:type="dxa"/>
        </w:trPr>
        <w:tc>
          <w:tcPr>
            <w:tcW w:w="0" w:type="auto"/>
            <w:vAlign w:val="center"/>
            <w:hideMark/>
          </w:tcPr>
          <w:p w14:paraId="19450285" w14:textId="77777777" w:rsidR="00A3112D" w:rsidRPr="00B74E01" w:rsidRDefault="00A3112D" w:rsidP="00B745F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Cenário</w:t>
            </w:r>
          </w:p>
        </w:tc>
        <w:tc>
          <w:tcPr>
            <w:tcW w:w="0" w:type="auto"/>
            <w:vAlign w:val="center"/>
            <w:hideMark/>
          </w:tcPr>
          <w:p w14:paraId="077E59B3" w14:textId="77777777" w:rsidR="00A3112D" w:rsidRPr="00B74E01" w:rsidRDefault="00A3112D" w:rsidP="00B745F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DSCR após carência</w:t>
            </w:r>
          </w:p>
        </w:tc>
        <w:tc>
          <w:tcPr>
            <w:tcW w:w="0" w:type="auto"/>
            <w:vAlign w:val="center"/>
            <w:hideMark/>
          </w:tcPr>
          <w:p w14:paraId="1543D00B" w14:textId="77777777" w:rsidR="00A3112D" w:rsidRPr="00B74E01" w:rsidRDefault="00A3112D" w:rsidP="00B745F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Leitura</w:t>
            </w:r>
          </w:p>
        </w:tc>
      </w:tr>
      <w:tr w:rsidR="00A3112D" w:rsidRPr="00B74E01" w14:paraId="0FF101C0" w14:textId="77777777" w:rsidTr="00050088">
        <w:trPr>
          <w:tblCellSpacing w:w="15" w:type="dxa"/>
        </w:trPr>
        <w:tc>
          <w:tcPr>
            <w:tcW w:w="0" w:type="auto"/>
            <w:vAlign w:val="center"/>
            <w:hideMark/>
          </w:tcPr>
          <w:p w14:paraId="0353D8E4"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Sem receitas acessórias</w:t>
            </w:r>
          </w:p>
        </w:tc>
        <w:tc>
          <w:tcPr>
            <w:tcW w:w="0" w:type="auto"/>
            <w:vAlign w:val="center"/>
            <w:hideMark/>
          </w:tcPr>
          <w:p w14:paraId="42B45E19"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1,12x</w:t>
            </w:r>
          </w:p>
        </w:tc>
        <w:tc>
          <w:tcPr>
            <w:tcW w:w="0" w:type="auto"/>
            <w:vAlign w:val="center"/>
            <w:hideMark/>
          </w:tcPr>
          <w:p w14:paraId="1C8AB290"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Fecha positivamente, mas com margem restrita</w:t>
            </w:r>
          </w:p>
        </w:tc>
      </w:tr>
      <w:tr w:rsidR="00A3112D" w:rsidRPr="00B74E01" w14:paraId="27652C36" w14:textId="77777777" w:rsidTr="00050088">
        <w:trPr>
          <w:tblCellSpacing w:w="15" w:type="dxa"/>
        </w:trPr>
        <w:tc>
          <w:tcPr>
            <w:tcW w:w="0" w:type="auto"/>
            <w:vAlign w:val="center"/>
            <w:hideMark/>
          </w:tcPr>
          <w:p w14:paraId="2BDCE883"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Com receitas acessórias</w:t>
            </w:r>
          </w:p>
        </w:tc>
        <w:tc>
          <w:tcPr>
            <w:tcW w:w="0" w:type="auto"/>
            <w:vAlign w:val="center"/>
            <w:hideMark/>
          </w:tcPr>
          <w:p w14:paraId="54D0A130"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3,94x</w:t>
            </w:r>
          </w:p>
        </w:tc>
        <w:tc>
          <w:tcPr>
            <w:tcW w:w="0" w:type="auto"/>
            <w:vAlign w:val="center"/>
            <w:hideMark/>
          </w:tcPr>
          <w:p w14:paraId="62C47FBC"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Robusto e atrativo, porém dependente de realização de receitas de mercado</w:t>
            </w:r>
          </w:p>
        </w:tc>
      </w:tr>
    </w:tbl>
    <w:p w14:paraId="6F5DD015"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 modelagem deve valorizar o cenário ampliado, mas sempre preservando a separação entre receita </w:t>
      </w:r>
      <w:proofErr w:type="spellStart"/>
      <w:r w:rsidRPr="00B74E01">
        <w:rPr>
          <w:rFonts w:eastAsia="Times New Roman" w:cs="Arial"/>
          <w:kern w:val="0"/>
          <w:lang w:eastAsia="pt-BR"/>
          <w14:ligatures w14:val="none"/>
        </w:rPr>
        <w:t>garantível</w:t>
      </w:r>
      <w:proofErr w:type="spellEnd"/>
      <w:r w:rsidRPr="00B74E01">
        <w:rPr>
          <w:rFonts w:eastAsia="Times New Roman" w:cs="Arial"/>
          <w:kern w:val="0"/>
          <w:lang w:eastAsia="pt-BR"/>
          <w14:ligatures w14:val="none"/>
        </w:rPr>
        <w:t xml:space="preserve"> e receita sujeita a risco empresarial.</w:t>
      </w:r>
    </w:p>
    <w:p w14:paraId="365C39BF" w14:textId="77777777" w:rsidR="00A3112D" w:rsidRPr="00B74E01" w:rsidRDefault="00A3112D" w:rsidP="00B745F4">
      <w:pPr>
        <w:pStyle w:val="Ttulo2"/>
        <w:rPr>
          <w:rFonts w:eastAsia="Times New Roman"/>
          <w:lang w:eastAsia="pt-BR"/>
        </w:rPr>
      </w:pPr>
      <w:bookmarkStart w:id="165" w:name="_Toc230204167"/>
      <w:r w:rsidRPr="00B74E01">
        <w:rPr>
          <w:rFonts w:eastAsia="Times New Roman"/>
          <w:lang w:eastAsia="pt-BR"/>
        </w:rPr>
        <w:lastRenderedPageBreak/>
        <w:t>13.6. Resultado comparativo — tarifa de R$ 95/t x R$ 140/t</w:t>
      </w:r>
      <w:bookmarkEnd w:id="165"/>
    </w:p>
    <w:p w14:paraId="0B203738"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Além da comparação entre receitas principais e acessórias, é importante avaliar o resultado da SPE nos dois cenários tarifários de destinação/tratamento de RSU: </w:t>
      </w:r>
      <w:r w:rsidRPr="00B74E01">
        <w:rPr>
          <w:rFonts w:eastAsia="Times New Roman" w:cs="Arial"/>
          <w:b/>
          <w:bCs/>
          <w:kern w:val="0"/>
          <w:lang w:eastAsia="pt-BR"/>
          <w14:ligatures w14:val="none"/>
        </w:rPr>
        <w:t>R$ 95/t</w:t>
      </w:r>
      <w:r w:rsidRPr="00B74E01">
        <w:rPr>
          <w:rFonts w:eastAsia="Times New Roman" w:cs="Arial"/>
          <w:kern w:val="0"/>
          <w:lang w:eastAsia="pt-BR"/>
          <w14:ligatures w14:val="none"/>
        </w:rPr>
        <w:t xml:space="preserve"> e </w:t>
      </w:r>
      <w:r w:rsidRPr="00B74E01">
        <w:rPr>
          <w:rFonts w:eastAsia="Times New Roman" w:cs="Arial"/>
          <w:b/>
          <w:bCs/>
          <w:kern w:val="0"/>
          <w:lang w:eastAsia="pt-BR"/>
          <w14:ligatures w14:val="none"/>
        </w:rPr>
        <w:t>R$ 140/t</w:t>
      </w:r>
      <w:r w:rsidRPr="00B74E01">
        <w:rPr>
          <w:rFonts w:eastAsia="Times New Roman" w:cs="Arial"/>
          <w:kern w:val="0"/>
          <w:lang w:eastAsia="pt-BR"/>
          <w14:ligatures w14:val="none"/>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229"/>
        <w:gridCol w:w="2353"/>
        <w:gridCol w:w="3479"/>
      </w:tblGrid>
      <w:tr w:rsidR="00A3112D" w:rsidRPr="00B74E01" w14:paraId="17DB3634" w14:textId="77777777" w:rsidTr="00050088">
        <w:trPr>
          <w:tblHeade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6DF32938" w14:textId="77777777" w:rsidR="00A3112D" w:rsidRPr="00B74E01" w:rsidRDefault="00A3112D" w:rsidP="00B745F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Item</w:t>
            </w:r>
          </w:p>
        </w:tc>
        <w:tc>
          <w:tcPr>
            <w:tcW w:w="0" w:type="auto"/>
            <w:tcBorders>
              <w:top w:val="single" w:sz="4" w:space="0" w:color="auto"/>
              <w:left w:val="single" w:sz="4" w:space="0" w:color="auto"/>
              <w:bottom w:val="single" w:sz="4" w:space="0" w:color="auto"/>
              <w:right w:val="single" w:sz="4" w:space="0" w:color="auto"/>
            </w:tcBorders>
            <w:vAlign w:val="center"/>
            <w:hideMark/>
          </w:tcPr>
          <w:p w14:paraId="24814D4B" w14:textId="77777777" w:rsidR="00A3112D" w:rsidRPr="00B74E01" w:rsidRDefault="00A3112D" w:rsidP="00B745F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Cenário-base — R$ 95/t</w:t>
            </w:r>
          </w:p>
        </w:tc>
        <w:tc>
          <w:tcPr>
            <w:tcW w:w="0" w:type="auto"/>
            <w:tcBorders>
              <w:top w:val="single" w:sz="4" w:space="0" w:color="auto"/>
              <w:left w:val="single" w:sz="4" w:space="0" w:color="auto"/>
              <w:bottom w:val="single" w:sz="4" w:space="0" w:color="auto"/>
              <w:right w:val="single" w:sz="4" w:space="0" w:color="auto"/>
            </w:tcBorders>
            <w:vAlign w:val="center"/>
            <w:hideMark/>
          </w:tcPr>
          <w:p w14:paraId="0F7F0B25" w14:textId="77777777" w:rsidR="00A3112D" w:rsidRPr="00B74E01" w:rsidRDefault="00A3112D" w:rsidP="00B745F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Cenário superior regional — R$ 140/t</w:t>
            </w:r>
          </w:p>
        </w:tc>
      </w:tr>
      <w:tr w:rsidR="00A3112D" w:rsidRPr="00B74E01" w14:paraId="6064C18C" w14:textId="77777777" w:rsidTr="0005008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4FBB1F5D"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 principal bruta mensal</w:t>
            </w:r>
          </w:p>
        </w:tc>
        <w:tc>
          <w:tcPr>
            <w:tcW w:w="0" w:type="auto"/>
            <w:tcBorders>
              <w:top w:val="single" w:sz="4" w:space="0" w:color="auto"/>
              <w:left w:val="single" w:sz="4" w:space="0" w:color="auto"/>
              <w:bottom w:val="single" w:sz="4" w:space="0" w:color="auto"/>
              <w:right w:val="single" w:sz="4" w:space="0" w:color="auto"/>
            </w:tcBorders>
            <w:vAlign w:val="center"/>
            <w:hideMark/>
          </w:tcPr>
          <w:p w14:paraId="58AF0EA5"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R$ 700.077,09</w:t>
            </w:r>
          </w:p>
        </w:tc>
        <w:tc>
          <w:tcPr>
            <w:tcW w:w="0" w:type="auto"/>
            <w:tcBorders>
              <w:top w:val="single" w:sz="4" w:space="0" w:color="auto"/>
              <w:left w:val="single" w:sz="4" w:space="0" w:color="auto"/>
              <w:bottom w:val="single" w:sz="4" w:space="0" w:color="auto"/>
              <w:right w:val="single" w:sz="4" w:space="0" w:color="auto"/>
            </w:tcBorders>
            <w:vAlign w:val="center"/>
            <w:hideMark/>
          </w:tcPr>
          <w:p w14:paraId="4ED1C44E"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R$ 809.577,09</w:t>
            </w:r>
          </w:p>
        </w:tc>
      </w:tr>
      <w:tr w:rsidR="00A3112D" w:rsidRPr="00B74E01" w14:paraId="197D880B" w14:textId="77777777" w:rsidTr="0005008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1461F034"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 operacional líquida principal</w:t>
            </w:r>
          </w:p>
        </w:tc>
        <w:tc>
          <w:tcPr>
            <w:tcW w:w="0" w:type="auto"/>
            <w:tcBorders>
              <w:top w:val="single" w:sz="4" w:space="0" w:color="auto"/>
              <w:left w:val="single" w:sz="4" w:space="0" w:color="auto"/>
              <w:bottom w:val="single" w:sz="4" w:space="0" w:color="auto"/>
              <w:right w:val="single" w:sz="4" w:space="0" w:color="auto"/>
            </w:tcBorders>
            <w:vAlign w:val="center"/>
            <w:hideMark/>
          </w:tcPr>
          <w:p w14:paraId="0C48B44A"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R$ 633.102,77</w:t>
            </w:r>
          </w:p>
        </w:tc>
        <w:tc>
          <w:tcPr>
            <w:tcW w:w="0" w:type="auto"/>
            <w:tcBorders>
              <w:top w:val="single" w:sz="4" w:space="0" w:color="auto"/>
              <w:left w:val="single" w:sz="4" w:space="0" w:color="auto"/>
              <w:bottom w:val="single" w:sz="4" w:space="0" w:color="auto"/>
              <w:right w:val="single" w:sz="4" w:space="0" w:color="auto"/>
            </w:tcBorders>
            <w:vAlign w:val="center"/>
            <w:hideMark/>
          </w:tcPr>
          <w:p w14:paraId="5C39339A"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R$ 730.284,02</w:t>
            </w:r>
          </w:p>
        </w:tc>
      </w:tr>
      <w:tr w:rsidR="00A3112D" w:rsidRPr="00B74E01" w14:paraId="66DB7B5E" w14:textId="77777777" w:rsidTr="0005008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7FD8D373"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OPEX revisado</w:t>
            </w:r>
          </w:p>
        </w:tc>
        <w:tc>
          <w:tcPr>
            <w:tcW w:w="0" w:type="auto"/>
            <w:tcBorders>
              <w:top w:val="single" w:sz="4" w:space="0" w:color="auto"/>
              <w:left w:val="single" w:sz="4" w:space="0" w:color="auto"/>
              <w:bottom w:val="single" w:sz="4" w:space="0" w:color="auto"/>
              <w:right w:val="single" w:sz="4" w:space="0" w:color="auto"/>
            </w:tcBorders>
            <w:vAlign w:val="center"/>
            <w:hideMark/>
          </w:tcPr>
          <w:p w14:paraId="3C34F197"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-R$ 318.496,07</w:t>
            </w:r>
          </w:p>
        </w:tc>
        <w:tc>
          <w:tcPr>
            <w:tcW w:w="0" w:type="auto"/>
            <w:tcBorders>
              <w:top w:val="single" w:sz="4" w:space="0" w:color="auto"/>
              <w:left w:val="single" w:sz="4" w:space="0" w:color="auto"/>
              <w:bottom w:val="single" w:sz="4" w:space="0" w:color="auto"/>
              <w:right w:val="single" w:sz="4" w:space="0" w:color="auto"/>
            </w:tcBorders>
            <w:vAlign w:val="center"/>
            <w:hideMark/>
          </w:tcPr>
          <w:p w14:paraId="56250FC9"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-R$ 318.496,07</w:t>
            </w:r>
          </w:p>
        </w:tc>
      </w:tr>
      <w:tr w:rsidR="00A3112D" w:rsidRPr="00B74E01" w14:paraId="476B06B0" w14:textId="77777777" w:rsidTr="0005008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0D18ADD4"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EBITDA sem receitas acessórias</w:t>
            </w:r>
          </w:p>
        </w:tc>
        <w:tc>
          <w:tcPr>
            <w:tcW w:w="0" w:type="auto"/>
            <w:tcBorders>
              <w:top w:val="single" w:sz="4" w:space="0" w:color="auto"/>
              <w:left w:val="single" w:sz="4" w:space="0" w:color="auto"/>
              <w:bottom w:val="single" w:sz="4" w:space="0" w:color="auto"/>
              <w:right w:val="single" w:sz="4" w:space="0" w:color="auto"/>
            </w:tcBorders>
            <w:vAlign w:val="center"/>
            <w:hideMark/>
          </w:tcPr>
          <w:p w14:paraId="06D147FB"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R$ 314.606,70</w:t>
            </w:r>
          </w:p>
        </w:tc>
        <w:tc>
          <w:tcPr>
            <w:tcW w:w="0" w:type="auto"/>
            <w:tcBorders>
              <w:top w:val="single" w:sz="4" w:space="0" w:color="auto"/>
              <w:left w:val="single" w:sz="4" w:space="0" w:color="auto"/>
              <w:bottom w:val="single" w:sz="4" w:space="0" w:color="auto"/>
              <w:right w:val="single" w:sz="4" w:space="0" w:color="auto"/>
            </w:tcBorders>
            <w:vAlign w:val="center"/>
            <w:hideMark/>
          </w:tcPr>
          <w:p w14:paraId="25C310DF"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R$ 411.787,95</w:t>
            </w:r>
          </w:p>
        </w:tc>
      </w:tr>
      <w:tr w:rsidR="00A3112D" w:rsidRPr="00B74E01" w14:paraId="17A509F0" w14:textId="77777777" w:rsidTr="0005008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6FEC794F"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Serviço da dívida após carência</w:t>
            </w:r>
          </w:p>
        </w:tc>
        <w:tc>
          <w:tcPr>
            <w:tcW w:w="0" w:type="auto"/>
            <w:tcBorders>
              <w:top w:val="single" w:sz="4" w:space="0" w:color="auto"/>
              <w:left w:val="single" w:sz="4" w:space="0" w:color="auto"/>
              <w:bottom w:val="single" w:sz="4" w:space="0" w:color="auto"/>
              <w:right w:val="single" w:sz="4" w:space="0" w:color="auto"/>
            </w:tcBorders>
            <w:vAlign w:val="center"/>
            <w:hideMark/>
          </w:tcPr>
          <w:p w14:paraId="5DF6B0B3"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R$ 280.892,95</w:t>
            </w:r>
          </w:p>
        </w:tc>
        <w:tc>
          <w:tcPr>
            <w:tcW w:w="0" w:type="auto"/>
            <w:tcBorders>
              <w:top w:val="single" w:sz="4" w:space="0" w:color="auto"/>
              <w:left w:val="single" w:sz="4" w:space="0" w:color="auto"/>
              <w:bottom w:val="single" w:sz="4" w:space="0" w:color="auto"/>
              <w:right w:val="single" w:sz="4" w:space="0" w:color="auto"/>
            </w:tcBorders>
            <w:vAlign w:val="center"/>
            <w:hideMark/>
          </w:tcPr>
          <w:p w14:paraId="5BE5BD89"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R$ 280.892,95</w:t>
            </w:r>
          </w:p>
        </w:tc>
      </w:tr>
      <w:tr w:rsidR="00A3112D" w:rsidRPr="00B74E01" w14:paraId="5B2F29BC" w14:textId="77777777" w:rsidTr="0005008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317AF582"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Sobra mensal após dívida</w:t>
            </w:r>
          </w:p>
        </w:tc>
        <w:tc>
          <w:tcPr>
            <w:tcW w:w="0" w:type="auto"/>
            <w:tcBorders>
              <w:top w:val="single" w:sz="4" w:space="0" w:color="auto"/>
              <w:left w:val="single" w:sz="4" w:space="0" w:color="auto"/>
              <w:bottom w:val="single" w:sz="4" w:space="0" w:color="auto"/>
              <w:right w:val="single" w:sz="4" w:space="0" w:color="auto"/>
            </w:tcBorders>
            <w:vAlign w:val="center"/>
            <w:hideMark/>
          </w:tcPr>
          <w:p w14:paraId="55295457"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R$ 33.713,75</w:t>
            </w:r>
          </w:p>
        </w:tc>
        <w:tc>
          <w:tcPr>
            <w:tcW w:w="0" w:type="auto"/>
            <w:tcBorders>
              <w:top w:val="single" w:sz="4" w:space="0" w:color="auto"/>
              <w:left w:val="single" w:sz="4" w:space="0" w:color="auto"/>
              <w:bottom w:val="single" w:sz="4" w:space="0" w:color="auto"/>
              <w:right w:val="single" w:sz="4" w:space="0" w:color="auto"/>
            </w:tcBorders>
            <w:vAlign w:val="center"/>
            <w:hideMark/>
          </w:tcPr>
          <w:p w14:paraId="2D957ED3"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R$ 130.895,00</w:t>
            </w:r>
          </w:p>
        </w:tc>
      </w:tr>
      <w:tr w:rsidR="00A3112D" w:rsidRPr="00B74E01" w14:paraId="46C1FC5A" w14:textId="77777777" w:rsidTr="0005008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3B60FD45"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DSCR após carência</w:t>
            </w:r>
          </w:p>
        </w:tc>
        <w:tc>
          <w:tcPr>
            <w:tcW w:w="0" w:type="auto"/>
            <w:tcBorders>
              <w:top w:val="single" w:sz="4" w:space="0" w:color="auto"/>
              <w:left w:val="single" w:sz="4" w:space="0" w:color="auto"/>
              <w:bottom w:val="single" w:sz="4" w:space="0" w:color="auto"/>
              <w:right w:val="single" w:sz="4" w:space="0" w:color="auto"/>
            </w:tcBorders>
            <w:vAlign w:val="center"/>
            <w:hideMark/>
          </w:tcPr>
          <w:p w14:paraId="12E11018"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1,12x</w:t>
            </w:r>
          </w:p>
        </w:tc>
        <w:tc>
          <w:tcPr>
            <w:tcW w:w="0" w:type="auto"/>
            <w:tcBorders>
              <w:top w:val="single" w:sz="4" w:space="0" w:color="auto"/>
              <w:left w:val="single" w:sz="4" w:space="0" w:color="auto"/>
              <w:bottom w:val="single" w:sz="4" w:space="0" w:color="auto"/>
              <w:right w:val="single" w:sz="4" w:space="0" w:color="auto"/>
            </w:tcBorders>
            <w:vAlign w:val="center"/>
            <w:hideMark/>
          </w:tcPr>
          <w:p w14:paraId="5F331BE5"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1,47x</w:t>
            </w:r>
          </w:p>
        </w:tc>
      </w:tr>
    </w:tbl>
    <w:p w14:paraId="1AFAF292"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 tarifa de </w:t>
      </w:r>
      <w:r w:rsidRPr="00B74E01">
        <w:rPr>
          <w:rFonts w:eastAsia="Times New Roman" w:cs="Arial"/>
          <w:b/>
          <w:bCs/>
          <w:kern w:val="0"/>
          <w:lang w:eastAsia="pt-BR"/>
          <w14:ligatures w14:val="none"/>
        </w:rPr>
        <w:t>R$ 140/t</w:t>
      </w:r>
      <w:r w:rsidRPr="00B74E01">
        <w:rPr>
          <w:rFonts w:eastAsia="Times New Roman" w:cs="Arial"/>
          <w:kern w:val="0"/>
          <w:lang w:eastAsia="pt-BR"/>
          <w14:ligatures w14:val="none"/>
        </w:rPr>
        <w:t xml:space="preserve"> melhora substancialmente o resultado operacional da SPE, elevando o DSCR sem receitas acessórias de </w:t>
      </w:r>
      <w:r w:rsidRPr="00B74E01">
        <w:rPr>
          <w:rFonts w:eastAsia="Times New Roman" w:cs="Arial"/>
          <w:b/>
          <w:bCs/>
          <w:kern w:val="0"/>
          <w:lang w:eastAsia="pt-BR"/>
          <w14:ligatures w14:val="none"/>
        </w:rPr>
        <w:t>1,12x</w:t>
      </w:r>
      <w:r w:rsidRPr="00B74E01">
        <w:rPr>
          <w:rFonts w:eastAsia="Times New Roman" w:cs="Arial"/>
          <w:kern w:val="0"/>
          <w:lang w:eastAsia="pt-BR"/>
          <w14:ligatures w14:val="none"/>
        </w:rPr>
        <w:t xml:space="preserve"> para </w:t>
      </w:r>
      <w:r w:rsidRPr="00B74E01">
        <w:rPr>
          <w:rFonts w:eastAsia="Times New Roman" w:cs="Arial"/>
          <w:b/>
          <w:bCs/>
          <w:kern w:val="0"/>
          <w:lang w:eastAsia="pt-BR"/>
          <w14:ligatures w14:val="none"/>
        </w:rPr>
        <w:t>1,47x</w:t>
      </w:r>
      <w:r w:rsidRPr="00B74E01">
        <w:rPr>
          <w:rFonts w:eastAsia="Times New Roman" w:cs="Arial"/>
          <w:kern w:val="0"/>
          <w:lang w:eastAsia="pt-BR"/>
          <w14:ligatures w14:val="none"/>
        </w:rPr>
        <w:t>.</w:t>
      </w:r>
    </w:p>
    <w:p w14:paraId="283897C4"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Esse cenário é útil como referência regional e análise de sensibilidade, especialmente porque valores próximos a </w:t>
      </w:r>
      <w:r w:rsidRPr="00B74E01">
        <w:rPr>
          <w:rFonts w:eastAsia="Times New Roman" w:cs="Arial"/>
          <w:b/>
          <w:bCs/>
          <w:kern w:val="0"/>
          <w:lang w:eastAsia="pt-BR"/>
          <w14:ligatures w14:val="none"/>
        </w:rPr>
        <w:t>R$ 140/t</w:t>
      </w:r>
      <w:r w:rsidRPr="00B74E01">
        <w:rPr>
          <w:rFonts w:eastAsia="Times New Roman" w:cs="Arial"/>
          <w:kern w:val="0"/>
          <w:lang w:eastAsia="pt-BR"/>
          <w14:ligatures w14:val="none"/>
        </w:rPr>
        <w:t xml:space="preserve"> podem ser encontrados em soluções convencionais de aterro sanitário que, em regra, não entregam os benefícios energéticos e econômicos integrados desta PPP.</w:t>
      </w:r>
    </w:p>
    <w:p w14:paraId="1E23140B" w14:textId="0848015E" w:rsidR="00A3112D" w:rsidRDefault="00A3112D" w:rsidP="00B745F4">
      <w:pPr>
        <w:spacing w:after="0" w:line="360" w:lineRule="auto"/>
        <w:jc w:val="both"/>
        <w:rPr>
          <w:rFonts w:eastAsia="Times New Roman" w:cs="Arial"/>
          <w:kern w:val="0"/>
          <w:lang w:eastAsia="pt-BR"/>
          <w14:ligatures w14:val="none"/>
        </w:rPr>
      </w:pPr>
    </w:p>
    <w:p w14:paraId="54AE28CC" w14:textId="77777777" w:rsidR="00B745F4" w:rsidRDefault="00B745F4" w:rsidP="00B745F4">
      <w:pPr>
        <w:spacing w:after="0" w:line="360" w:lineRule="auto"/>
        <w:jc w:val="both"/>
        <w:rPr>
          <w:rFonts w:eastAsia="Times New Roman" w:cs="Arial"/>
          <w:kern w:val="0"/>
          <w:lang w:eastAsia="pt-BR"/>
          <w14:ligatures w14:val="none"/>
        </w:rPr>
      </w:pPr>
    </w:p>
    <w:p w14:paraId="56B3A534" w14:textId="77777777" w:rsidR="00B745F4" w:rsidRDefault="00B745F4" w:rsidP="00B745F4">
      <w:pPr>
        <w:spacing w:after="0" w:line="360" w:lineRule="auto"/>
        <w:jc w:val="both"/>
        <w:rPr>
          <w:rFonts w:eastAsia="Times New Roman" w:cs="Arial"/>
          <w:kern w:val="0"/>
          <w:lang w:eastAsia="pt-BR"/>
          <w14:ligatures w14:val="none"/>
        </w:rPr>
      </w:pPr>
    </w:p>
    <w:p w14:paraId="527BE5FB" w14:textId="77777777" w:rsidR="00B745F4" w:rsidRPr="00B74E01" w:rsidRDefault="00B745F4" w:rsidP="00B745F4">
      <w:pPr>
        <w:spacing w:after="0" w:line="360" w:lineRule="auto"/>
        <w:jc w:val="both"/>
        <w:rPr>
          <w:rFonts w:eastAsia="Times New Roman" w:cs="Arial"/>
          <w:kern w:val="0"/>
          <w:lang w:eastAsia="pt-BR"/>
          <w14:ligatures w14:val="none"/>
        </w:rPr>
      </w:pPr>
    </w:p>
    <w:p w14:paraId="42C4BBAB" w14:textId="77777777" w:rsidR="00A3112D" w:rsidRPr="00B74E01" w:rsidRDefault="00A3112D" w:rsidP="00B745F4">
      <w:pPr>
        <w:pStyle w:val="Ttulo2"/>
        <w:rPr>
          <w:rFonts w:eastAsia="Times New Roman"/>
          <w:lang w:eastAsia="pt-BR"/>
        </w:rPr>
      </w:pPr>
      <w:bookmarkStart w:id="166" w:name="_Toc230204168"/>
      <w:r w:rsidRPr="00B74E01">
        <w:rPr>
          <w:rFonts w:eastAsia="Times New Roman"/>
          <w:lang w:eastAsia="pt-BR"/>
        </w:rPr>
        <w:lastRenderedPageBreak/>
        <w:t>13.7. Resultado com receitas acessórias nos dois cenários tarifários</w:t>
      </w:r>
      <w:bookmarkEnd w:id="166"/>
    </w:p>
    <w:p w14:paraId="10606884"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Mantidas as receitas acessórias no mesmo patamar, o resultado comparativo fica da seguinte forma:</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429"/>
        <w:gridCol w:w="2311"/>
        <w:gridCol w:w="3321"/>
      </w:tblGrid>
      <w:tr w:rsidR="00A3112D" w:rsidRPr="00B74E01" w14:paraId="4B3FED52" w14:textId="77777777" w:rsidTr="00050088">
        <w:trPr>
          <w:tblHeader/>
          <w:tblCellSpacing w:w="15" w:type="dxa"/>
        </w:trPr>
        <w:tc>
          <w:tcPr>
            <w:tcW w:w="0" w:type="auto"/>
            <w:vAlign w:val="center"/>
            <w:hideMark/>
          </w:tcPr>
          <w:p w14:paraId="5D9637D0" w14:textId="77777777" w:rsidR="00A3112D" w:rsidRPr="00B74E01" w:rsidRDefault="00A3112D" w:rsidP="00B745F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Item</w:t>
            </w:r>
          </w:p>
        </w:tc>
        <w:tc>
          <w:tcPr>
            <w:tcW w:w="0" w:type="auto"/>
            <w:vAlign w:val="center"/>
            <w:hideMark/>
          </w:tcPr>
          <w:p w14:paraId="66E818AD" w14:textId="77777777" w:rsidR="00A3112D" w:rsidRPr="00B74E01" w:rsidRDefault="00A3112D" w:rsidP="00B745F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Cenário-base — R$ 95/t</w:t>
            </w:r>
          </w:p>
        </w:tc>
        <w:tc>
          <w:tcPr>
            <w:tcW w:w="0" w:type="auto"/>
            <w:vAlign w:val="center"/>
            <w:hideMark/>
          </w:tcPr>
          <w:p w14:paraId="71079730" w14:textId="77777777" w:rsidR="00A3112D" w:rsidRPr="00B74E01" w:rsidRDefault="00A3112D" w:rsidP="00B745F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Cenário superior regional — R$ 140/t</w:t>
            </w:r>
          </w:p>
        </w:tc>
      </w:tr>
      <w:tr w:rsidR="00A3112D" w:rsidRPr="00B74E01" w14:paraId="4BE1448D" w14:textId="77777777" w:rsidTr="00050088">
        <w:trPr>
          <w:tblCellSpacing w:w="15" w:type="dxa"/>
        </w:trPr>
        <w:tc>
          <w:tcPr>
            <w:tcW w:w="0" w:type="auto"/>
            <w:vAlign w:val="center"/>
            <w:hideMark/>
          </w:tcPr>
          <w:p w14:paraId="6E803761"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EBITDA sem receitas acessórias</w:t>
            </w:r>
          </w:p>
        </w:tc>
        <w:tc>
          <w:tcPr>
            <w:tcW w:w="0" w:type="auto"/>
            <w:vAlign w:val="center"/>
            <w:hideMark/>
          </w:tcPr>
          <w:p w14:paraId="47D98736"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R$ 314.606,70</w:t>
            </w:r>
          </w:p>
        </w:tc>
        <w:tc>
          <w:tcPr>
            <w:tcW w:w="0" w:type="auto"/>
            <w:vAlign w:val="center"/>
            <w:hideMark/>
          </w:tcPr>
          <w:p w14:paraId="7F250FEF"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R$ 411.787,95</w:t>
            </w:r>
          </w:p>
        </w:tc>
      </w:tr>
      <w:tr w:rsidR="00A3112D" w:rsidRPr="00B74E01" w14:paraId="16FA2D67" w14:textId="77777777" w:rsidTr="00050088">
        <w:trPr>
          <w:tblCellSpacing w:w="15" w:type="dxa"/>
        </w:trPr>
        <w:tc>
          <w:tcPr>
            <w:tcW w:w="0" w:type="auto"/>
            <w:vAlign w:val="center"/>
            <w:hideMark/>
          </w:tcPr>
          <w:p w14:paraId="1C0FB176"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Acréscimo líquido das receitas acessórias</w:t>
            </w:r>
          </w:p>
        </w:tc>
        <w:tc>
          <w:tcPr>
            <w:tcW w:w="0" w:type="auto"/>
            <w:vAlign w:val="center"/>
            <w:hideMark/>
          </w:tcPr>
          <w:p w14:paraId="2117C659"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R$ 792.485,06</w:t>
            </w:r>
          </w:p>
        </w:tc>
        <w:tc>
          <w:tcPr>
            <w:tcW w:w="0" w:type="auto"/>
            <w:vAlign w:val="center"/>
            <w:hideMark/>
          </w:tcPr>
          <w:p w14:paraId="28210CF0"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R$ 792.485,06</w:t>
            </w:r>
          </w:p>
        </w:tc>
      </w:tr>
      <w:tr w:rsidR="00A3112D" w:rsidRPr="00B74E01" w14:paraId="78351754" w14:textId="77777777" w:rsidTr="00050088">
        <w:trPr>
          <w:tblCellSpacing w:w="15" w:type="dxa"/>
        </w:trPr>
        <w:tc>
          <w:tcPr>
            <w:tcW w:w="0" w:type="auto"/>
            <w:vAlign w:val="center"/>
            <w:hideMark/>
          </w:tcPr>
          <w:p w14:paraId="16AC9692"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EBITDA com receitas acessórias</w:t>
            </w:r>
          </w:p>
        </w:tc>
        <w:tc>
          <w:tcPr>
            <w:tcW w:w="0" w:type="auto"/>
            <w:vAlign w:val="center"/>
            <w:hideMark/>
          </w:tcPr>
          <w:p w14:paraId="761923D2"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R$ 1.107.091,76</w:t>
            </w:r>
          </w:p>
        </w:tc>
        <w:tc>
          <w:tcPr>
            <w:tcW w:w="0" w:type="auto"/>
            <w:vAlign w:val="center"/>
            <w:hideMark/>
          </w:tcPr>
          <w:p w14:paraId="3D8025C0"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R$ 1.204.273,01</w:t>
            </w:r>
          </w:p>
        </w:tc>
      </w:tr>
      <w:tr w:rsidR="00A3112D" w:rsidRPr="00B74E01" w14:paraId="783F5255" w14:textId="77777777" w:rsidTr="00050088">
        <w:trPr>
          <w:tblCellSpacing w:w="15" w:type="dxa"/>
        </w:trPr>
        <w:tc>
          <w:tcPr>
            <w:tcW w:w="0" w:type="auto"/>
            <w:vAlign w:val="center"/>
            <w:hideMark/>
          </w:tcPr>
          <w:p w14:paraId="27CCF6E4"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Serviço da dívida após carência</w:t>
            </w:r>
          </w:p>
        </w:tc>
        <w:tc>
          <w:tcPr>
            <w:tcW w:w="0" w:type="auto"/>
            <w:vAlign w:val="center"/>
            <w:hideMark/>
          </w:tcPr>
          <w:p w14:paraId="7D284897"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R$ 280.892,95</w:t>
            </w:r>
          </w:p>
        </w:tc>
        <w:tc>
          <w:tcPr>
            <w:tcW w:w="0" w:type="auto"/>
            <w:vAlign w:val="center"/>
            <w:hideMark/>
          </w:tcPr>
          <w:p w14:paraId="0D75B8CD"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R$ 280.892,95</w:t>
            </w:r>
          </w:p>
        </w:tc>
      </w:tr>
      <w:tr w:rsidR="00A3112D" w:rsidRPr="00B74E01" w14:paraId="555FE7B6" w14:textId="77777777" w:rsidTr="00050088">
        <w:trPr>
          <w:tblCellSpacing w:w="15" w:type="dxa"/>
        </w:trPr>
        <w:tc>
          <w:tcPr>
            <w:tcW w:w="0" w:type="auto"/>
            <w:vAlign w:val="center"/>
            <w:hideMark/>
          </w:tcPr>
          <w:p w14:paraId="30467A1F"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Sobra mensal após dívida</w:t>
            </w:r>
          </w:p>
        </w:tc>
        <w:tc>
          <w:tcPr>
            <w:tcW w:w="0" w:type="auto"/>
            <w:vAlign w:val="center"/>
            <w:hideMark/>
          </w:tcPr>
          <w:p w14:paraId="1AC7B8D4"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R$ 826.198,81</w:t>
            </w:r>
          </w:p>
        </w:tc>
        <w:tc>
          <w:tcPr>
            <w:tcW w:w="0" w:type="auto"/>
            <w:vAlign w:val="center"/>
            <w:hideMark/>
          </w:tcPr>
          <w:p w14:paraId="7B0A4E04"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R$ 923.380,06</w:t>
            </w:r>
          </w:p>
        </w:tc>
      </w:tr>
      <w:tr w:rsidR="00A3112D" w:rsidRPr="00B74E01" w14:paraId="3AC6B1F2" w14:textId="77777777" w:rsidTr="00050088">
        <w:trPr>
          <w:tblCellSpacing w:w="15" w:type="dxa"/>
        </w:trPr>
        <w:tc>
          <w:tcPr>
            <w:tcW w:w="0" w:type="auto"/>
            <w:vAlign w:val="center"/>
            <w:hideMark/>
          </w:tcPr>
          <w:p w14:paraId="5B491F7C"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DSCR após carência</w:t>
            </w:r>
          </w:p>
        </w:tc>
        <w:tc>
          <w:tcPr>
            <w:tcW w:w="0" w:type="auto"/>
            <w:vAlign w:val="center"/>
            <w:hideMark/>
          </w:tcPr>
          <w:p w14:paraId="1F49C73E"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3,94x</w:t>
            </w:r>
          </w:p>
        </w:tc>
        <w:tc>
          <w:tcPr>
            <w:tcW w:w="0" w:type="auto"/>
            <w:vAlign w:val="center"/>
            <w:hideMark/>
          </w:tcPr>
          <w:p w14:paraId="6C6D5E47"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4,29x</w:t>
            </w:r>
          </w:p>
        </w:tc>
      </w:tr>
    </w:tbl>
    <w:p w14:paraId="73A556F8"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Com receitas acessórias, os dois cenários tarifários apresentam forte robustez econômico-financeira. O cenário de </w:t>
      </w:r>
      <w:r w:rsidRPr="00B74E01">
        <w:rPr>
          <w:rFonts w:eastAsia="Times New Roman" w:cs="Arial"/>
          <w:b/>
          <w:bCs/>
          <w:kern w:val="0"/>
          <w:lang w:eastAsia="pt-BR"/>
          <w14:ligatures w14:val="none"/>
        </w:rPr>
        <w:t>R$ 140/t</w:t>
      </w:r>
      <w:r w:rsidRPr="00B74E01">
        <w:rPr>
          <w:rFonts w:eastAsia="Times New Roman" w:cs="Arial"/>
          <w:kern w:val="0"/>
          <w:lang w:eastAsia="pt-BR"/>
          <w14:ligatures w14:val="none"/>
        </w:rPr>
        <w:t xml:space="preserve"> amplia a margem de segurança, mas não deve eliminar a necessidade de prudência na modelagem.</w:t>
      </w:r>
    </w:p>
    <w:p w14:paraId="74E7A86C" w14:textId="77777777" w:rsidR="00A3112D" w:rsidRPr="00B74E01" w:rsidRDefault="00A3112D" w:rsidP="00B745F4">
      <w:pPr>
        <w:pStyle w:val="Ttulo2"/>
        <w:rPr>
          <w:rFonts w:eastAsia="Times New Roman"/>
          <w:lang w:eastAsia="pt-BR"/>
        </w:rPr>
      </w:pPr>
      <w:bookmarkStart w:id="167" w:name="_Toc230204169"/>
      <w:r w:rsidRPr="00B74E01">
        <w:rPr>
          <w:rFonts w:eastAsia="Times New Roman"/>
          <w:lang w:eastAsia="pt-BR"/>
        </w:rPr>
        <w:t>13.8. Sensibilidade das receitas acessórias no resultado</w:t>
      </w:r>
      <w:bookmarkEnd w:id="167"/>
    </w:p>
    <w:p w14:paraId="76352394"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Para evitar que o caderno pareça excessivamente otimista, a análise de resultado deve testar diferentes níveis de realização das receitas acessórias.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428"/>
        <w:gridCol w:w="1634"/>
        <w:gridCol w:w="2246"/>
        <w:gridCol w:w="1977"/>
        <w:gridCol w:w="776"/>
      </w:tblGrid>
      <w:tr w:rsidR="00A3112D" w:rsidRPr="00B74E01" w14:paraId="337F36A3" w14:textId="77777777" w:rsidTr="00050088">
        <w:trPr>
          <w:tblHeade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6FA2D7C7" w14:textId="77777777" w:rsidR="00A3112D" w:rsidRPr="00B74E01" w:rsidRDefault="00A3112D" w:rsidP="00B745F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Realização das receitas acessórias</w:t>
            </w:r>
          </w:p>
        </w:tc>
        <w:tc>
          <w:tcPr>
            <w:tcW w:w="0" w:type="auto"/>
            <w:tcBorders>
              <w:top w:val="single" w:sz="4" w:space="0" w:color="auto"/>
              <w:left w:val="single" w:sz="4" w:space="0" w:color="auto"/>
              <w:bottom w:val="single" w:sz="4" w:space="0" w:color="auto"/>
              <w:right w:val="single" w:sz="4" w:space="0" w:color="auto"/>
            </w:tcBorders>
            <w:vAlign w:val="center"/>
            <w:hideMark/>
          </w:tcPr>
          <w:p w14:paraId="553CE69A" w14:textId="77777777" w:rsidR="00A3112D" w:rsidRPr="00B74E01" w:rsidRDefault="00A3112D" w:rsidP="00B745F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EBITDA mensal</w:t>
            </w:r>
          </w:p>
        </w:tc>
        <w:tc>
          <w:tcPr>
            <w:tcW w:w="0" w:type="auto"/>
            <w:tcBorders>
              <w:top w:val="single" w:sz="4" w:space="0" w:color="auto"/>
              <w:left w:val="single" w:sz="4" w:space="0" w:color="auto"/>
              <w:bottom w:val="single" w:sz="4" w:space="0" w:color="auto"/>
              <w:right w:val="single" w:sz="4" w:space="0" w:color="auto"/>
            </w:tcBorders>
            <w:vAlign w:val="center"/>
            <w:hideMark/>
          </w:tcPr>
          <w:p w14:paraId="1C677EC9" w14:textId="77777777" w:rsidR="00A3112D" w:rsidRPr="00B74E01" w:rsidRDefault="00A3112D" w:rsidP="00B745F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Serviço da dívida após carência</w:t>
            </w:r>
          </w:p>
        </w:tc>
        <w:tc>
          <w:tcPr>
            <w:tcW w:w="0" w:type="auto"/>
            <w:tcBorders>
              <w:top w:val="single" w:sz="4" w:space="0" w:color="auto"/>
              <w:left w:val="single" w:sz="4" w:space="0" w:color="auto"/>
              <w:bottom w:val="single" w:sz="4" w:space="0" w:color="auto"/>
              <w:right w:val="single" w:sz="4" w:space="0" w:color="auto"/>
            </w:tcBorders>
            <w:vAlign w:val="center"/>
            <w:hideMark/>
          </w:tcPr>
          <w:p w14:paraId="49779A85" w14:textId="77777777" w:rsidR="00A3112D" w:rsidRPr="00B74E01" w:rsidRDefault="00A3112D" w:rsidP="00B745F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Sobra mensal após dívida</w:t>
            </w:r>
          </w:p>
        </w:tc>
        <w:tc>
          <w:tcPr>
            <w:tcW w:w="0" w:type="auto"/>
            <w:tcBorders>
              <w:top w:val="single" w:sz="4" w:space="0" w:color="auto"/>
              <w:left w:val="single" w:sz="4" w:space="0" w:color="auto"/>
              <w:bottom w:val="single" w:sz="4" w:space="0" w:color="auto"/>
              <w:right w:val="single" w:sz="4" w:space="0" w:color="auto"/>
            </w:tcBorders>
            <w:vAlign w:val="center"/>
            <w:hideMark/>
          </w:tcPr>
          <w:p w14:paraId="0C6FAE52" w14:textId="77777777" w:rsidR="00A3112D" w:rsidRPr="00B74E01" w:rsidRDefault="00A3112D" w:rsidP="00B745F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DSCR</w:t>
            </w:r>
          </w:p>
        </w:tc>
      </w:tr>
      <w:tr w:rsidR="00A3112D" w:rsidRPr="00B74E01" w14:paraId="01E010EA" w14:textId="77777777" w:rsidTr="0005008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325FE38E"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0%</w:t>
            </w:r>
          </w:p>
        </w:tc>
        <w:tc>
          <w:tcPr>
            <w:tcW w:w="0" w:type="auto"/>
            <w:tcBorders>
              <w:top w:val="single" w:sz="4" w:space="0" w:color="auto"/>
              <w:left w:val="single" w:sz="4" w:space="0" w:color="auto"/>
              <w:bottom w:val="single" w:sz="4" w:space="0" w:color="auto"/>
              <w:right w:val="single" w:sz="4" w:space="0" w:color="auto"/>
            </w:tcBorders>
            <w:vAlign w:val="center"/>
            <w:hideMark/>
          </w:tcPr>
          <w:p w14:paraId="23A99E59"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R$ 314.606,70</w:t>
            </w:r>
          </w:p>
        </w:tc>
        <w:tc>
          <w:tcPr>
            <w:tcW w:w="0" w:type="auto"/>
            <w:tcBorders>
              <w:top w:val="single" w:sz="4" w:space="0" w:color="auto"/>
              <w:left w:val="single" w:sz="4" w:space="0" w:color="auto"/>
              <w:bottom w:val="single" w:sz="4" w:space="0" w:color="auto"/>
              <w:right w:val="single" w:sz="4" w:space="0" w:color="auto"/>
            </w:tcBorders>
            <w:vAlign w:val="center"/>
            <w:hideMark/>
          </w:tcPr>
          <w:p w14:paraId="3D2C750E"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R$ 280.892,95</w:t>
            </w:r>
          </w:p>
        </w:tc>
        <w:tc>
          <w:tcPr>
            <w:tcW w:w="0" w:type="auto"/>
            <w:tcBorders>
              <w:top w:val="single" w:sz="4" w:space="0" w:color="auto"/>
              <w:left w:val="single" w:sz="4" w:space="0" w:color="auto"/>
              <w:bottom w:val="single" w:sz="4" w:space="0" w:color="auto"/>
              <w:right w:val="single" w:sz="4" w:space="0" w:color="auto"/>
            </w:tcBorders>
            <w:vAlign w:val="center"/>
            <w:hideMark/>
          </w:tcPr>
          <w:p w14:paraId="6D9360D1"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R$ 33.713,75</w:t>
            </w:r>
          </w:p>
        </w:tc>
        <w:tc>
          <w:tcPr>
            <w:tcW w:w="0" w:type="auto"/>
            <w:tcBorders>
              <w:top w:val="single" w:sz="4" w:space="0" w:color="auto"/>
              <w:left w:val="single" w:sz="4" w:space="0" w:color="auto"/>
              <w:bottom w:val="single" w:sz="4" w:space="0" w:color="auto"/>
              <w:right w:val="single" w:sz="4" w:space="0" w:color="auto"/>
            </w:tcBorders>
            <w:vAlign w:val="center"/>
            <w:hideMark/>
          </w:tcPr>
          <w:p w14:paraId="49F61DBF"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1,12x</w:t>
            </w:r>
          </w:p>
        </w:tc>
      </w:tr>
      <w:tr w:rsidR="00A3112D" w:rsidRPr="00B74E01" w14:paraId="734D7A70" w14:textId="77777777" w:rsidTr="0005008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0BF5A366"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lastRenderedPageBreak/>
              <w:t>50%</w:t>
            </w:r>
          </w:p>
        </w:tc>
        <w:tc>
          <w:tcPr>
            <w:tcW w:w="0" w:type="auto"/>
            <w:tcBorders>
              <w:top w:val="single" w:sz="4" w:space="0" w:color="auto"/>
              <w:left w:val="single" w:sz="4" w:space="0" w:color="auto"/>
              <w:bottom w:val="single" w:sz="4" w:space="0" w:color="auto"/>
              <w:right w:val="single" w:sz="4" w:space="0" w:color="auto"/>
            </w:tcBorders>
            <w:vAlign w:val="center"/>
            <w:hideMark/>
          </w:tcPr>
          <w:p w14:paraId="698A30FC"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R$ 710.849,23</w:t>
            </w:r>
          </w:p>
        </w:tc>
        <w:tc>
          <w:tcPr>
            <w:tcW w:w="0" w:type="auto"/>
            <w:tcBorders>
              <w:top w:val="single" w:sz="4" w:space="0" w:color="auto"/>
              <w:left w:val="single" w:sz="4" w:space="0" w:color="auto"/>
              <w:bottom w:val="single" w:sz="4" w:space="0" w:color="auto"/>
              <w:right w:val="single" w:sz="4" w:space="0" w:color="auto"/>
            </w:tcBorders>
            <w:vAlign w:val="center"/>
            <w:hideMark/>
          </w:tcPr>
          <w:p w14:paraId="75861577"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R$ 280.892,95</w:t>
            </w:r>
          </w:p>
        </w:tc>
        <w:tc>
          <w:tcPr>
            <w:tcW w:w="0" w:type="auto"/>
            <w:tcBorders>
              <w:top w:val="single" w:sz="4" w:space="0" w:color="auto"/>
              <w:left w:val="single" w:sz="4" w:space="0" w:color="auto"/>
              <w:bottom w:val="single" w:sz="4" w:space="0" w:color="auto"/>
              <w:right w:val="single" w:sz="4" w:space="0" w:color="auto"/>
            </w:tcBorders>
            <w:vAlign w:val="center"/>
            <w:hideMark/>
          </w:tcPr>
          <w:p w14:paraId="33F276A9"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R$ 429.956,28</w:t>
            </w:r>
          </w:p>
        </w:tc>
        <w:tc>
          <w:tcPr>
            <w:tcW w:w="0" w:type="auto"/>
            <w:tcBorders>
              <w:top w:val="single" w:sz="4" w:space="0" w:color="auto"/>
              <w:left w:val="single" w:sz="4" w:space="0" w:color="auto"/>
              <w:bottom w:val="single" w:sz="4" w:space="0" w:color="auto"/>
              <w:right w:val="single" w:sz="4" w:space="0" w:color="auto"/>
            </w:tcBorders>
            <w:vAlign w:val="center"/>
            <w:hideMark/>
          </w:tcPr>
          <w:p w14:paraId="77BEF1C1"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2,53x</w:t>
            </w:r>
          </w:p>
        </w:tc>
      </w:tr>
      <w:tr w:rsidR="00A3112D" w:rsidRPr="00B74E01" w14:paraId="45016099" w14:textId="77777777" w:rsidTr="0005008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7E5F084E"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75%</w:t>
            </w:r>
          </w:p>
        </w:tc>
        <w:tc>
          <w:tcPr>
            <w:tcW w:w="0" w:type="auto"/>
            <w:tcBorders>
              <w:top w:val="single" w:sz="4" w:space="0" w:color="auto"/>
              <w:left w:val="single" w:sz="4" w:space="0" w:color="auto"/>
              <w:bottom w:val="single" w:sz="4" w:space="0" w:color="auto"/>
              <w:right w:val="single" w:sz="4" w:space="0" w:color="auto"/>
            </w:tcBorders>
            <w:vAlign w:val="center"/>
            <w:hideMark/>
          </w:tcPr>
          <w:p w14:paraId="1ECE8EA6"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R$ 908.970,49</w:t>
            </w:r>
          </w:p>
        </w:tc>
        <w:tc>
          <w:tcPr>
            <w:tcW w:w="0" w:type="auto"/>
            <w:tcBorders>
              <w:top w:val="single" w:sz="4" w:space="0" w:color="auto"/>
              <w:left w:val="single" w:sz="4" w:space="0" w:color="auto"/>
              <w:bottom w:val="single" w:sz="4" w:space="0" w:color="auto"/>
              <w:right w:val="single" w:sz="4" w:space="0" w:color="auto"/>
            </w:tcBorders>
            <w:vAlign w:val="center"/>
            <w:hideMark/>
          </w:tcPr>
          <w:p w14:paraId="754348F3"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R$ 280.892,95</w:t>
            </w:r>
          </w:p>
        </w:tc>
        <w:tc>
          <w:tcPr>
            <w:tcW w:w="0" w:type="auto"/>
            <w:tcBorders>
              <w:top w:val="single" w:sz="4" w:space="0" w:color="auto"/>
              <w:left w:val="single" w:sz="4" w:space="0" w:color="auto"/>
              <w:bottom w:val="single" w:sz="4" w:space="0" w:color="auto"/>
              <w:right w:val="single" w:sz="4" w:space="0" w:color="auto"/>
            </w:tcBorders>
            <w:vAlign w:val="center"/>
            <w:hideMark/>
          </w:tcPr>
          <w:p w14:paraId="31527988"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R$ 628.077,54</w:t>
            </w:r>
          </w:p>
        </w:tc>
        <w:tc>
          <w:tcPr>
            <w:tcW w:w="0" w:type="auto"/>
            <w:tcBorders>
              <w:top w:val="single" w:sz="4" w:space="0" w:color="auto"/>
              <w:left w:val="single" w:sz="4" w:space="0" w:color="auto"/>
              <w:bottom w:val="single" w:sz="4" w:space="0" w:color="auto"/>
              <w:right w:val="single" w:sz="4" w:space="0" w:color="auto"/>
            </w:tcBorders>
            <w:vAlign w:val="center"/>
            <w:hideMark/>
          </w:tcPr>
          <w:p w14:paraId="440D1592"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3,24x</w:t>
            </w:r>
          </w:p>
        </w:tc>
      </w:tr>
      <w:tr w:rsidR="00A3112D" w:rsidRPr="00B74E01" w14:paraId="559C1AF3" w14:textId="77777777" w:rsidTr="0005008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60E3B043"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100%</w:t>
            </w:r>
          </w:p>
        </w:tc>
        <w:tc>
          <w:tcPr>
            <w:tcW w:w="0" w:type="auto"/>
            <w:tcBorders>
              <w:top w:val="single" w:sz="4" w:space="0" w:color="auto"/>
              <w:left w:val="single" w:sz="4" w:space="0" w:color="auto"/>
              <w:bottom w:val="single" w:sz="4" w:space="0" w:color="auto"/>
              <w:right w:val="single" w:sz="4" w:space="0" w:color="auto"/>
            </w:tcBorders>
            <w:vAlign w:val="center"/>
            <w:hideMark/>
          </w:tcPr>
          <w:p w14:paraId="19EDDCA6"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R$ 1.107.091,76</w:t>
            </w:r>
          </w:p>
        </w:tc>
        <w:tc>
          <w:tcPr>
            <w:tcW w:w="0" w:type="auto"/>
            <w:tcBorders>
              <w:top w:val="single" w:sz="4" w:space="0" w:color="auto"/>
              <w:left w:val="single" w:sz="4" w:space="0" w:color="auto"/>
              <w:bottom w:val="single" w:sz="4" w:space="0" w:color="auto"/>
              <w:right w:val="single" w:sz="4" w:space="0" w:color="auto"/>
            </w:tcBorders>
            <w:vAlign w:val="center"/>
            <w:hideMark/>
          </w:tcPr>
          <w:p w14:paraId="55368BC5"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R$ 280.892,95</w:t>
            </w:r>
          </w:p>
        </w:tc>
        <w:tc>
          <w:tcPr>
            <w:tcW w:w="0" w:type="auto"/>
            <w:tcBorders>
              <w:top w:val="single" w:sz="4" w:space="0" w:color="auto"/>
              <w:left w:val="single" w:sz="4" w:space="0" w:color="auto"/>
              <w:bottom w:val="single" w:sz="4" w:space="0" w:color="auto"/>
              <w:right w:val="single" w:sz="4" w:space="0" w:color="auto"/>
            </w:tcBorders>
            <w:vAlign w:val="center"/>
            <w:hideMark/>
          </w:tcPr>
          <w:p w14:paraId="289CD8A3"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R$ 826.198,81</w:t>
            </w:r>
          </w:p>
        </w:tc>
        <w:tc>
          <w:tcPr>
            <w:tcW w:w="0" w:type="auto"/>
            <w:tcBorders>
              <w:top w:val="single" w:sz="4" w:space="0" w:color="auto"/>
              <w:left w:val="single" w:sz="4" w:space="0" w:color="auto"/>
              <w:bottom w:val="single" w:sz="4" w:space="0" w:color="auto"/>
              <w:right w:val="single" w:sz="4" w:space="0" w:color="auto"/>
            </w:tcBorders>
            <w:vAlign w:val="center"/>
            <w:hideMark/>
          </w:tcPr>
          <w:p w14:paraId="242FB76A"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3,94x</w:t>
            </w:r>
          </w:p>
        </w:tc>
      </w:tr>
    </w:tbl>
    <w:p w14:paraId="60C2B404"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Essa sensibilidade mostra que a PPP permanece positiva mesmo sem receitas acessórias, mas ganha robustez progressiva conforme essas receitas se realizam.</w:t>
      </w:r>
    </w:p>
    <w:p w14:paraId="2880F231"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apresentação dessa tabela é estratégica. Ela reduz o risco de crítica por otimismo excessivo, porque não depende de um único cenário ideal.</w:t>
      </w:r>
    </w:p>
    <w:p w14:paraId="7EA37481" w14:textId="77777777" w:rsidR="00A3112D" w:rsidRPr="00B74E01" w:rsidRDefault="00A3112D" w:rsidP="00B745F4">
      <w:pPr>
        <w:pStyle w:val="Ttulo2"/>
        <w:rPr>
          <w:rFonts w:eastAsia="Times New Roman"/>
          <w:lang w:eastAsia="pt-BR"/>
        </w:rPr>
      </w:pPr>
      <w:bookmarkStart w:id="168" w:name="_Toc230204170"/>
      <w:r w:rsidRPr="00B74E01">
        <w:rPr>
          <w:rFonts w:eastAsia="Times New Roman"/>
          <w:lang w:eastAsia="pt-BR"/>
        </w:rPr>
        <w:t>13.9. Margem operacional</w:t>
      </w:r>
      <w:bookmarkEnd w:id="168"/>
    </w:p>
    <w:p w14:paraId="5FB980DB"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margem EBITDA permite avaliar quanto da receita operacional líquida se transforma em resultado operacional antes da dívida.</w:t>
      </w:r>
    </w:p>
    <w:p w14:paraId="6A914578"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No cenário mínimo:</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951"/>
        <w:gridCol w:w="1670"/>
      </w:tblGrid>
      <w:tr w:rsidR="00A3112D" w:rsidRPr="00B74E01" w14:paraId="5DB9CB27" w14:textId="77777777" w:rsidTr="00050088">
        <w:trPr>
          <w:tblHeader/>
          <w:tblCellSpacing w:w="15" w:type="dxa"/>
        </w:trPr>
        <w:tc>
          <w:tcPr>
            <w:tcW w:w="0" w:type="auto"/>
            <w:vAlign w:val="center"/>
            <w:hideMark/>
          </w:tcPr>
          <w:p w14:paraId="62230CB8" w14:textId="77777777" w:rsidR="00A3112D" w:rsidRPr="00B74E01" w:rsidRDefault="00A3112D" w:rsidP="00B745F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Item</w:t>
            </w:r>
          </w:p>
        </w:tc>
        <w:tc>
          <w:tcPr>
            <w:tcW w:w="0" w:type="auto"/>
            <w:vAlign w:val="center"/>
            <w:hideMark/>
          </w:tcPr>
          <w:p w14:paraId="75ABDFE8" w14:textId="77777777" w:rsidR="00A3112D" w:rsidRPr="00B74E01" w:rsidRDefault="00A3112D" w:rsidP="00B745F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 mensal</w:t>
            </w:r>
          </w:p>
        </w:tc>
      </w:tr>
      <w:tr w:rsidR="00A3112D" w:rsidRPr="00B74E01" w14:paraId="2B765AF6" w14:textId="77777777" w:rsidTr="00050088">
        <w:trPr>
          <w:tblCellSpacing w:w="15" w:type="dxa"/>
        </w:trPr>
        <w:tc>
          <w:tcPr>
            <w:tcW w:w="0" w:type="auto"/>
            <w:vAlign w:val="center"/>
            <w:hideMark/>
          </w:tcPr>
          <w:p w14:paraId="3BB38B62"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 operacional líquida principal</w:t>
            </w:r>
          </w:p>
        </w:tc>
        <w:tc>
          <w:tcPr>
            <w:tcW w:w="0" w:type="auto"/>
            <w:vAlign w:val="center"/>
            <w:hideMark/>
          </w:tcPr>
          <w:p w14:paraId="71F6FDDF"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R$ 633.102,77</w:t>
            </w:r>
          </w:p>
        </w:tc>
      </w:tr>
      <w:tr w:rsidR="00A3112D" w:rsidRPr="00B74E01" w14:paraId="35B774D1" w14:textId="77777777" w:rsidTr="00050088">
        <w:trPr>
          <w:tblCellSpacing w:w="15" w:type="dxa"/>
        </w:trPr>
        <w:tc>
          <w:tcPr>
            <w:tcW w:w="0" w:type="auto"/>
            <w:vAlign w:val="center"/>
            <w:hideMark/>
          </w:tcPr>
          <w:p w14:paraId="768C4816"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EBITDA sem receitas acessórias</w:t>
            </w:r>
          </w:p>
        </w:tc>
        <w:tc>
          <w:tcPr>
            <w:tcW w:w="0" w:type="auto"/>
            <w:vAlign w:val="center"/>
            <w:hideMark/>
          </w:tcPr>
          <w:p w14:paraId="7EB66116"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R$ 314.606,70</w:t>
            </w:r>
          </w:p>
        </w:tc>
      </w:tr>
      <w:tr w:rsidR="00A3112D" w:rsidRPr="00B74E01" w14:paraId="1F592C51" w14:textId="77777777" w:rsidTr="00050088">
        <w:trPr>
          <w:tblCellSpacing w:w="15" w:type="dxa"/>
        </w:trPr>
        <w:tc>
          <w:tcPr>
            <w:tcW w:w="0" w:type="auto"/>
            <w:vAlign w:val="center"/>
            <w:hideMark/>
          </w:tcPr>
          <w:p w14:paraId="5A093816"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Margem EBITDA sem acessórias</w:t>
            </w:r>
          </w:p>
        </w:tc>
        <w:tc>
          <w:tcPr>
            <w:tcW w:w="0" w:type="auto"/>
            <w:vAlign w:val="center"/>
            <w:hideMark/>
          </w:tcPr>
          <w:p w14:paraId="2EB98CBE"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49,69%</w:t>
            </w:r>
          </w:p>
        </w:tc>
      </w:tr>
    </w:tbl>
    <w:p w14:paraId="574AC965" w14:textId="77777777" w:rsidR="0074237A" w:rsidRDefault="0074237A" w:rsidP="0074237A">
      <w:pPr>
        <w:rPr>
          <w:lang w:eastAsia="pt-BR"/>
        </w:rPr>
      </w:pPr>
    </w:p>
    <w:p w14:paraId="3B05EA5B" w14:textId="7DA5A8D4" w:rsidR="00A3112D" w:rsidRPr="0074237A" w:rsidRDefault="00A3112D" w:rsidP="0074237A">
      <w:pPr>
        <w:ind w:firstLine="708"/>
        <w:rPr>
          <w:b/>
          <w:bCs/>
          <w:lang w:eastAsia="pt-BR"/>
        </w:rPr>
      </w:pPr>
      <w:r w:rsidRPr="0074237A">
        <w:rPr>
          <w:b/>
          <w:bCs/>
          <w:lang w:eastAsia="pt-BR"/>
        </w:rPr>
        <w:t>Memória de cálculo</w:t>
      </w:r>
    </w:p>
    <w:p w14:paraId="6CFC711C" w14:textId="7D6582AB"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[R$ 314.606,70 \</w:t>
      </w:r>
      <w:proofErr w:type="spellStart"/>
      <w:r w:rsidRPr="00B74E01">
        <w:rPr>
          <w:rFonts w:eastAsia="Times New Roman" w:cs="Arial"/>
          <w:kern w:val="0"/>
          <w:lang w:eastAsia="pt-BR"/>
          <w14:ligatures w14:val="none"/>
        </w:rPr>
        <w:t>div</w:t>
      </w:r>
      <w:proofErr w:type="spellEnd"/>
      <w:r w:rsidRPr="00B74E01">
        <w:rPr>
          <w:rFonts w:eastAsia="Times New Roman" w:cs="Arial"/>
          <w:kern w:val="0"/>
          <w:lang w:eastAsia="pt-BR"/>
          <w14:ligatures w14:val="none"/>
        </w:rPr>
        <w:t xml:space="preserve"> R$ 633.102,77 = 49,69%]</w:t>
      </w:r>
    </w:p>
    <w:p w14:paraId="2B8C2706"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No cenário ampliado:</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552"/>
        <w:gridCol w:w="1870"/>
      </w:tblGrid>
      <w:tr w:rsidR="00A3112D" w:rsidRPr="00B74E01" w14:paraId="2A387A5C" w14:textId="77777777" w:rsidTr="00050088">
        <w:trPr>
          <w:tblHeader/>
          <w:tblCellSpacing w:w="15" w:type="dxa"/>
        </w:trPr>
        <w:tc>
          <w:tcPr>
            <w:tcW w:w="0" w:type="auto"/>
            <w:vAlign w:val="center"/>
            <w:hideMark/>
          </w:tcPr>
          <w:p w14:paraId="3AC1E1BA" w14:textId="77777777" w:rsidR="00A3112D" w:rsidRPr="00B74E01" w:rsidRDefault="00A3112D" w:rsidP="00B745F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lastRenderedPageBreak/>
              <w:t>Item</w:t>
            </w:r>
          </w:p>
        </w:tc>
        <w:tc>
          <w:tcPr>
            <w:tcW w:w="0" w:type="auto"/>
            <w:vAlign w:val="center"/>
            <w:hideMark/>
          </w:tcPr>
          <w:p w14:paraId="3AFD8086" w14:textId="77777777" w:rsidR="00A3112D" w:rsidRPr="00B74E01" w:rsidRDefault="00A3112D" w:rsidP="00B745F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 mensal</w:t>
            </w:r>
          </w:p>
        </w:tc>
      </w:tr>
      <w:tr w:rsidR="00A3112D" w:rsidRPr="00B74E01" w14:paraId="1C57CC3D" w14:textId="77777777" w:rsidTr="00050088">
        <w:trPr>
          <w:tblCellSpacing w:w="15" w:type="dxa"/>
        </w:trPr>
        <w:tc>
          <w:tcPr>
            <w:tcW w:w="0" w:type="auto"/>
            <w:vAlign w:val="center"/>
            <w:hideMark/>
          </w:tcPr>
          <w:p w14:paraId="53BAE18E"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 operacional líquida total estimada</w:t>
            </w:r>
          </w:p>
        </w:tc>
        <w:tc>
          <w:tcPr>
            <w:tcW w:w="0" w:type="auto"/>
            <w:vAlign w:val="center"/>
            <w:hideMark/>
          </w:tcPr>
          <w:p w14:paraId="436BDF06"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R$ 1.467.297,57</w:t>
            </w:r>
          </w:p>
        </w:tc>
      </w:tr>
      <w:tr w:rsidR="00A3112D" w:rsidRPr="00B74E01" w14:paraId="03097BA4" w14:textId="77777777" w:rsidTr="00050088">
        <w:trPr>
          <w:tblCellSpacing w:w="15" w:type="dxa"/>
        </w:trPr>
        <w:tc>
          <w:tcPr>
            <w:tcW w:w="0" w:type="auto"/>
            <w:vAlign w:val="center"/>
            <w:hideMark/>
          </w:tcPr>
          <w:p w14:paraId="6F42F894"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EBITDA com receitas acessórias</w:t>
            </w:r>
          </w:p>
        </w:tc>
        <w:tc>
          <w:tcPr>
            <w:tcW w:w="0" w:type="auto"/>
            <w:vAlign w:val="center"/>
            <w:hideMark/>
          </w:tcPr>
          <w:p w14:paraId="77473D59"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R$ 1.107.091,76</w:t>
            </w:r>
          </w:p>
        </w:tc>
      </w:tr>
      <w:tr w:rsidR="00A3112D" w:rsidRPr="00B74E01" w14:paraId="1DB0F7A1" w14:textId="77777777" w:rsidTr="00050088">
        <w:trPr>
          <w:tblCellSpacing w:w="15" w:type="dxa"/>
        </w:trPr>
        <w:tc>
          <w:tcPr>
            <w:tcW w:w="0" w:type="auto"/>
            <w:vAlign w:val="center"/>
            <w:hideMark/>
          </w:tcPr>
          <w:p w14:paraId="1DD9033E"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Margem EBITDA com acessórias</w:t>
            </w:r>
          </w:p>
        </w:tc>
        <w:tc>
          <w:tcPr>
            <w:tcW w:w="0" w:type="auto"/>
            <w:vAlign w:val="center"/>
            <w:hideMark/>
          </w:tcPr>
          <w:p w14:paraId="295E3200"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75,45%</w:t>
            </w:r>
          </w:p>
        </w:tc>
      </w:tr>
    </w:tbl>
    <w:p w14:paraId="2DF23957" w14:textId="77777777" w:rsidR="0074237A" w:rsidRDefault="0074237A" w:rsidP="0074237A">
      <w:pPr>
        <w:rPr>
          <w:lang w:eastAsia="pt-BR"/>
        </w:rPr>
      </w:pPr>
    </w:p>
    <w:p w14:paraId="291895DC" w14:textId="17EB0381" w:rsidR="00A3112D" w:rsidRPr="0074237A" w:rsidRDefault="00A3112D" w:rsidP="0074237A">
      <w:pPr>
        <w:ind w:firstLine="708"/>
        <w:rPr>
          <w:b/>
          <w:bCs/>
          <w:lang w:eastAsia="pt-BR"/>
        </w:rPr>
      </w:pPr>
      <w:r w:rsidRPr="0074237A">
        <w:rPr>
          <w:b/>
          <w:bCs/>
          <w:lang w:eastAsia="pt-BR"/>
        </w:rPr>
        <w:t>Memória de cálculo</w:t>
      </w:r>
    </w:p>
    <w:p w14:paraId="2F39DF81" w14:textId="14EF4D9A"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[R$ 1.107.091,76 \</w:t>
      </w:r>
      <w:proofErr w:type="spellStart"/>
      <w:r w:rsidRPr="00B74E01">
        <w:rPr>
          <w:rFonts w:eastAsia="Times New Roman" w:cs="Arial"/>
          <w:kern w:val="0"/>
          <w:lang w:eastAsia="pt-BR"/>
          <w14:ligatures w14:val="none"/>
        </w:rPr>
        <w:t>div</w:t>
      </w:r>
      <w:proofErr w:type="spellEnd"/>
      <w:r w:rsidRPr="00B74E01">
        <w:rPr>
          <w:rFonts w:eastAsia="Times New Roman" w:cs="Arial"/>
          <w:kern w:val="0"/>
          <w:lang w:eastAsia="pt-BR"/>
          <w14:ligatures w14:val="none"/>
        </w:rPr>
        <w:t xml:space="preserve"> R$ 1.467.297,57 = 75,45%]</w:t>
      </w:r>
    </w:p>
    <w:p w14:paraId="5A4035BF"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margem ampliada é elevada e, por isso, deve ser explicada com cautela: ela decorre da inclusão das receitas acessórias líquidas, que possuem forte impacto sobre o caixa, mas dependem de realização comercial e técnica.</w:t>
      </w:r>
    </w:p>
    <w:p w14:paraId="7313CD4C" w14:textId="77777777" w:rsidR="00A3112D" w:rsidRPr="00B74E01" w:rsidRDefault="00A3112D" w:rsidP="00B745F4">
      <w:pPr>
        <w:pStyle w:val="Ttulo2"/>
        <w:rPr>
          <w:rFonts w:eastAsia="Times New Roman"/>
          <w:lang w:eastAsia="pt-BR"/>
        </w:rPr>
      </w:pPr>
      <w:bookmarkStart w:id="169" w:name="_Toc230204171"/>
      <w:r w:rsidRPr="00B74E01">
        <w:rPr>
          <w:rFonts w:eastAsia="Times New Roman"/>
          <w:lang w:eastAsia="pt-BR"/>
        </w:rPr>
        <w:t>13.10. Resultado anual consolidado</w:t>
      </w:r>
      <w:bookmarkEnd w:id="169"/>
    </w:p>
    <w:p w14:paraId="59B7BF24"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visão anual permite avaliar a escala econômica do projeto.</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704"/>
        <w:gridCol w:w="2649"/>
        <w:gridCol w:w="2708"/>
      </w:tblGrid>
      <w:tr w:rsidR="00A3112D" w:rsidRPr="00B74E01" w14:paraId="1DCC2E56" w14:textId="77777777" w:rsidTr="00050088">
        <w:trPr>
          <w:tblHeader/>
          <w:tblCellSpacing w:w="15" w:type="dxa"/>
        </w:trPr>
        <w:tc>
          <w:tcPr>
            <w:tcW w:w="0" w:type="auto"/>
            <w:vAlign w:val="center"/>
            <w:hideMark/>
          </w:tcPr>
          <w:p w14:paraId="792C9C85" w14:textId="77777777" w:rsidR="00A3112D" w:rsidRPr="00B74E01" w:rsidRDefault="00A3112D" w:rsidP="00B745F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Indicador</w:t>
            </w:r>
          </w:p>
        </w:tc>
        <w:tc>
          <w:tcPr>
            <w:tcW w:w="0" w:type="auto"/>
            <w:vAlign w:val="center"/>
            <w:hideMark/>
          </w:tcPr>
          <w:p w14:paraId="3F7D8F5B" w14:textId="77777777" w:rsidR="00A3112D" w:rsidRPr="00B74E01" w:rsidRDefault="00A3112D" w:rsidP="00B745F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Sem receitas acessórias</w:t>
            </w:r>
          </w:p>
        </w:tc>
        <w:tc>
          <w:tcPr>
            <w:tcW w:w="0" w:type="auto"/>
            <w:vAlign w:val="center"/>
            <w:hideMark/>
          </w:tcPr>
          <w:p w14:paraId="4EF16568" w14:textId="77777777" w:rsidR="00A3112D" w:rsidRPr="00B74E01" w:rsidRDefault="00A3112D" w:rsidP="00B745F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Com receitas acessórias</w:t>
            </w:r>
          </w:p>
        </w:tc>
      </w:tr>
      <w:tr w:rsidR="00A3112D" w:rsidRPr="00B74E01" w14:paraId="1D74DE09" w14:textId="77777777" w:rsidTr="00050088">
        <w:trPr>
          <w:tblCellSpacing w:w="15" w:type="dxa"/>
        </w:trPr>
        <w:tc>
          <w:tcPr>
            <w:tcW w:w="0" w:type="auto"/>
            <w:vAlign w:val="center"/>
            <w:hideMark/>
          </w:tcPr>
          <w:p w14:paraId="3D1A4DC4"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 bruta anual</w:t>
            </w:r>
          </w:p>
        </w:tc>
        <w:tc>
          <w:tcPr>
            <w:tcW w:w="0" w:type="auto"/>
            <w:vAlign w:val="center"/>
            <w:hideMark/>
          </w:tcPr>
          <w:p w14:paraId="35263EB5"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R$ 8.400.925,04</w:t>
            </w:r>
          </w:p>
        </w:tc>
        <w:tc>
          <w:tcPr>
            <w:tcW w:w="0" w:type="auto"/>
            <w:vAlign w:val="center"/>
            <w:hideMark/>
          </w:tcPr>
          <w:p w14:paraId="17406BD1"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R$ 19.431.600,04</w:t>
            </w:r>
          </w:p>
        </w:tc>
      </w:tr>
      <w:tr w:rsidR="00A3112D" w:rsidRPr="00B74E01" w14:paraId="69A0B56C" w14:textId="77777777" w:rsidTr="00050088">
        <w:trPr>
          <w:tblCellSpacing w:w="15" w:type="dxa"/>
        </w:trPr>
        <w:tc>
          <w:tcPr>
            <w:tcW w:w="0" w:type="auto"/>
            <w:vAlign w:val="center"/>
            <w:hideMark/>
          </w:tcPr>
          <w:p w14:paraId="2776C016"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 operacional líquida anual</w:t>
            </w:r>
          </w:p>
        </w:tc>
        <w:tc>
          <w:tcPr>
            <w:tcW w:w="0" w:type="auto"/>
            <w:vAlign w:val="center"/>
            <w:hideMark/>
          </w:tcPr>
          <w:p w14:paraId="11B3C40B"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R$ 7.597.233,17</w:t>
            </w:r>
          </w:p>
        </w:tc>
        <w:tc>
          <w:tcPr>
            <w:tcW w:w="0" w:type="auto"/>
            <w:vAlign w:val="center"/>
            <w:hideMark/>
          </w:tcPr>
          <w:p w14:paraId="38748861"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R$ 17.607.570,73</w:t>
            </w:r>
          </w:p>
        </w:tc>
      </w:tr>
      <w:tr w:rsidR="00A3112D" w:rsidRPr="00B74E01" w14:paraId="5F3C0462" w14:textId="77777777" w:rsidTr="00050088">
        <w:trPr>
          <w:tblCellSpacing w:w="15" w:type="dxa"/>
        </w:trPr>
        <w:tc>
          <w:tcPr>
            <w:tcW w:w="0" w:type="auto"/>
            <w:vAlign w:val="center"/>
            <w:hideMark/>
          </w:tcPr>
          <w:p w14:paraId="555CD550"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OPEX anual</w:t>
            </w:r>
          </w:p>
        </w:tc>
        <w:tc>
          <w:tcPr>
            <w:tcW w:w="0" w:type="auto"/>
            <w:vAlign w:val="center"/>
            <w:hideMark/>
          </w:tcPr>
          <w:p w14:paraId="6570392C"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-R$ 3.821.952,88</w:t>
            </w:r>
          </w:p>
        </w:tc>
        <w:tc>
          <w:tcPr>
            <w:tcW w:w="0" w:type="auto"/>
            <w:vAlign w:val="center"/>
            <w:hideMark/>
          </w:tcPr>
          <w:p w14:paraId="1D4E4865"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-R$ 3.821.952,88</w:t>
            </w:r>
          </w:p>
        </w:tc>
      </w:tr>
      <w:tr w:rsidR="00A3112D" w:rsidRPr="00B74E01" w14:paraId="0C97F06F" w14:textId="77777777" w:rsidTr="00050088">
        <w:trPr>
          <w:tblCellSpacing w:w="15" w:type="dxa"/>
        </w:trPr>
        <w:tc>
          <w:tcPr>
            <w:tcW w:w="0" w:type="auto"/>
            <w:vAlign w:val="center"/>
            <w:hideMark/>
          </w:tcPr>
          <w:p w14:paraId="1C811E90"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EBITDA anual</w:t>
            </w:r>
          </w:p>
        </w:tc>
        <w:tc>
          <w:tcPr>
            <w:tcW w:w="0" w:type="auto"/>
            <w:vAlign w:val="center"/>
            <w:hideMark/>
          </w:tcPr>
          <w:p w14:paraId="207E3090"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R$ 3.775.280,29</w:t>
            </w:r>
          </w:p>
        </w:tc>
        <w:tc>
          <w:tcPr>
            <w:tcW w:w="0" w:type="auto"/>
            <w:vAlign w:val="center"/>
            <w:hideMark/>
          </w:tcPr>
          <w:p w14:paraId="2419CB46"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R$ 13.285.100,97</w:t>
            </w:r>
          </w:p>
        </w:tc>
      </w:tr>
      <w:tr w:rsidR="00A3112D" w:rsidRPr="00B74E01" w14:paraId="694B66C3" w14:textId="77777777" w:rsidTr="00050088">
        <w:trPr>
          <w:tblCellSpacing w:w="15" w:type="dxa"/>
        </w:trPr>
        <w:tc>
          <w:tcPr>
            <w:tcW w:w="0" w:type="auto"/>
            <w:vAlign w:val="center"/>
            <w:hideMark/>
          </w:tcPr>
          <w:p w14:paraId="3BEF880C"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Serviço anual da dívida após carência</w:t>
            </w:r>
          </w:p>
        </w:tc>
        <w:tc>
          <w:tcPr>
            <w:tcW w:w="0" w:type="auto"/>
            <w:vAlign w:val="center"/>
            <w:hideMark/>
          </w:tcPr>
          <w:p w14:paraId="6F431743"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-R$ 3.370.715,40</w:t>
            </w:r>
          </w:p>
        </w:tc>
        <w:tc>
          <w:tcPr>
            <w:tcW w:w="0" w:type="auto"/>
            <w:vAlign w:val="center"/>
            <w:hideMark/>
          </w:tcPr>
          <w:p w14:paraId="7BE05C8C"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-R$ 3.370.715,40</w:t>
            </w:r>
          </w:p>
        </w:tc>
      </w:tr>
      <w:tr w:rsidR="00A3112D" w:rsidRPr="00B74E01" w14:paraId="4023D57D" w14:textId="77777777" w:rsidTr="00050088">
        <w:trPr>
          <w:tblCellSpacing w:w="15" w:type="dxa"/>
        </w:trPr>
        <w:tc>
          <w:tcPr>
            <w:tcW w:w="0" w:type="auto"/>
            <w:vAlign w:val="center"/>
            <w:hideMark/>
          </w:tcPr>
          <w:p w14:paraId="0CB22314"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Sobra anual após dívida</w:t>
            </w:r>
          </w:p>
        </w:tc>
        <w:tc>
          <w:tcPr>
            <w:tcW w:w="0" w:type="auto"/>
            <w:vAlign w:val="center"/>
            <w:hideMark/>
          </w:tcPr>
          <w:p w14:paraId="28F880BF"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R$ 404.564,89</w:t>
            </w:r>
          </w:p>
        </w:tc>
        <w:tc>
          <w:tcPr>
            <w:tcW w:w="0" w:type="auto"/>
            <w:vAlign w:val="center"/>
            <w:hideMark/>
          </w:tcPr>
          <w:p w14:paraId="606FE7FE"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R$ 9.914.385,57</w:t>
            </w:r>
          </w:p>
        </w:tc>
      </w:tr>
    </w:tbl>
    <w:p w14:paraId="39C1EA90"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Essa tabela evidencia a diferença entre sustentabilidade mínima e atratividade ampliada. Sem receitas acessórias, o projeto fecha, mas com sobra anual limitada. Com receitas acessórias, a sobra anual torna-se expressiva.</w:t>
      </w:r>
    </w:p>
    <w:p w14:paraId="5F505B18" w14:textId="4E0AFE8D" w:rsidR="00A3112D" w:rsidRDefault="00A3112D" w:rsidP="00B74E01">
      <w:pPr>
        <w:spacing w:after="0" w:line="360" w:lineRule="auto"/>
        <w:ind w:firstLine="709"/>
        <w:jc w:val="both"/>
        <w:rPr>
          <w:rFonts w:eastAsia="Times New Roman" w:cs="Arial"/>
          <w:kern w:val="0"/>
          <w:lang w:eastAsia="pt-BR"/>
          <w14:ligatures w14:val="none"/>
        </w:rPr>
      </w:pPr>
    </w:p>
    <w:p w14:paraId="69BF3E3D" w14:textId="77777777" w:rsidR="00B745F4" w:rsidRPr="00B74E01" w:rsidRDefault="00B745F4" w:rsidP="00B74E01">
      <w:pPr>
        <w:spacing w:after="0" w:line="360" w:lineRule="auto"/>
        <w:ind w:firstLine="709"/>
        <w:jc w:val="both"/>
        <w:rPr>
          <w:rFonts w:eastAsia="Times New Roman" w:cs="Arial"/>
          <w:kern w:val="0"/>
          <w:lang w:eastAsia="pt-BR"/>
          <w14:ligatures w14:val="none"/>
        </w:rPr>
      </w:pPr>
    </w:p>
    <w:p w14:paraId="28C39E2F" w14:textId="77777777" w:rsidR="00A3112D" w:rsidRPr="00B74E01" w:rsidRDefault="00A3112D" w:rsidP="00B745F4">
      <w:pPr>
        <w:pStyle w:val="Ttulo2"/>
        <w:rPr>
          <w:rFonts w:eastAsia="Times New Roman"/>
          <w:lang w:eastAsia="pt-BR"/>
        </w:rPr>
      </w:pPr>
      <w:bookmarkStart w:id="170" w:name="_Toc230204172"/>
      <w:r w:rsidRPr="00B74E01">
        <w:rPr>
          <w:rFonts w:eastAsia="Times New Roman"/>
          <w:lang w:eastAsia="pt-BR"/>
        </w:rPr>
        <w:lastRenderedPageBreak/>
        <w:t>13.11. Leitura crítica do resultado</w:t>
      </w:r>
      <w:bookmarkEnd w:id="170"/>
    </w:p>
    <w:p w14:paraId="73982B37"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interpretação correta do resultado econômico-financeiro deve evitar dois extremos.</w:t>
      </w:r>
    </w:p>
    <w:p w14:paraId="2FBEDB63"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O primeiro erro seria afirmar que a PPP depende integralmente das receitas acessórias. Isso não é adequado, porque o cenário mínimo demonstra EBITDA positivo e DSCR acima de 1,0x.</w:t>
      </w:r>
    </w:p>
    <w:p w14:paraId="47F328ED"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O segundo erro seria tratar as receitas acessórias como certas e garantidas. Isso também não é adequado, porque essas receitas dependem de fatores técnicos e de mercado.</w:t>
      </w:r>
    </w:p>
    <w:p w14:paraId="5675DC45"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leitura equilibrada é:</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243"/>
        <w:gridCol w:w="5698"/>
      </w:tblGrid>
      <w:tr w:rsidR="00A3112D" w:rsidRPr="00B74E01" w14:paraId="3D79CF22" w14:textId="77777777" w:rsidTr="00050088">
        <w:trPr>
          <w:tblHeader/>
          <w:tblCellSpacing w:w="15" w:type="dxa"/>
        </w:trPr>
        <w:tc>
          <w:tcPr>
            <w:tcW w:w="0" w:type="auto"/>
            <w:vAlign w:val="center"/>
            <w:hideMark/>
          </w:tcPr>
          <w:p w14:paraId="02902A8C" w14:textId="77777777" w:rsidR="00A3112D" w:rsidRPr="00B74E01" w:rsidRDefault="00A3112D" w:rsidP="00B745F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Aspecto</w:t>
            </w:r>
          </w:p>
        </w:tc>
        <w:tc>
          <w:tcPr>
            <w:tcW w:w="0" w:type="auto"/>
            <w:vAlign w:val="center"/>
            <w:hideMark/>
          </w:tcPr>
          <w:p w14:paraId="6FBCEA6A" w14:textId="77777777" w:rsidR="00A3112D" w:rsidRPr="00B74E01" w:rsidRDefault="00A3112D" w:rsidP="00B745F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Interpretação correta</w:t>
            </w:r>
          </w:p>
        </w:tc>
      </w:tr>
      <w:tr w:rsidR="00A3112D" w:rsidRPr="00B74E01" w14:paraId="56D5A531" w14:textId="77777777" w:rsidTr="00050088">
        <w:trPr>
          <w:tblCellSpacing w:w="15" w:type="dxa"/>
        </w:trPr>
        <w:tc>
          <w:tcPr>
            <w:tcW w:w="0" w:type="auto"/>
            <w:vAlign w:val="center"/>
            <w:hideMark/>
          </w:tcPr>
          <w:p w14:paraId="050C280B"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Cenário mínimo</w:t>
            </w:r>
          </w:p>
        </w:tc>
        <w:tc>
          <w:tcPr>
            <w:tcW w:w="0" w:type="auto"/>
            <w:vAlign w:val="center"/>
            <w:hideMark/>
          </w:tcPr>
          <w:p w14:paraId="3E68D58F"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Fecha positivamente, mas com margem restrita</w:t>
            </w:r>
          </w:p>
        </w:tc>
      </w:tr>
      <w:tr w:rsidR="00A3112D" w:rsidRPr="00B74E01" w14:paraId="6C664DCF" w14:textId="77777777" w:rsidTr="00050088">
        <w:trPr>
          <w:tblCellSpacing w:w="15" w:type="dxa"/>
        </w:trPr>
        <w:tc>
          <w:tcPr>
            <w:tcW w:w="0" w:type="auto"/>
            <w:vAlign w:val="center"/>
            <w:hideMark/>
          </w:tcPr>
          <w:p w14:paraId="5D2F2543"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Cenário ampliado</w:t>
            </w:r>
          </w:p>
        </w:tc>
        <w:tc>
          <w:tcPr>
            <w:tcW w:w="0" w:type="auto"/>
            <w:vAlign w:val="center"/>
            <w:hideMark/>
          </w:tcPr>
          <w:p w14:paraId="74B55AB8"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Apresenta forte atratividade</w:t>
            </w:r>
          </w:p>
        </w:tc>
      </w:tr>
      <w:tr w:rsidR="00A3112D" w:rsidRPr="00B74E01" w14:paraId="54E57C6E" w14:textId="77777777" w:rsidTr="00050088">
        <w:trPr>
          <w:tblCellSpacing w:w="15" w:type="dxa"/>
        </w:trPr>
        <w:tc>
          <w:tcPr>
            <w:tcW w:w="0" w:type="auto"/>
            <w:vAlign w:val="center"/>
            <w:hideMark/>
          </w:tcPr>
          <w:p w14:paraId="2BC3FFE7"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Receitas principais</w:t>
            </w:r>
          </w:p>
        </w:tc>
        <w:tc>
          <w:tcPr>
            <w:tcW w:w="0" w:type="auto"/>
            <w:vAlign w:val="center"/>
            <w:hideMark/>
          </w:tcPr>
          <w:p w14:paraId="193D0495"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Devem ser protegidas por garantias</w:t>
            </w:r>
          </w:p>
        </w:tc>
      </w:tr>
      <w:tr w:rsidR="00A3112D" w:rsidRPr="00B74E01" w14:paraId="10422FDD" w14:textId="77777777" w:rsidTr="00050088">
        <w:trPr>
          <w:tblCellSpacing w:w="15" w:type="dxa"/>
        </w:trPr>
        <w:tc>
          <w:tcPr>
            <w:tcW w:w="0" w:type="auto"/>
            <w:vAlign w:val="center"/>
            <w:hideMark/>
          </w:tcPr>
          <w:p w14:paraId="02E35990"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Receitas acessórias</w:t>
            </w:r>
          </w:p>
        </w:tc>
        <w:tc>
          <w:tcPr>
            <w:tcW w:w="0" w:type="auto"/>
            <w:vAlign w:val="center"/>
            <w:hideMark/>
          </w:tcPr>
          <w:p w14:paraId="66EF955E"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 xml:space="preserve">Devem ser tratadas como </w:t>
            </w:r>
            <w:proofErr w:type="spellStart"/>
            <w:r w:rsidRPr="00B74E01">
              <w:rPr>
                <w:rFonts w:eastAsia="Times New Roman" w:cs="Arial"/>
                <w:kern w:val="0"/>
                <w:lang w:eastAsia="pt-BR"/>
                <w14:ligatures w14:val="none"/>
              </w:rPr>
              <w:t>upside</w:t>
            </w:r>
            <w:proofErr w:type="spellEnd"/>
            <w:r w:rsidRPr="00B74E01">
              <w:rPr>
                <w:rFonts w:eastAsia="Times New Roman" w:cs="Arial"/>
                <w:kern w:val="0"/>
                <w:lang w:eastAsia="pt-BR"/>
                <w14:ligatures w14:val="none"/>
              </w:rPr>
              <w:t xml:space="preserve"> da SPE</w:t>
            </w:r>
          </w:p>
        </w:tc>
      </w:tr>
      <w:tr w:rsidR="00A3112D" w:rsidRPr="00B74E01" w14:paraId="2E864884" w14:textId="77777777" w:rsidTr="00050088">
        <w:trPr>
          <w:tblCellSpacing w:w="15" w:type="dxa"/>
        </w:trPr>
        <w:tc>
          <w:tcPr>
            <w:tcW w:w="0" w:type="auto"/>
            <w:vAlign w:val="center"/>
            <w:hideMark/>
          </w:tcPr>
          <w:p w14:paraId="5632ED4D"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Garantias</w:t>
            </w:r>
          </w:p>
        </w:tc>
        <w:tc>
          <w:tcPr>
            <w:tcW w:w="0" w:type="auto"/>
            <w:vAlign w:val="center"/>
            <w:hideMark/>
          </w:tcPr>
          <w:p w14:paraId="7AC68FC4"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 xml:space="preserve">Essenciais para </w:t>
            </w:r>
            <w:proofErr w:type="spellStart"/>
            <w:r w:rsidRPr="00B74E01">
              <w:rPr>
                <w:rFonts w:eastAsia="Times New Roman" w:cs="Arial"/>
                <w:kern w:val="0"/>
                <w:lang w:eastAsia="pt-BR"/>
                <w14:ligatures w14:val="none"/>
              </w:rPr>
              <w:t>bancabilidade</w:t>
            </w:r>
            <w:proofErr w:type="spellEnd"/>
          </w:p>
        </w:tc>
      </w:tr>
      <w:tr w:rsidR="00A3112D" w:rsidRPr="00B74E01" w14:paraId="35D326E8" w14:textId="77777777" w:rsidTr="00050088">
        <w:trPr>
          <w:tblCellSpacing w:w="15" w:type="dxa"/>
        </w:trPr>
        <w:tc>
          <w:tcPr>
            <w:tcW w:w="0" w:type="auto"/>
            <w:vAlign w:val="center"/>
            <w:hideMark/>
          </w:tcPr>
          <w:p w14:paraId="7098C299"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Sensibilidade</w:t>
            </w:r>
          </w:p>
        </w:tc>
        <w:tc>
          <w:tcPr>
            <w:tcW w:w="0" w:type="auto"/>
            <w:vAlign w:val="center"/>
            <w:hideMark/>
          </w:tcPr>
          <w:p w14:paraId="2F6E4ED6"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Necessária para reduzir risco de otimismo excessivo</w:t>
            </w:r>
          </w:p>
        </w:tc>
      </w:tr>
    </w:tbl>
    <w:p w14:paraId="008870D8"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Essa postura torna o caderno mais defensável perante banca avaliadora, Tribunal de Contas, Ministério Público, financiadores e investidores.</w:t>
      </w:r>
    </w:p>
    <w:p w14:paraId="62396353" w14:textId="77777777" w:rsidR="00A3112D" w:rsidRPr="00B74E01" w:rsidRDefault="00A3112D" w:rsidP="00B745F4">
      <w:pPr>
        <w:pStyle w:val="Ttulo2"/>
        <w:rPr>
          <w:rFonts w:eastAsia="Times New Roman"/>
          <w:lang w:eastAsia="pt-BR"/>
        </w:rPr>
      </w:pPr>
      <w:bookmarkStart w:id="171" w:name="_Toc230204173"/>
      <w:r w:rsidRPr="00B74E01">
        <w:rPr>
          <w:rFonts w:eastAsia="Times New Roman"/>
          <w:lang w:eastAsia="pt-BR"/>
        </w:rPr>
        <w:t>13.12. Conclusão do tópico</w:t>
      </w:r>
      <w:bookmarkEnd w:id="171"/>
    </w:p>
    <w:p w14:paraId="4EA4587B"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O resultado econômico-financeiro da SPE demonstra que a operação possui sustentabilidade mínima com as receitas principais da PPP e forte atratividade no cenário ampliado com receitas acessórias.</w:t>
      </w:r>
    </w:p>
    <w:p w14:paraId="11E34971"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No cenário-base sem receitas acessórias, a SPE apresenta EBITDA mensal de </w:t>
      </w:r>
      <w:r w:rsidRPr="00B74E01">
        <w:rPr>
          <w:rFonts w:eastAsia="Times New Roman" w:cs="Arial"/>
          <w:b/>
          <w:bCs/>
          <w:kern w:val="0"/>
          <w:lang w:eastAsia="pt-BR"/>
          <w14:ligatures w14:val="none"/>
        </w:rPr>
        <w:t>R$ 314.606,70</w:t>
      </w:r>
      <w:r w:rsidRPr="00B74E01">
        <w:rPr>
          <w:rFonts w:eastAsia="Times New Roman" w:cs="Arial"/>
          <w:kern w:val="0"/>
          <w:lang w:eastAsia="pt-BR"/>
          <w14:ligatures w14:val="none"/>
        </w:rPr>
        <w:t xml:space="preserve">, sobra mensal após dívida de </w:t>
      </w:r>
      <w:r w:rsidRPr="00B74E01">
        <w:rPr>
          <w:rFonts w:eastAsia="Times New Roman" w:cs="Arial"/>
          <w:b/>
          <w:bCs/>
          <w:kern w:val="0"/>
          <w:lang w:eastAsia="pt-BR"/>
          <w14:ligatures w14:val="none"/>
        </w:rPr>
        <w:t>R$ 33.713,75</w:t>
      </w:r>
      <w:r w:rsidRPr="00B74E01">
        <w:rPr>
          <w:rFonts w:eastAsia="Times New Roman" w:cs="Arial"/>
          <w:kern w:val="0"/>
          <w:lang w:eastAsia="pt-BR"/>
          <w14:ligatures w14:val="none"/>
        </w:rPr>
        <w:t xml:space="preserve"> e DSCR após carência de </w:t>
      </w:r>
      <w:r w:rsidRPr="00B74E01">
        <w:rPr>
          <w:rFonts w:eastAsia="Times New Roman" w:cs="Arial"/>
          <w:b/>
          <w:bCs/>
          <w:kern w:val="0"/>
          <w:lang w:eastAsia="pt-BR"/>
          <w14:ligatures w14:val="none"/>
        </w:rPr>
        <w:lastRenderedPageBreak/>
        <w:t>1,12x</w:t>
      </w:r>
      <w:r w:rsidRPr="00B74E01">
        <w:rPr>
          <w:rFonts w:eastAsia="Times New Roman" w:cs="Arial"/>
          <w:kern w:val="0"/>
          <w:lang w:eastAsia="pt-BR"/>
          <w14:ligatures w14:val="none"/>
        </w:rPr>
        <w:t>. Esse resultado é positivo, mas possui margem restrita, exigindo proteção adequada das receitas principais.</w:t>
      </w:r>
    </w:p>
    <w:p w14:paraId="578536F6"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No cenário com receitas acessórias, o EBITDA mensal sobe para </w:t>
      </w:r>
      <w:r w:rsidRPr="00B74E01">
        <w:rPr>
          <w:rFonts w:eastAsia="Times New Roman" w:cs="Arial"/>
          <w:b/>
          <w:bCs/>
          <w:kern w:val="0"/>
          <w:lang w:eastAsia="pt-BR"/>
          <w14:ligatures w14:val="none"/>
        </w:rPr>
        <w:t>R$ 1.107.091,76</w:t>
      </w:r>
      <w:r w:rsidRPr="00B74E01">
        <w:rPr>
          <w:rFonts w:eastAsia="Times New Roman" w:cs="Arial"/>
          <w:kern w:val="0"/>
          <w:lang w:eastAsia="pt-BR"/>
          <w14:ligatures w14:val="none"/>
        </w:rPr>
        <w:t xml:space="preserve">, a sobra mensal após dívida alcança </w:t>
      </w:r>
      <w:r w:rsidRPr="00B74E01">
        <w:rPr>
          <w:rFonts w:eastAsia="Times New Roman" w:cs="Arial"/>
          <w:b/>
          <w:bCs/>
          <w:kern w:val="0"/>
          <w:lang w:eastAsia="pt-BR"/>
          <w14:ligatures w14:val="none"/>
        </w:rPr>
        <w:t>R$ 826.198,81</w:t>
      </w:r>
      <w:r w:rsidRPr="00B74E01">
        <w:rPr>
          <w:rFonts w:eastAsia="Times New Roman" w:cs="Arial"/>
          <w:kern w:val="0"/>
          <w:lang w:eastAsia="pt-BR"/>
          <w14:ligatures w14:val="none"/>
        </w:rPr>
        <w:t xml:space="preserve"> e o DSCR após carência chega a </w:t>
      </w:r>
      <w:r w:rsidRPr="00B74E01">
        <w:rPr>
          <w:rFonts w:eastAsia="Times New Roman" w:cs="Arial"/>
          <w:b/>
          <w:bCs/>
          <w:kern w:val="0"/>
          <w:lang w:eastAsia="pt-BR"/>
          <w14:ligatures w14:val="none"/>
        </w:rPr>
        <w:t>3,94x</w:t>
      </w:r>
      <w:r w:rsidRPr="00B74E01">
        <w:rPr>
          <w:rFonts w:eastAsia="Times New Roman" w:cs="Arial"/>
          <w:kern w:val="0"/>
          <w:lang w:eastAsia="pt-BR"/>
          <w14:ligatures w14:val="none"/>
        </w:rPr>
        <w:t>, demonstrando elevada robustez financeira.</w:t>
      </w:r>
    </w:p>
    <w:p w14:paraId="2C9A5D13"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 comparação com a tarifa superior regional de </w:t>
      </w:r>
      <w:r w:rsidRPr="00B74E01">
        <w:rPr>
          <w:rFonts w:eastAsia="Times New Roman" w:cs="Arial"/>
          <w:b/>
          <w:bCs/>
          <w:kern w:val="0"/>
          <w:lang w:eastAsia="pt-BR"/>
          <w14:ligatures w14:val="none"/>
        </w:rPr>
        <w:t>R$ 140/t</w:t>
      </w:r>
      <w:r w:rsidRPr="00B74E01">
        <w:rPr>
          <w:rFonts w:eastAsia="Times New Roman" w:cs="Arial"/>
          <w:kern w:val="0"/>
          <w:lang w:eastAsia="pt-BR"/>
          <w14:ligatures w14:val="none"/>
        </w:rPr>
        <w:t xml:space="preserve"> mostra que a operação se torna mais confortável mesmo sem receitas acessórias, alcançando DSCR de </w:t>
      </w:r>
      <w:r w:rsidRPr="00B74E01">
        <w:rPr>
          <w:rFonts w:eastAsia="Times New Roman" w:cs="Arial"/>
          <w:b/>
          <w:bCs/>
          <w:kern w:val="0"/>
          <w:lang w:eastAsia="pt-BR"/>
          <w14:ligatures w14:val="none"/>
        </w:rPr>
        <w:t>1,47x</w:t>
      </w:r>
      <w:r w:rsidRPr="00B74E01">
        <w:rPr>
          <w:rFonts w:eastAsia="Times New Roman" w:cs="Arial"/>
          <w:kern w:val="0"/>
          <w:lang w:eastAsia="pt-BR"/>
          <w14:ligatures w14:val="none"/>
        </w:rPr>
        <w:t xml:space="preserve"> após a carência.</w:t>
      </w:r>
    </w:p>
    <w:p w14:paraId="38F17659"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Portanto, o projeto é economicamente defensável desde que a modelagem mantenha três cuidados: proteção das receitas principais, tratamento prudente das receitas acessórias e apresentação clara dos cenários de sensibilidade.</w:t>
      </w:r>
    </w:p>
    <w:p w14:paraId="1DF7EE9F" w14:textId="77777777" w:rsidR="00B745F4" w:rsidRDefault="00B745F4" w:rsidP="00B74E01">
      <w:pPr>
        <w:spacing w:before="100" w:beforeAutospacing="1" w:after="100" w:afterAutospacing="1" w:line="360" w:lineRule="auto"/>
        <w:ind w:firstLine="709"/>
        <w:jc w:val="both"/>
        <w:outlineLvl w:val="0"/>
        <w:rPr>
          <w:rFonts w:eastAsia="Times New Roman" w:cs="Arial"/>
          <w:b/>
          <w:bCs/>
          <w:kern w:val="36"/>
          <w:lang w:eastAsia="pt-BR"/>
          <w14:ligatures w14:val="none"/>
        </w:rPr>
      </w:pPr>
    </w:p>
    <w:p w14:paraId="0A71000E" w14:textId="77777777" w:rsidR="00B745F4" w:rsidRDefault="00B745F4" w:rsidP="00B74E01">
      <w:pPr>
        <w:spacing w:before="100" w:beforeAutospacing="1" w:after="100" w:afterAutospacing="1" w:line="360" w:lineRule="auto"/>
        <w:ind w:firstLine="709"/>
        <w:jc w:val="both"/>
        <w:outlineLvl w:val="0"/>
        <w:rPr>
          <w:rFonts w:eastAsia="Times New Roman" w:cs="Arial"/>
          <w:b/>
          <w:bCs/>
          <w:kern w:val="36"/>
          <w:lang w:eastAsia="pt-BR"/>
          <w14:ligatures w14:val="none"/>
        </w:rPr>
      </w:pPr>
    </w:p>
    <w:p w14:paraId="43F0660D" w14:textId="77777777" w:rsidR="00B745F4" w:rsidRDefault="00B745F4" w:rsidP="00B74E01">
      <w:pPr>
        <w:spacing w:before="100" w:beforeAutospacing="1" w:after="100" w:afterAutospacing="1" w:line="360" w:lineRule="auto"/>
        <w:ind w:firstLine="709"/>
        <w:jc w:val="both"/>
        <w:outlineLvl w:val="0"/>
        <w:rPr>
          <w:rFonts w:eastAsia="Times New Roman" w:cs="Arial"/>
          <w:b/>
          <w:bCs/>
          <w:kern w:val="36"/>
          <w:lang w:eastAsia="pt-BR"/>
          <w14:ligatures w14:val="none"/>
        </w:rPr>
      </w:pPr>
    </w:p>
    <w:p w14:paraId="0D9C6637" w14:textId="77777777" w:rsidR="00B745F4" w:rsidRDefault="00B745F4" w:rsidP="00B74E01">
      <w:pPr>
        <w:spacing w:before="100" w:beforeAutospacing="1" w:after="100" w:afterAutospacing="1" w:line="360" w:lineRule="auto"/>
        <w:ind w:firstLine="709"/>
        <w:jc w:val="both"/>
        <w:outlineLvl w:val="0"/>
        <w:rPr>
          <w:rFonts w:eastAsia="Times New Roman" w:cs="Arial"/>
          <w:b/>
          <w:bCs/>
          <w:kern w:val="36"/>
          <w:lang w:eastAsia="pt-BR"/>
          <w14:ligatures w14:val="none"/>
        </w:rPr>
      </w:pPr>
    </w:p>
    <w:p w14:paraId="4D7A8A1C" w14:textId="77777777" w:rsidR="00B745F4" w:rsidRDefault="00B745F4" w:rsidP="00B74E01">
      <w:pPr>
        <w:spacing w:before="100" w:beforeAutospacing="1" w:after="100" w:afterAutospacing="1" w:line="360" w:lineRule="auto"/>
        <w:ind w:firstLine="709"/>
        <w:jc w:val="both"/>
        <w:outlineLvl w:val="0"/>
        <w:rPr>
          <w:rFonts w:eastAsia="Times New Roman" w:cs="Arial"/>
          <w:b/>
          <w:bCs/>
          <w:kern w:val="36"/>
          <w:lang w:eastAsia="pt-BR"/>
          <w14:ligatures w14:val="none"/>
        </w:rPr>
      </w:pPr>
    </w:p>
    <w:p w14:paraId="39924C9C" w14:textId="77777777" w:rsidR="00B745F4" w:rsidRDefault="00B745F4" w:rsidP="00B74E01">
      <w:pPr>
        <w:spacing w:before="100" w:beforeAutospacing="1" w:after="100" w:afterAutospacing="1" w:line="360" w:lineRule="auto"/>
        <w:ind w:firstLine="709"/>
        <w:jc w:val="both"/>
        <w:outlineLvl w:val="0"/>
        <w:rPr>
          <w:rFonts w:eastAsia="Times New Roman" w:cs="Arial"/>
          <w:b/>
          <w:bCs/>
          <w:kern w:val="36"/>
          <w:lang w:eastAsia="pt-BR"/>
          <w14:ligatures w14:val="none"/>
        </w:rPr>
      </w:pPr>
    </w:p>
    <w:p w14:paraId="40CB3DAD" w14:textId="77777777" w:rsidR="00B745F4" w:rsidRDefault="00B745F4" w:rsidP="00B74E01">
      <w:pPr>
        <w:spacing w:before="100" w:beforeAutospacing="1" w:after="100" w:afterAutospacing="1" w:line="360" w:lineRule="auto"/>
        <w:ind w:firstLine="709"/>
        <w:jc w:val="both"/>
        <w:outlineLvl w:val="0"/>
        <w:rPr>
          <w:rFonts w:eastAsia="Times New Roman" w:cs="Arial"/>
          <w:b/>
          <w:bCs/>
          <w:kern w:val="36"/>
          <w:lang w:eastAsia="pt-BR"/>
          <w14:ligatures w14:val="none"/>
        </w:rPr>
      </w:pPr>
    </w:p>
    <w:p w14:paraId="29F7B0B2" w14:textId="77777777" w:rsidR="00B745F4" w:rsidRDefault="00B745F4" w:rsidP="00B74E01">
      <w:pPr>
        <w:spacing w:before="100" w:beforeAutospacing="1" w:after="100" w:afterAutospacing="1" w:line="360" w:lineRule="auto"/>
        <w:ind w:firstLine="709"/>
        <w:jc w:val="both"/>
        <w:outlineLvl w:val="0"/>
        <w:rPr>
          <w:rFonts w:eastAsia="Times New Roman" w:cs="Arial"/>
          <w:b/>
          <w:bCs/>
          <w:kern w:val="36"/>
          <w:lang w:eastAsia="pt-BR"/>
          <w14:ligatures w14:val="none"/>
        </w:rPr>
      </w:pPr>
    </w:p>
    <w:p w14:paraId="7398A943" w14:textId="77777777" w:rsidR="00B745F4" w:rsidRDefault="00B745F4" w:rsidP="00B74E01">
      <w:pPr>
        <w:spacing w:before="100" w:beforeAutospacing="1" w:after="100" w:afterAutospacing="1" w:line="360" w:lineRule="auto"/>
        <w:ind w:firstLine="709"/>
        <w:jc w:val="both"/>
        <w:outlineLvl w:val="0"/>
        <w:rPr>
          <w:rFonts w:eastAsia="Times New Roman" w:cs="Arial"/>
          <w:b/>
          <w:bCs/>
          <w:kern w:val="36"/>
          <w:lang w:eastAsia="pt-BR"/>
          <w14:ligatures w14:val="none"/>
        </w:rPr>
      </w:pPr>
    </w:p>
    <w:p w14:paraId="69B85A9B" w14:textId="77777777" w:rsidR="00B745F4" w:rsidRDefault="00B745F4" w:rsidP="00B74E01">
      <w:pPr>
        <w:spacing w:before="100" w:beforeAutospacing="1" w:after="100" w:afterAutospacing="1" w:line="360" w:lineRule="auto"/>
        <w:ind w:firstLine="709"/>
        <w:jc w:val="both"/>
        <w:outlineLvl w:val="0"/>
        <w:rPr>
          <w:rFonts w:eastAsia="Times New Roman" w:cs="Arial"/>
          <w:b/>
          <w:bCs/>
          <w:kern w:val="36"/>
          <w:lang w:eastAsia="pt-BR"/>
          <w14:ligatures w14:val="none"/>
        </w:rPr>
      </w:pPr>
    </w:p>
    <w:p w14:paraId="196C96E5" w14:textId="77777777" w:rsidR="00B745F4" w:rsidRDefault="00B745F4" w:rsidP="00B74E01">
      <w:pPr>
        <w:spacing w:before="100" w:beforeAutospacing="1" w:after="100" w:afterAutospacing="1" w:line="360" w:lineRule="auto"/>
        <w:ind w:firstLine="709"/>
        <w:jc w:val="both"/>
        <w:outlineLvl w:val="0"/>
        <w:rPr>
          <w:rFonts w:eastAsia="Times New Roman" w:cs="Arial"/>
          <w:b/>
          <w:bCs/>
          <w:kern w:val="36"/>
          <w:lang w:eastAsia="pt-BR"/>
          <w14:ligatures w14:val="none"/>
        </w:rPr>
      </w:pPr>
    </w:p>
    <w:p w14:paraId="02B2B633" w14:textId="77777777" w:rsidR="00B745F4" w:rsidRDefault="00B745F4" w:rsidP="00B74E01">
      <w:pPr>
        <w:spacing w:before="100" w:beforeAutospacing="1" w:after="100" w:afterAutospacing="1" w:line="360" w:lineRule="auto"/>
        <w:ind w:firstLine="709"/>
        <w:jc w:val="both"/>
        <w:outlineLvl w:val="0"/>
        <w:rPr>
          <w:rFonts w:eastAsia="Times New Roman" w:cs="Arial"/>
          <w:b/>
          <w:bCs/>
          <w:kern w:val="36"/>
          <w:lang w:eastAsia="pt-BR"/>
          <w14:ligatures w14:val="none"/>
        </w:rPr>
      </w:pPr>
    </w:p>
    <w:p w14:paraId="58BE32ED" w14:textId="75E58F2D" w:rsidR="00A3112D" w:rsidRPr="00B74E01" w:rsidRDefault="00A3112D" w:rsidP="00B745F4">
      <w:pPr>
        <w:pStyle w:val="Ttulo1"/>
        <w:rPr>
          <w:rFonts w:eastAsia="Times New Roman"/>
          <w:lang w:eastAsia="pt-BR"/>
        </w:rPr>
      </w:pPr>
      <w:bookmarkStart w:id="172" w:name="_Toc230204174"/>
      <w:r w:rsidRPr="00B74E01">
        <w:rPr>
          <w:rFonts w:eastAsia="Times New Roman"/>
          <w:lang w:eastAsia="pt-BR"/>
        </w:rPr>
        <w:lastRenderedPageBreak/>
        <w:t>14. Análise de Sensibilidade e Cenários de Estresse</w:t>
      </w:r>
      <w:bookmarkEnd w:id="172"/>
    </w:p>
    <w:p w14:paraId="13B487B7"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análise de sensibilidade tem por finalidade verificar a resistência econômico-financeira da PPP diante da alteração de premissas relevantes da modelagem.</w:t>
      </w:r>
    </w:p>
    <w:p w14:paraId="0FC73440"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Em projetos de PPP, especialmente aqueles sujeitos a financiamento de longo prazo, variação de custos, receitas acessórias, riscos operacionais e oscilações de mercado, não é suficiente apresentar apenas o cenário-base. É necessário demonstrar como o projeto se comporta em cenários alternativos, conservadores e de estresse.</w:t>
      </w:r>
    </w:p>
    <w:p w14:paraId="682C3AA3"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 análise de sensibilidade fortalece a </w:t>
      </w:r>
      <w:proofErr w:type="spellStart"/>
      <w:r w:rsidRPr="00B74E01">
        <w:rPr>
          <w:rFonts w:eastAsia="Times New Roman" w:cs="Arial"/>
          <w:kern w:val="0"/>
          <w:lang w:eastAsia="pt-BR"/>
          <w14:ligatures w14:val="none"/>
        </w:rPr>
        <w:t>defensabilidade</w:t>
      </w:r>
      <w:proofErr w:type="spellEnd"/>
      <w:r w:rsidRPr="00B74E01">
        <w:rPr>
          <w:rFonts w:eastAsia="Times New Roman" w:cs="Arial"/>
          <w:kern w:val="0"/>
          <w:lang w:eastAsia="pt-BR"/>
          <w14:ligatures w14:val="none"/>
        </w:rPr>
        <w:t xml:space="preserve"> do caderno perante o Município, banca avaliadora, financiadores, investidores, Tribunal de Contas e Ministério Público, pois evidencia que as premissas foram testadas e que os riscos relevantes foram identificados.</w:t>
      </w:r>
    </w:p>
    <w:p w14:paraId="3B865387" w14:textId="77777777" w:rsidR="00A3112D" w:rsidRPr="00B74E01" w:rsidRDefault="00A3112D" w:rsidP="00B745F4">
      <w:pPr>
        <w:pStyle w:val="Ttulo2"/>
        <w:rPr>
          <w:rFonts w:eastAsia="Times New Roman"/>
          <w:lang w:eastAsia="pt-BR"/>
        </w:rPr>
      </w:pPr>
      <w:bookmarkStart w:id="173" w:name="_Toc230204175"/>
      <w:r w:rsidRPr="00B74E01">
        <w:rPr>
          <w:rFonts w:eastAsia="Times New Roman"/>
          <w:lang w:eastAsia="pt-BR"/>
        </w:rPr>
        <w:t>14.1. Finalidade da análise de sensibilidade</w:t>
      </w:r>
      <w:bookmarkEnd w:id="173"/>
    </w:p>
    <w:p w14:paraId="2B3F4579"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análise de sensibilidade cumpre cinco funções principais: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725"/>
        <w:gridCol w:w="6336"/>
      </w:tblGrid>
      <w:tr w:rsidR="00A3112D" w:rsidRPr="00B74E01" w14:paraId="2EA010F8" w14:textId="77777777" w:rsidTr="00050088">
        <w:trPr>
          <w:tblHeader/>
          <w:tblCellSpacing w:w="15" w:type="dxa"/>
        </w:trPr>
        <w:tc>
          <w:tcPr>
            <w:tcW w:w="0" w:type="auto"/>
            <w:vAlign w:val="center"/>
            <w:hideMark/>
          </w:tcPr>
          <w:p w14:paraId="35590E38" w14:textId="77777777" w:rsidR="00A3112D" w:rsidRPr="00B74E01" w:rsidRDefault="00A3112D" w:rsidP="00B745F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Finalidade</w:t>
            </w:r>
          </w:p>
        </w:tc>
        <w:tc>
          <w:tcPr>
            <w:tcW w:w="0" w:type="auto"/>
            <w:vAlign w:val="center"/>
            <w:hideMark/>
          </w:tcPr>
          <w:p w14:paraId="34835D53" w14:textId="77777777" w:rsidR="00A3112D" w:rsidRPr="00B74E01" w:rsidRDefault="00A3112D" w:rsidP="00B745F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Descrição</w:t>
            </w:r>
          </w:p>
        </w:tc>
      </w:tr>
      <w:tr w:rsidR="00A3112D" w:rsidRPr="00B74E01" w14:paraId="04719517" w14:textId="77777777" w:rsidTr="00050088">
        <w:trPr>
          <w:tblCellSpacing w:w="15" w:type="dxa"/>
        </w:trPr>
        <w:tc>
          <w:tcPr>
            <w:tcW w:w="0" w:type="auto"/>
            <w:vAlign w:val="center"/>
            <w:hideMark/>
          </w:tcPr>
          <w:p w14:paraId="4DB7CF70"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Testar robustez</w:t>
            </w:r>
          </w:p>
        </w:tc>
        <w:tc>
          <w:tcPr>
            <w:tcW w:w="0" w:type="auto"/>
            <w:vAlign w:val="center"/>
            <w:hideMark/>
          </w:tcPr>
          <w:p w14:paraId="1F9DD142"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Verificar se o projeto resiste a variações de premissas críticas</w:t>
            </w:r>
          </w:p>
        </w:tc>
      </w:tr>
      <w:tr w:rsidR="00A3112D" w:rsidRPr="00B74E01" w14:paraId="13A8FEE2" w14:textId="77777777" w:rsidTr="00050088">
        <w:trPr>
          <w:tblCellSpacing w:w="15" w:type="dxa"/>
        </w:trPr>
        <w:tc>
          <w:tcPr>
            <w:tcW w:w="0" w:type="auto"/>
            <w:vAlign w:val="center"/>
            <w:hideMark/>
          </w:tcPr>
          <w:p w14:paraId="14714B1B"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Reduzir otimismo excessivo</w:t>
            </w:r>
          </w:p>
        </w:tc>
        <w:tc>
          <w:tcPr>
            <w:tcW w:w="0" w:type="auto"/>
            <w:vAlign w:val="center"/>
            <w:hideMark/>
          </w:tcPr>
          <w:p w14:paraId="595B03AE"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Evitar que a modelagem dependa apenas do melhor cenário</w:t>
            </w:r>
          </w:p>
        </w:tc>
      </w:tr>
      <w:tr w:rsidR="00A3112D" w:rsidRPr="00B74E01" w14:paraId="52C9D9DD" w14:textId="77777777" w:rsidTr="00050088">
        <w:trPr>
          <w:tblCellSpacing w:w="15" w:type="dxa"/>
        </w:trPr>
        <w:tc>
          <w:tcPr>
            <w:tcW w:w="0" w:type="auto"/>
            <w:vAlign w:val="center"/>
            <w:hideMark/>
          </w:tcPr>
          <w:p w14:paraId="5546E151"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 xml:space="preserve">Apoiar a </w:t>
            </w:r>
            <w:proofErr w:type="spellStart"/>
            <w:r w:rsidRPr="00B74E01">
              <w:rPr>
                <w:rFonts w:eastAsia="Times New Roman" w:cs="Arial"/>
                <w:kern w:val="0"/>
                <w:lang w:eastAsia="pt-BR"/>
                <w14:ligatures w14:val="none"/>
              </w:rPr>
              <w:t>bancabilidade</w:t>
            </w:r>
            <w:proofErr w:type="spellEnd"/>
          </w:p>
        </w:tc>
        <w:tc>
          <w:tcPr>
            <w:tcW w:w="0" w:type="auto"/>
            <w:vAlign w:val="center"/>
            <w:hideMark/>
          </w:tcPr>
          <w:p w14:paraId="1B3EC9A1"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Demonstrar capacidade de pagamento em diferentes cenários</w:t>
            </w:r>
          </w:p>
        </w:tc>
      </w:tr>
      <w:tr w:rsidR="00A3112D" w:rsidRPr="00B74E01" w14:paraId="34C832DC" w14:textId="77777777" w:rsidTr="00050088">
        <w:trPr>
          <w:tblCellSpacing w:w="15" w:type="dxa"/>
        </w:trPr>
        <w:tc>
          <w:tcPr>
            <w:tcW w:w="0" w:type="auto"/>
            <w:vAlign w:val="center"/>
            <w:hideMark/>
          </w:tcPr>
          <w:p w14:paraId="24B7CBDA"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Orientar a matriz de riscos</w:t>
            </w:r>
          </w:p>
        </w:tc>
        <w:tc>
          <w:tcPr>
            <w:tcW w:w="0" w:type="auto"/>
            <w:vAlign w:val="center"/>
            <w:hideMark/>
          </w:tcPr>
          <w:p w14:paraId="3A14387F"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Identificar quais variáveis mais afetam o resultado</w:t>
            </w:r>
          </w:p>
        </w:tc>
      </w:tr>
      <w:tr w:rsidR="00A3112D" w:rsidRPr="00B74E01" w14:paraId="131DEA60" w14:textId="77777777" w:rsidTr="00050088">
        <w:trPr>
          <w:tblCellSpacing w:w="15" w:type="dxa"/>
        </w:trPr>
        <w:tc>
          <w:tcPr>
            <w:tcW w:w="0" w:type="auto"/>
            <w:vAlign w:val="center"/>
            <w:hideMark/>
          </w:tcPr>
          <w:p w14:paraId="7F53E9C6"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Fortalecer a licitação</w:t>
            </w:r>
          </w:p>
        </w:tc>
        <w:tc>
          <w:tcPr>
            <w:tcW w:w="0" w:type="auto"/>
            <w:vAlign w:val="center"/>
            <w:hideMark/>
          </w:tcPr>
          <w:p w14:paraId="513C588D"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Permitir que os licitantes compreendam os principais pontos de atenção</w:t>
            </w:r>
          </w:p>
        </w:tc>
      </w:tr>
    </w:tbl>
    <w:p w14:paraId="7DB50D7C"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lastRenderedPageBreak/>
        <w:t>Essa análise deve ser apresentada de forma clara, objetiva e auditável, sem criar falsa segurança. Seu papel é mostrar onde o projeto é robusto e onde exige proteção contratual.</w:t>
      </w:r>
    </w:p>
    <w:p w14:paraId="33432378" w14:textId="77777777" w:rsidR="00A3112D" w:rsidRPr="00B74E01" w:rsidRDefault="00A3112D" w:rsidP="00B745F4">
      <w:pPr>
        <w:pStyle w:val="Ttulo2"/>
        <w:rPr>
          <w:rFonts w:eastAsia="Times New Roman"/>
          <w:lang w:eastAsia="pt-BR"/>
        </w:rPr>
      </w:pPr>
      <w:bookmarkStart w:id="174" w:name="_Toc230204176"/>
      <w:r w:rsidRPr="00B74E01">
        <w:rPr>
          <w:rFonts w:eastAsia="Times New Roman"/>
          <w:lang w:eastAsia="pt-BR"/>
        </w:rPr>
        <w:t>14.2. Variáveis testadas</w:t>
      </w:r>
      <w:bookmarkEnd w:id="174"/>
    </w:p>
    <w:p w14:paraId="31B477D4"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As principais variáveis recomendadas para sensibilidade são:</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335"/>
        <w:gridCol w:w="2296"/>
        <w:gridCol w:w="4430"/>
      </w:tblGrid>
      <w:tr w:rsidR="00A3112D" w:rsidRPr="00B74E01" w14:paraId="67DA0396" w14:textId="77777777" w:rsidTr="00050088">
        <w:trPr>
          <w:tblHeader/>
          <w:tblCellSpacing w:w="15" w:type="dxa"/>
        </w:trPr>
        <w:tc>
          <w:tcPr>
            <w:tcW w:w="0" w:type="auto"/>
            <w:vAlign w:val="center"/>
            <w:hideMark/>
          </w:tcPr>
          <w:p w14:paraId="7365D38F" w14:textId="77777777" w:rsidR="00A3112D" w:rsidRPr="00B74E01" w:rsidRDefault="00A3112D" w:rsidP="00B745F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Variável</w:t>
            </w:r>
          </w:p>
        </w:tc>
        <w:tc>
          <w:tcPr>
            <w:tcW w:w="0" w:type="auto"/>
            <w:vAlign w:val="center"/>
            <w:hideMark/>
          </w:tcPr>
          <w:p w14:paraId="24720319" w14:textId="77777777" w:rsidR="00A3112D" w:rsidRPr="00B74E01" w:rsidRDefault="00A3112D" w:rsidP="00B745F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Cenários recomendados</w:t>
            </w:r>
          </w:p>
        </w:tc>
        <w:tc>
          <w:tcPr>
            <w:tcW w:w="0" w:type="auto"/>
            <w:vAlign w:val="center"/>
            <w:hideMark/>
          </w:tcPr>
          <w:p w14:paraId="44ED8A28" w14:textId="77777777" w:rsidR="00A3112D" w:rsidRPr="00B74E01" w:rsidRDefault="00A3112D" w:rsidP="00B745F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Justificativa</w:t>
            </w:r>
          </w:p>
        </w:tc>
      </w:tr>
      <w:tr w:rsidR="00A3112D" w:rsidRPr="00B74E01" w14:paraId="2FAD69B8" w14:textId="77777777" w:rsidTr="00050088">
        <w:trPr>
          <w:tblCellSpacing w:w="15" w:type="dxa"/>
        </w:trPr>
        <w:tc>
          <w:tcPr>
            <w:tcW w:w="0" w:type="auto"/>
            <w:vAlign w:val="center"/>
            <w:hideMark/>
          </w:tcPr>
          <w:p w14:paraId="31C87047"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Tarifa de destinação de RSU</w:t>
            </w:r>
          </w:p>
        </w:tc>
        <w:tc>
          <w:tcPr>
            <w:tcW w:w="0" w:type="auto"/>
            <w:vAlign w:val="center"/>
            <w:hideMark/>
          </w:tcPr>
          <w:p w14:paraId="71882503"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R$ 95/t e R$ 140/t</w:t>
            </w:r>
          </w:p>
        </w:tc>
        <w:tc>
          <w:tcPr>
            <w:tcW w:w="0" w:type="auto"/>
            <w:vAlign w:val="center"/>
            <w:hideMark/>
          </w:tcPr>
          <w:p w14:paraId="0F00E066"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Testa cenário-base e referência superior regional</w:t>
            </w:r>
          </w:p>
        </w:tc>
      </w:tr>
      <w:tr w:rsidR="00A3112D" w:rsidRPr="00B74E01" w14:paraId="70ABA2AB" w14:textId="77777777" w:rsidTr="00050088">
        <w:trPr>
          <w:tblCellSpacing w:w="15" w:type="dxa"/>
        </w:trPr>
        <w:tc>
          <w:tcPr>
            <w:tcW w:w="0" w:type="auto"/>
            <w:vAlign w:val="center"/>
            <w:hideMark/>
          </w:tcPr>
          <w:p w14:paraId="2ABD8852"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Receitas acessórias</w:t>
            </w:r>
          </w:p>
        </w:tc>
        <w:tc>
          <w:tcPr>
            <w:tcW w:w="0" w:type="auto"/>
            <w:vAlign w:val="center"/>
            <w:hideMark/>
          </w:tcPr>
          <w:p w14:paraId="44236869"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0%, 50%, 75% e 100%</w:t>
            </w:r>
          </w:p>
        </w:tc>
        <w:tc>
          <w:tcPr>
            <w:tcW w:w="0" w:type="auto"/>
            <w:vAlign w:val="center"/>
            <w:hideMark/>
          </w:tcPr>
          <w:p w14:paraId="1D696DF2"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Testa dependência das receitas de mercado</w:t>
            </w:r>
          </w:p>
        </w:tc>
      </w:tr>
      <w:tr w:rsidR="00A3112D" w:rsidRPr="00B74E01" w14:paraId="6FD78627" w14:textId="77777777" w:rsidTr="00050088">
        <w:trPr>
          <w:tblCellSpacing w:w="15" w:type="dxa"/>
        </w:trPr>
        <w:tc>
          <w:tcPr>
            <w:tcW w:w="0" w:type="auto"/>
            <w:vAlign w:val="center"/>
            <w:hideMark/>
          </w:tcPr>
          <w:p w14:paraId="038C7E73"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Taxa de juros</w:t>
            </w:r>
          </w:p>
        </w:tc>
        <w:tc>
          <w:tcPr>
            <w:tcW w:w="0" w:type="auto"/>
            <w:vAlign w:val="center"/>
            <w:hideMark/>
          </w:tcPr>
          <w:p w14:paraId="3FDBACDD"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8%, 10% e 12% a.a.</w:t>
            </w:r>
          </w:p>
        </w:tc>
        <w:tc>
          <w:tcPr>
            <w:tcW w:w="0" w:type="auto"/>
            <w:vAlign w:val="center"/>
            <w:hideMark/>
          </w:tcPr>
          <w:p w14:paraId="69835EC4"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Testa impacto do custo financeiro</w:t>
            </w:r>
          </w:p>
        </w:tc>
      </w:tr>
      <w:tr w:rsidR="00A3112D" w:rsidRPr="00B74E01" w14:paraId="093D7A4C" w14:textId="77777777" w:rsidTr="00050088">
        <w:trPr>
          <w:tblCellSpacing w:w="15" w:type="dxa"/>
        </w:trPr>
        <w:tc>
          <w:tcPr>
            <w:tcW w:w="0" w:type="auto"/>
            <w:vAlign w:val="center"/>
            <w:hideMark/>
          </w:tcPr>
          <w:p w14:paraId="3A427729"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OPEX</w:t>
            </w:r>
          </w:p>
        </w:tc>
        <w:tc>
          <w:tcPr>
            <w:tcW w:w="0" w:type="auto"/>
            <w:vAlign w:val="center"/>
            <w:hideMark/>
          </w:tcPr>
          <w:p w14:paraId="22E23670"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-10%, base e +10%</w:t>
            </w:r>
          </w:p>
        </w:tc>
        <w:tc>
          <w:tcPr>
            <w:tcW w:w="0" w:type="auto"/>
            <w:vAlign w:val="center"/>
            <w:hideMark/>
          </w:tcPr>
          <w:p w14:paraId="5B4F38A8"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Testa variação de custos operacionais</w:t>
            </w:r>
          </w:p>
        </w:tc>
      </w:tr>
      <w:tr w:rsidR="00A3112D" w:rsidRPr="00B74E01" w14:paraId="09EE64D0" w14:textId="77777777" w:rsidTr="00050088">
        <w:trPr>
          <w:tblCellSpacing w:w="15" w:type="dxa"/>
        </w:trPr>
        <w:tc>
          <w:tcPr>
            <w:tcW w:w="0" w:type="auto"/>
            <w:vAlign w:val="center"/>
            <w:hideMark/>
          </w:tcPr>
          <w:p w14:paraId="1689735A"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CAPEX</w:t>
            </w:r>
          </w:p>
        </w:tc>
        <w:tc>
          <w:tcPr>
            <w:tcW w:w="0" w:type="auto"/>
            <w:vAlign w:val="center"/>
            <w:hideMark/>
          </w:tcPr>
          <w:p w14:paraId="321B10F3"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-10%, base e +10%</w:t>
            </w:r>
          </w:p>
        </w:tc>
        <w:tc>
          <w:tcPr>
            <w:tcW w:w="0" w:type="auto"/>
            <w:vAlign w:val="center"/>
            <w:hideMark/>
          </w:tcPr>
          <w:p w14:paraId="5365F82B"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Testa variação do investimento inicial</w:t>
            </w:r>
          </w:p>
        </w:tc>
      </w:tr>
      <w:tr w:rsidR="00A3112D" w:rsidRPr="00B74E01" w14:paraId="570720AD" w14:textId="77777777" w:rsidTr="00050088">
        <w:trPr>
          <w:tblCellSpacing w:w="15" w:type="dxa"/>
        </w:trPr>
        <w:tc>
          <w:tcPr>
            <w:tcW w:w="0" w:type="auto"/>
            <w:vAlign w:val="center"/>
            <w:hideMark/>
          </w:tcPr>
          <w:p w14:paraId="199E3537"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Remuneração energética</w:t>
            </w:r>
          </w:p>
        </w:tc>
        <w:tc>
          <w:tcPr>
            <w:tcW w:w="0" w:type="auto"/>
            <w:vAlign w:val="center"/>
            <w:hideMark/>
          </w:tcPr>
          <w:p w14:paraId="656C348D"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-10%, base e +10%</w:t>
            </w:r>
          </w:p>
        </w:tc>
        <w:tc>
          <w:tcPr>
            <w:tcW w:w="0" w:type="auto"/>
            <w:vAlign w:val="center"/>
            <w:hideMark/>
          </w:tcPr>
          <w:p w14:paraId="0329008F"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Testa impacto na receita principal energética</w:t>
            </w:r>
          </w:p>
        </w:tc>
      </w:tr>
      <w:tr w:rsidR="00A3112D" w:rsidRPr="00B74E01" w14:paraId="23E2066F" w14:textId="77777777" w:rsidTr="00050088">
        <w:trPr>
          <w:tblCellSpacing w:w="15" w:type="dxa"/>
        </w:trPr>
        <w:tc>
          <w:tcPr>
            <w:tcW w:w="0" w:type="auto"/>
            <w:vAlign w:val="center"/>
            <w:hideMark/>
          </w:tcPr>
          <w:p w14:paraId="477D6591"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Volume efetivo processado</w:t>
            </w:r>
          </w:p>
        </w:tc>
        <w:tc>
          <w:tcPr>
            <w:tcW w:w="0" w:type="auto"/>
            <w:vAlign w:val="center"/>
            <w:hideMark/>
          </w:tcPr>
          <w:p w14:paraId="30AE388E"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70, 80 e 90 t/dia</w:t>
            </w:r>
          </w:p>
        </w:tc>
        <w:tc>
          <w:tcPr>
            <w:tcW w:w="0" w:type="auto"/>
            <w:vAlign w:val="center"/>
            <w:hideMark/>
          </w:tcPr>
          <w:p w14:paraId="26BC6100"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Testa variação operacional, preservada a quantidade mínima contratada</w:t>
            </w:r>
          </w:p>
        </w:tc>
      </w:tr>
    </w:tbl>
    <w:p w14:paraId="311D841A"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 análise deverá sempre distinguir receitas principais e receitas acessórias, pois possuem natureza de risco distinta. As receitas principais são contratuais e </w:t>
      </w:r>
      <w:proofErr w:type="spellStart"/>
      <w:r w:rsidRPr="00B74E01">
        <w:rPr>
          <w:rFonts w:eastAsia="Times New Roman" w:cs="Arial"/>
          <w:kern w:val="0"/>
          <w:lang w:eastAsia="pt-BR"/>
          <w14:ligatures w14:val="none"/>
        </w:rPr>
        <w:t>garantíveis</w:t>
      </w:r>
      <w:proofErr w:type="spellEnd"/>
      <w:r w:rsidRPr="00B74E01">
        <w:rPr>
          <w:rFonts w:eastAsia="Times New Roman" w:cs="Arial"/>
          <w:kern w:val="0"/>
          <w:lang w:eastAsia="pt-BR"/>
          <w14:ligatures w14:val="none"/>
        </w:rPr>
        <w:t>; as receitas acessórias são potenciais e sujeitas a mercado.</w:t>
      </w:r>
    </w:p>
    <w:p w14:paraId="405C0965" w14:textId="77777777" w:rsidR="00A3112D" w:rsidRPr="00B74E01" w:rsidRDefault="00A3112D" w:rsidP="00B745F4">
      <w:pPr>
        <w:pStyle w:val="Ttulo2"/>
        <w:rPr>
          <w:rFonts w:eastAsia="Times New Roman"/>
          <w:lang w:eastAsia="pt-BR"/>
        </w:rPr>
      </w:pPr>
      <w:bookmarkStart w:id="175" w:name="_Toc230204177"/>
      <w:r w:rsidRPr="00B74E01">
        <w:rPr>
          <w:rFonts w:eastAsia="Times New Roman"/>
          <w:lang w:eastAsia="pt-BR"/>
        </w:rPr>
        <w:t>14.3. Sensibilidade da tarifa de destinação de RSU</w:t>
      </w:r>
      <w:bookmarkEnd w:id="175"/>
    </w:p>
    <w:p w14:paraId="25E1376B"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 tarifa de destinação impacta diretamente a receita principal da SPE. Foram avaliados dois cenários: </w:t>
      </w:r>
      <w:r w:rsidRPr="00B74E01">
        <w:rPr>
          <w:rFonts w:eastAsia="Times New Roman" w:cs="Arial"/>
          <w:b/>
          <w:bCs/>
          <w:kern w:val="0"/>
          <w:lang w:eastAsia="pt-BR"/>
          <w14:ligatures w14:val="none"/>
        </w:rPr>
        <w:t>R$ 95/t</w:t>
      </w:r>
      <w:r w:rsidRPr="00B74E01">
        <w:rPr>
          <w:rFonts w:eastAsia="Times New Roman" w:cs="Arial"/>
          <w:kern w:val="0"/>
          <w:lang w:eastAsia="pt-BR"/>
          <w14:ligatures w14:val="none"/>
        </w:rPr>
        <w:t xml:space="preserve">, adotado como cenário-base, e </w:t>
      </w:r>
      <w:r w:rsidRPr="00B74E01">
        <w:rPr>
          <w:rFonts w:eastAsia="Times New Roman" w:cs="Arial"/>
          <w:b/>
          <w:bCs/>
          <w:kern w:val="0"/>
          <w:lang w:eastAsia="pt-BR"/>
          <w14:ligatures w14:val="none"/>
        </w:rPr>
        <w:t>R$ 140/t</w:t>
      </w:r>
      <w:r w:rsidRPr="00B74E01">
        <w:rPr>
          <w:rFonts w:eastAsia="Times New Roman" w:cs="Arial"/>
          <w:kern w:val="0"/>
          <w:lang w:eastAsia="pt-BR"/>
          <w14:ligatures w14:val="none"/>
        </w:rPr>
        <w:t>, considerado referência superior regional.</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229"/>
        <w:gridCol w:w="2353"/>
        <w:gridCol w:w="3479"/>
      </w:tblGrid>
      <w:tr w:rsidR="00A3112D" w:rsidRPr="00B74E01" w14:paraId="64C6F3EA" w14:textId="77777777" w:rsidTr="00050088">
        <w:trPr>
          <w:tblHeader/>
          <w:tblCellSpacing w:w="15" w:type="dxa"/>
        </w:trPr>
        <w:tc>
          <w:tcPr>
            <w:tcW w:w="0" w:type="auto"/>
            <w:vAlign w:val="center"/>
            <w:hideMark/>
          </w:tcPr>
          <w:p w14:paraId="4C17C189" w14:textId="77777777" w:rsidR="00A3112D" w:rsidRPr="00B74E01" w:rsidRDefault="00A3112D" w:rsidP="00B745F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lastRenderedPageBreak/>
              <w:t>Indicador</w:t>
            </w:r>
          </w:p>
        </w:tc>
        <w:tc>
          <w:tcPr>
            <w:tcW w:w="0" w:type="auto"/>
            <w:vAlign w:val="center"/>
            <w:hideMark/>
          </w:tcPr>
          <w:p w14:paraId="4668916A" w14:textId="77777777" w:rsidR="00A3112D" w:rsidRPr="00B74E01" w:rsidRDefault="00A3112D" w:rsidP="00B745F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Cenário-base — R$ 95/t</w:t>
            </w:r>
          </w:p>
        </w:tc>
        <w:tc>
          <w:tcPr>
            <w:tcW w:w="0" w:type="auto"/>
            <w:vAlign w:val="center"/>
            <w:hideMark/>
          </w:tcPr>
          <w:p w14:paraId="349F77E2" w14:textId="77777777" w:rsidR="00A3112D" w:rsidRPr="00B74E01" w:rsidRDefault="00A3112D" w:rsidP="00B745F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Cenário superior regional — R$ 140/t</w:t>
            </w:r>
          </w:p>
        </w:tc>
      </w:tr>
      <w:tr w:rsidR="00A3112D" w:rsidRPr="00B74E01" w14:paraId="374A8C40" w14:textId="77777777" w:rsidTr="00050088">
        <w:trPr>
          <w:tblCellSpacing w:w="15" w:type="dxa"/>
        </w:trPr>
        <w:tc>
          <w:tcPr>
            <w:tcW w:w="0" w:type="auto"/>
            <w:vAlign w:val="center"/>
            <w:hideMark/>
          </w:tcPr>
          <w:p w14:paraId="3F88378B"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 mensal de destinação</w:t>
            </w:r>
          </w:p>
        </w:tc>
        <w:tc>
          <w:tcPr>
            <w:tcW w:w="0" w:type="auto"/>
            <w:vAlign w:val="center"/>
            <w:hideMark/>
          </w:tcPr>
          <w:p w14:paraId="67C799AC"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R$ 231.166,67</w:t>
            </w:r>
          </w:p>
        </w:tc>
        <w:tc>
          <w:tcPr>
            <w:tcW w:w="0" w:type="auto"/>
            <w:vAlign w:val="center"/>
            <w:hideMark/>
          </w:tcPr>
          <w:p w14:paraId="6F5F54F1"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R$ 340.666,67</w:t>
            </w:r>
          </w:p>
        </w:tc>
      </w:tr>
      <w:tr w:rsidR="00A3112D" w:rsidRPr="00B74E01" w14:paraId="0DA5915E" w14:textId="77777777" w:rsidTr="00050088">
        <w:trPr>
          <w:tblCellSpacing w:w="15" w:type="dxa"/>
        </w:trPr>
        <w:tc>
          <w:tcPr>
            <w:tcW w:w="0" w:type="auto"/>
            <w:vAlign w:val="center"/>
            <w:hideMark/>
          </w:tcPr>
          <w:p w14:paraId="41F33FE7"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 principal mensal total</w:t>
            </w:r>
          </w:p>
        </w:tc>
        <w:tc>
          <w:tcPr>
            <w:tcW w:w="0" w:type="auto"/>
            <w:vAlign w:val="center"/>
            <w:hideMark/>
          </w:tcPr>
          <w:p w14:paraId="2BE753CA"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R$ 700.077,09</w:t>
            </w:r>
          </w:p>
        </w:tc>
        <w:tc>
          <w:tcPr>
            <w:tcW w:w="0" w:type="auto"/>
            <w:vAlign w:val="center"/>
            <w:hideMark/>
          </w:tcPr>
          <w:p w14:paraId="6486422C"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R$ 809.577,09</w:t>
            </w:r>
          </w:p>
        </w:tc>
      </w:tr>
      <w:tr w:rsidR="00A3112D" w:rsidRPr="00B74E01" w14:paraId="7768B6D3" w14:textId="77777777" w:rsidTr="00050088">
        <w:trPr>
          <w:tblCellSpacing w:w="15" w:type="dxa"/>
        </w:trPr>
        <w:tc>
          <w:tcPr>
            <w:tcW w:w="0" w:type="auto"/>
            <w:vAlign w:val="center"/>
            <w:hideMark/>
          </w:tcPr>
          <w:p w14:paraId="23C66E89"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 operacional líquida principal</w:t>
            </w:r>
          </w:p>
        </w:tc>
        <w:tc>
          <w:tcPr>
            <w:tcW w:w="0" w:type="auto"/>
            <w:vAlign w:val="center"/>
            <w:hideMark/>
          </w:tcPr>
          <w:p w14:paraId="0E8B37C4"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R$ 633.102,77</w:t>
            </w:r>
          </w:p>
        </w:tc>
        <w:tc>
          <w:tcPr>
            <w:tcW w:w="0" w:type="auto"/>
            <w:vAlign w:val="center"/>
            <w:hideMark/>
          </w:tcPr>
          <w:p w14:paraId="0DE72450"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R$ 730.284,02</w:t>
            </w:r>
          </w:p>
        </w:tc>
      </w:tr>
      <w:tr w:rsidR="00A3112D" w:rsidRPr="00B74E01" w14:paraId="3B7CBEE0" w14:textId="77777777" w:rsidTr="00050088">
        <w:trPr>
          <w:tblCellSpacing w:w="15" w:type="dxa"/>
        </w:trPr>
        <w:tc>
          <w:tcPr>
            <w:tcW w:w="0" w:type="auto"/>
            <w:vAlign w:val="center"/>
            <w:hideMark/>
          </w:tcPr>
          <w:p w14:paraId="073AAB7A"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EBITDA sem receitas acessórias</w:t>
            </w:r>
          </w:p>
        </w:tc>
        <w:tc>
          <w:tcPr>
            <w:tcW w:w="0" w:type="auto"/>
            <w:vAlign w:val="center"/>
            <w:hideMark/>
          </w:tcPr>
          <w:p w14:paraId="70D10D4E"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R$ 314.606,70</w:t>
            </w:r>
          </w:p>
        </w:tc>
        <w:tc>
          <w:tcPr>
            <w:tcW w:w="0" w:type="auto"/>
            <w:vAlign w:val="center"/>
            <w:hideMark/>
          </w:tcPr>
          <w:p w14:paraId="1EF86D10"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R$ 411.787,95</w:t>
            </w:r>
          </w:p>
        </w:tc>
      </w:tr>
      <w:tr w:rsidR="00A3112D" w:rsidRPr="00B74E01" w14:paraId="14AAF91B" w14:textId="77777777" w:rsidTr="00050088">
        <w:trPr>
          <w:tblCellSpacing w:w="15" w:type="dxa"/>
        </w:trPr>
        <w:tc>
          <w:tcPr>
            <w:tcW w:w="0" w:type="auto"/>
            <w:vAlign w:val="center"/>
            <w:hideMark/>
          </w:tcPr>
          <w:p w14:paraId="3BB37CD4"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Serviço da dívida após carência</w:t>
            </w:r>
          </w:p>
        </w:tc>
        <w:tc>
          <w:tcPr>
            <w:tcW w:w="0" w:type="auto"/>
            <w:vAlign w:val="center"/>
            <w:hideMark/>
          </w:tcPr>
          <w:p w14:paraId="6FC8A89B"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R$ 280.892,95</w:t>
            </w:r>
          </w:p>
        </w:tc>
        <w:tc>
          <w:tcPr>
            <w:tcW w:w="0" w:type="auto"/>
            <w:vAlign w:val="center"/>
            <w:hideMark/>
          </w:tcPr>
          <w:p w14:paraId="7FF9291B"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R$ 280.892,95</w:t>
            </w:r>
          </w:p>
        </w:tc>
      </w:tr>
      <w:tr w:rsidR="00A3112D" w:rsidRPr="00B74E01" w14:paraId="7FE832F0" w14:textId="77777777" w:rsidTr="00050088">
        <w:trPr>
          <w:tblCellSpacing w:w="15" w:type="dxa"/>
        </w:trPr>
        <w:tc>
          <w:tcPr>
            <w:tcW w:w="0" w:type="auto"/>
            <w:vAlign w:val="center"/>
            <w:hideMark/>
          </w:tcPr>
          <w:p w14:paraId="7E2343DE"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Sobra mensal após dívida</w:t>
            </w:r>
          </w:p>
        </w:tc>
        <w:tc>
          <w:tcPr>
            <w:tcW w:w="0" w:type="auto"/>
            <w:vAlign w:val="center"/>
            <w:hideMark/>
          </w:tcPr>
          <w:p w14:paraId="29EF8B4B"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R$ 33.713,75</w:t>
            </w:r>
          </w:p>
        </w:tc>
        <w:tc>
          <w:tcPr>
            <w:tcW w:w="0" w:type="auto"/>
            <w:vAlign w:val="center"/>
            <w:hideMark/>
          </w:tcPr>
          <w:p w14:paraId="65BF8899"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R$ 130.895,00</w:t>
            </w:r>
          </w:p>
        </w:tc>
      </w:tr>
      <w:tr w:rsidR="00A3112D" w:rsidRPr="00B74E01" w14:paraId="61456E1A" w14:textId="77777777" w:rsidTr="00050088">
        <w:trPr>
          <w:tblCellSpacing w:w="15" w:type="dxa"/>
        </w:trPr>
        <w:tc>
          <w:tcPr>
            <w:tcW w:w="0" w:type="auto"/>
            <w:vAlign w:val="center"/>
            <w:hideMark/>
          </w:tcPr>
          <w:p w14:paraId="09F72DD5"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DSCR após carência</w:t>
            </w:r>
          </w:p>
        </w:tc>
        <w:tc>
          <w:tcPr>
            <w:tcW w:w="0" w:type="auto"/>
            <w:vAlign w:val="center"/>
            <w:hideMark/>
          </w:tcPr>
          <w:p w14:paraId="6AA5F59B"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1,12x</w:t>
            </w:r>
          </w:p>
        </w:tc>
        <w:tc>
          <w:tcPr>
            <w:tcW w:w="0" w:type="auto"/>
            <w:vAlign w:val="center"/>
            <w:hideMark/>
          </w:tcPr>
          <w:p w14:paraId="7BCC221B"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1,47x</w:t>
            </w:r>
          </w:p>
        </w:tc>
      </w:tr>
    </w:tbl>
    <w:p w14:paraId="3F9DC4DF"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 tarifa de </w:t>
      </w:r>
      <w:r w:rsidRPr="00B74E01">
        <w:rPr>
          <w:rFonts w:eastAsia="Times New Roman" w:cs="Arial"/>
          <w:b/>
          <w:bCs/>
          <w:kern w:val="0"/>
          <w:lang w:eastAsia="pt-BR"/>
          <w14:ligatures w14:val="none"/>
        </w:rPr>
        <w:t>R$ 140/t</w:t>
      </w:r>
      <w:r w:rsidRPr="00B74E01">
        <w:rPr>
          <w:rFonts w:eastAsia="Times New Roman" w:cs="Arial"/>
          <w:kern w:val="0"/>
          <w:lang w:eastAsia="pt-BR"/>
          <w14:ligatures w14:val="none"/>
        </w:rPr>
        <w:t xml:space="preserve"> melhora substancialmente a robustez da SPE, mas deve ser tratada como cenário de sensibilidade e referência regional, não como substituto automático do cenário-base.</w:t>
      </w:r>
    </w:p>
    <w:p w14:paraId="2296684B"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Do ponto de vista municipal, a tarifa de </w:t>
      </w:r>
      <w:r w:rsidRPr="00B74E01">
        <w:rPr>
          <w:rFonts w:eastAsia="Times New Roman" w:cs="Arial"/>
          <w:b/>
          <w:bCs/>
          <w:kern w:val="0"/>
          <w:lang w:eastAsia="pt-BR"/>
          <w14:ligatures w14:val="none"/>
        </w:rPr>
        <w:t>R$ 95/t</w:t>
      </w:r>
      <w:r w:rsidRPr="00B74E01">
        <w:rPr>
          <w:rFonts w:eastAsia="Times New Roman" w:cs="Arial"/>
          <w:kern w:val="0"/>
          <w:lang w:eastAsia="pt-BR"/>
          <w14:ligatures w14:val="none"/>
        </w:rPr>
        <w:t xml:space="preserve"> é mais vantajosa, pois permite que a economia energética cubra integralmente o custo da destinação do RSU e ainda gere saldo positivo. A tarifa de </w:t>
      </w:r>
      <w:r w:rsidRPr="00B74E01">
        <w:rPr>
          <w:rFonts w:eastAsia="Times New Roman" w:cs="Arial"/>
          <w:b/>
          <w:bCs/>
          <w:kern w:val="0"/>
          <w:lang w:eastAsia="pt-BR"/>
          <w14:ligatures w14:val="none"/>
        </w:rPr>
        <w:t>R$ 140/t</w:t>
      </w:r>
      <w:r w:rsidRPr="00B74E01">
        <w:rPr>
          <w:rFonts w:eastAsia="Times New Roman" w:cs="Arial"/>
          <w:kern w:val="0"/>
          <w:lang w:eastAsia="pt-BR"/>
          <w14:ligatures w14:val="none"/>
        </w:rPr>
        <w:t xml:space="preserve"> melhora a posição financeira da SPE, mas reduz a vantagem líquida direta ao Município.</w:t>
      </w:r>
    </w:p>
    <w:p w14:paraId="4F0EF833" w14:textId="77777777" w:rsidR="00A3112D" w:rsidRPr="00B74E01" w:rsidRDefault="00A3112D" w:rsidP="00B745F4">
      <w:pPr>
        <w:pStyle w:val="Ttulo2"/>
        <w:rPr>
          <w:rFonts w:eastAsia="Times New Roman"/>
          <w:lang w:eastAsia="pt-BR"/>
        </w:rPr>
      </w:pPr>
      <w:bookmarkStart w:id="176" w:name="_Toc230204178"/>
      <w:r w:rsidRPr="00B74E01">
        <w:rPr>
          <w:rFonts w:eastAsia="Times New Roman"/>
          <w:lang w:eastAsia="pt-BR"/>
        </w:rPr>
        <w:t>14.4. Sensibilidade das receitas acessórias</w:t>
      </w:r>
      <w:bookmarkEnd w:id="176"/>
    </w:p>
    <w:p w14:paraId="0C54AB0D"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As receitas acessórias possuem forte impacto sobre o resultado da SPE. Por isso, é necessário testar diferentes níveis de realização.</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428"/>
        <w:gridCol w:w="1634"/>
        <w:gridCol w:w="2246"/>
        <w:gridCol w:w="1977"/>
        <w:gridCol w:w="776"/>
      </w:tblGrid>
      <w:tr w:rsidR="00A3112D" w:rsidRPr="00B74E01" w14:paraId="5377420E" w14:textId="77777777" w:rsidTr="00050088">
        <w:trPr>
          <w:tblHeader/>
          <w:tblCellSpacing w:w="15" w:type="dxa"/>
        </w:trPr>
        <w:tc>
          <w:tcPr>
            <w:tcW w:w="0" w:type="auto"/>
            <w:vAlign w:val="center"/>
            <w:hideMark/>
          </w:tcPr>
          <w:p w14:paraId="2732C221" w14:textId="77777777" w:rsidR="00A3112D" w:rsidRPr="00B74E01" w:rsidRDefault="00A3112D" w:rsidP="00B745F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lastRenderedPageBreak/>
              <w:t>Realização das receitas acessórias</w:t>
            </w:r>
          </w:p>
        </w:tc>
        <w:tc>
          <w:tcPr>
            <w:tcW w:w="0" w:type="auto"/>
            <w:vAlign w:val="center"/>
            <w:hideMark/>
          </w:tcPr>
          <w:p w14:paraId="614E2C80" w14:textId="77777777" w:rsidR="00A3112D" w:rsidRPr="00B74E01" w:rsidRDefault="00A3112D" w:rsidP="00B745F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EBITDA mensal</w:t>
            </w:r>
          </w:p>
        </w:tc>
        <w:tc>
          <w:tcPr>
            <w:tcW w:w="0" w:type="auto"/>
            <w:vAlign w:val="center"/>
            <w:hideMark/>
          </w:tcPr>
          <w:p w14:paraId="0F0E1367" w14:textId="77777777" w:rsidR="00A3112D" w:rsidRPr="00B74E01" w:rsidRDefault="00A3112D" w:rsidP="00B745F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Serviço da dívida após carência</w:t>
            </w:r>
          </w:p>
        </w:tc>
        <w:tc>
          <w:tcPr>
            <w:tcW w:w="0" w:type="auto"/>
            <w:vAlign w:val="center"/>
            <w:hideMark/>
          </w:tcPr>
          <w:p w14:paraId="2A0B1549" w14:textId="77777777" w:rsidR="00A3112D" w:rsidRPr="00B74E01" w:rsidRDefault="00A3112D" w:rsidP="00B745F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Sobra mensal após dívida</w:t>
            </w:r>
          </w:p>
        </w:tc>
        <w:tc>
          <w:tcPr>
            <w:tcW w:w="0" w:type="auto"/>
            <w:vAlign w:val="center"/>
            <w:hideMark/>
          </w:tcPr>
          <w:p w14:paraId="063C5436" w14:textId="77777777" w:rsidR="00A3112D" w:rsidRPr="00B74E01" w:rsidRDefault="00A3112D" w:rsidP="00B745F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DSCR</w:t>
            </w:r>
          </w:p>
        </w:tc>
      </w:tr>
      <w:tr w:rsidR="00A3112D" w:rsidRPr="00B74E01" w14:paraId="2EA77AA5" w14:textId="77777777" w:rsidTr="00050088">
        <w:trPr>
          <w:tblCellSpacing w:w="15" w:type="dxa"/>
        </w:trPr>
        <w:tc>
          <w:tcPr>
            <w:tcW w:w="0" w:type="auto"/>
            <w:vAlign w:val="center"/>
            <w:hideMark/>
          </w:tcPr>
          <w:p w14:paraId="212DF3E5"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0%</w:t>
            </w:r>
          </w:p>
        </w:tc>
        <w:tc>
          <w:tcPr>
            <w:tcW w:w="0" w:type="auto"/>
            <w:vAlign w:val="center"/>
            <w:hideMark/>
          </w:tcPr>
          <w:p w14:paraId="7AF265BD"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R$ 314.606,70</w:t>
            </w:r>
          </w:p>
        </w:tc>
        <w:tc>
          <w:tcPr>
            <w:tcW w:w="0" w:type="auto"/>
            <w:vAlign w:val="center"/>
            <w:hideMark/>
          </w:tcPr>
          <w:p w14:paraId="403603CA"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R$ 280.892,95</w:t>
            </w:r>
          </w:p>
        </w:tc>
        <w:tc>
          <w:tcPr>
            <w:tcW w:w="0" w:type="auto"/>
            <w:vAlign w:val="center"/>
            <w:hideMark/>
          </w:tcPr>
          <w:p w14:paraId="733C273C"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R$ 33.713,75</w:t>
            </w:r>
          </w:p>
        </w:tc>
        <w:tc>
          <w:tcPr>
            <w:tcW w:w="0" w:type="auto"/>
            <w:vAlign w:val="center"/>
            <w:hideMark/>
          </w:tcPr>
          <w:p w14:paraId="65BA143E"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1,12x</w:t>
            </w:r>
          </w:p>
        </w:tc>
      </w:tr>
      <w:tr w:rsidR="00A3112D" w:rsidRPr="00B74E01" w14:paraId="630FEF03" w14:textId="77777777" w:rsidTr="00050088">
        <w:trPr>
          <w:tblCellSpacing w:w="15" w:type="dxa"/>
        </w:trPr>
        <w:tc>
          <w:tcPr>
            <w:tcW w:w="0" w:type="auto"/>
            <w:vAlign w:val="center"/>
            <w:hideMark/>
          </w:tcPr>
          <w:p w14:paraId="6A18E9E6"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50%</w:t>
            </w:r>
          </w:p>
        </w:tc>
        <w:tc>
          <w:tcPr>
            <w:tcW w:w="0" w:type="auto"/>
            <w:vAlign w:val="center"/>
            <w:hideMark/>
          </w:tcPr>
          <w:p w14:paraId="58D21437"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R$ 710.849,23</w:t>
            </w:r>
          </w:p>
        </w:tc>
        <w:tc>
          <w:tcPr>
            <w:tcW w:w="0" w:type="auto"/>
            <w:vAlign w:val="center"/>
            <w:hideMark/>
          </w:tcPr>
          <w:p w14:paraId="0E5E5EE5"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R$ 280.892,95</w:t>
            </w:r>
          </w:p>
        </w:tc>
        <w:tc>
          <w:tcPr>
            <w:tcW w:w="0" w:type="auto"/>
            <w:vAlign w:val="center"/>
            <w:hideMark/>
          </w:tcPr>
          <w:p w14:paraId="556B33A8"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R$ 429.956,28</w:t>
            </w:r>
          </w:p>
        </w:tc>
        <w:tc>
          <w:tcPr>
            <w:tcW w:w="0" w:type="auto"/>
            <w:vAlign w:val="center"/>
            <w:hideMark/>
          </w:tcPr>
          <w:p w14:paraId="0CA9A447"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2,53x</w:t>
            </w:r>
          </w:p>
        </w:tc>
      </w:tr>
      <w:tr w:rsidR="00A3112D" w:rsidRPr="00B74E01" w14:paraId="0BBBF78D" w14:textId="77777777" w:rsidTr="00050088">
        <w:trPr>
          <w:tblCellSpacing w:w="15" w:type="dxa"/>
        </w:trPr>
        <w:tc>
          <w:tcPr>
            <w:tcW w:w="0" w:type="auto"/>
            <w:vAlign w:val="center"/>
            <w:hideMark/>
          </w:tcPr>
          <w:p w14:paraId="75514145"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75%</w:t>
            </w:r>
          </w:p>
        </w:tc>
        <w:tc>
          <w:tcPr>
            <w:tcW w:w="0" w:type="auto"/>
            <w:vAlign w:val="center"/>
            <w:hideMark/>
          </w:tcPr>
          <w:p w14:paraId="4941E595"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R$ 908.970,49</w:t>
            </w:r>
          </w:p>
        </w:tc>
        <w:tc>
          <w:tcPr>
            <w:tcW w:w="0" w:type="auto"/>
            <w:vAlign w:val="center"/>
            <w:hideMark/>
          </w:tcPr>
          <w:p w14:paraId="0011662A"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R$ 280.892,95</w:t>
            </w:r>
          </w:p>
        </w:tc>
        <w:tc>
          <w:tcPr>
            <w:tcW w:w="0" w:type="auto"/>
            <w:vAlign w:val="center"/>
            <w:hideMark/>
          </w:tcPr>
          <w:p w14:paraId="3689155A"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R$ 628.077,54</w:t>
            </w:r>
          </w:p>
        </w:tc>
        <w:tc>
          <w:tcPr>
            <w:tcW w:w="0" w:type="auto"/>
            <w:vAlign w:val="center"/>
            <w:hideMark/>
          </w:tcPr>
          <w:p w14:paraId="4404EB19"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3,24x</w:t>
            </w:r>
          </w:p>
        </w:tc>
      </w:tr>
      <w:tr w:rsidR="00A3112D" w:rsidRPr="00B74E01" w14:paraId="00D23D86" w14:textId="77777777" w:rsidTr="00050088">
        <w:trPr>
          <w:tblCellSpacing w:w="15" w:type="dxa"/>
        </w:trPr>
        <w:tc>
          <w:tcPr>
            <w:tcW w:w="0" w:type="auto"/>
            <w:vAlign w:val="center"/>
            <w:hideMark/>
          </w:tcPr>
          <w:p w14:paraId="45148B0E"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100%</w:t>
            </w:r>
          </w:p>
        </w:tc>
        <w:tc>
          <w:tcPr>
            <w:tcW w:w="0" w:type="auto"/>
            <w:vAlign w:val="center"/>
            <w:hideMark/>
          </w:tcPr>
          <w:p w14:paraId="40275FB8"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R$ 1.107.091,76</w:t>
            </w:r>
          </w:p>
        </w:tc>
        <w:tc>
          <w:tcPr>
            <w:tcW w:w="0" w:type="auto"/>
            <w:vAlign w:val="center"/>
            <w:hideMark/>
          </w:tcPr>
          <w:p w14:paraId="418FE232"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R$ 280.892,95</w:t>
            </w:r>
          </w:p>
        </w:tc>
        <w:tc>
          <w:tcPr>
            <w:tcW w:w="0" w:type="auto"/>
            <w:vAlign w:val="center"/>
            <w:hideMark/>
          </w:tcPr>
          <w:p w14:paraId="47E57586"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R$ 826.198,81</w:t>
            </w:r>
          </w:p>
        </w:tc>
        <w:tc>
          <w:tcPr>
            <w:tcW w:w="0" w:type="auto"/>
            <w:vAlign w:val="center"/>
            <w:hideMark/>
          </w:tcPr>
          <w:p w14:paraId="48DA7BF5"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3,94x</w:t>
            </w:r>
          </w:p>
        </w:tc>
      </w:tr>
    </w:tbl>
    <w:p w14:paraId="1C8EF727"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operação permanece positiva mesmo sem receitas acessórias, mas com margem restrita. A realização parcial ou integral dessas receitas melhora fortemente a cobertura da dívida e a atratividade do projeto.</w:t>
      </w:r>
    </w:p>
    <w:p w14:paraId="33AC52DC"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conclusão técnica é que as receitas acessórias fortalecem a PPP, mas não devem ser tratadas como garantia pública nem como premissa única de viabilidade.</w:t>
      </w:r>
    </w:p>
    <w:p w14:paraId="3EE97DC0" w14:textId="77777777" w:rsidR="00A3112D" w:rsidRPr="00B74E01" w:rsidRDefault="00A3112D" w:rsidP="00B745F4">
      <w:pPr>
        <w:pStyle w:val="Ttulo2"/>
        <w:rPr>
          <w:rFonts w:eastAsia="Times New Roman"/>
          <w:lang w:eastAsia="pt-BR"/>
        </w:rPr>
      </w:pPr>
      <w:bookmarkStart w:id="177" w:name="_Toc230204179"/>
      <w:r w:rsidRPr="00B74E01">
        <w:rPr>
          <w:rFonts w:eastAsia="Times New Roman"/>
          <w:lang w:eastAsia="pt-BR"/>
        </w:rPr>
        <w:t>14.5. Sensibilidade da taxa de juros</w:t>
      </w:r>
      <w:bookmarkEnd w:id="177"/>
    </w:p>
    <w:p w14:paraId="1E8A1421"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taxa de juros afeta diretamente o serviço da dívida e, consequentemente, o DSCR.</w:t>
      </w:r>
    </w:p>
    <w:p w14:paraId="3233069D"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Foram considerados três cenários: </w:t>
      </w:r>
      <w:r w:rsidRPr="00B74E01">
        <w:rPr>
          <w:rFonts w:eastAsia="Times New Roman" w:cs="Arial"/>
          <w:b/>
          <w:bCs/>
          <w:kern w:val="0"/>
          <w:lang w:eastAsia="pt-BR"/>
          <w14:ligatures w14:val="none"/>
        </w:rPr>
        <w:t>8%, 10% e 12% a.a.</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759"/>
        <w:gridCol w:w="1104"/>
        <w:gridCol w:w="1413"/>
        <w:gridCol w:w="1411"/>
        <w:gridCol w:w="1398"/>
        <w:gridCol w:w="1562"/>
        <w:gridCol w:w="1414"/>
      </w:tblGrid>
      <w:tr w:rsidR="00A3112D" w:rsidRPr="00B74E01" w14:paraId="0D942F9F" w14:textId="77777777" w:rsidTr="00050088">
        <w:trPr>
          <w:tblHeader/>
          <w:tblCellSpacing w:w="15" w:type="dxa"/>
        </w:trPr>
        <w:tc>
          <w:tcPr>
            <w:tcW w:w="0" w:type="auto"/>
            <w:vAlign w:val="center"/>
            <w:hideMark/>
          </w:tcPr>
          <w:p w14:paraId="6A917998" w14:textId="77777777" w:rsidR="00A3112D" w:rsidRPr="00B74E01" w:rsidRDefault="00A3112D" w:rsidP="00B745F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Taxa anual</w:t>
            </w:r>
          </w:p>
        </w:tc>
        <w:tc>
          <w:tcPr>
            <w:tcW w:w="0" w:type="auto"/>
            <w:vAlign w:val="center"/>
            <w:hideMark/>
          </w:tcPr>
          <w:p w14:paraId="69F29DC6" w14:textId="77777777" w:rsidR="00A3112D" w:rsidRPr="00B74E01" w:rsidRDefault="00A3112D" w:rsidP="00B745F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Taxa mensal aprox.</w:t>
            </w:r>
          </w:p>
        </w:tc>
        <w:tc>
          <w:tcPr>
            <w:tcW w:w="0" w:type="auto"/>
            <w:vAlign w:val="center"/>
            <w:hideMark/>
          </w:tcPr>
          <w:p w14:paraId="1B9BA1CE" w14:textId="77777777" w:rsidR="00A3112D" w:rsidRPr="00B74E01" w:rsidRDefault="00A3112D" w:rsidP="00B745F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Serviço mensal após carência</w:t>
            </w:r>
          </w:p>
        </w:tc>
        <w:tc>
          <w:tcPr>
            <w:tcW w:w="0" w:type="auto"/>
            <w:vAlign w:val="center"/>
            <w:hideMark/>
          </w:tcPr>
          <w:p w14:paraId="3C9B0C64" w14:textId="77777777" w:rsidR="00A3112D" w:rsidRPr="00B74E01" w:rsidRDefault="00A3112D" w:rsidP="00B745F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EBITDA sem acessórias</w:t>
            </w:r>
          </w:p>
        </w:tc>
        <w:tc>
          <w:tcPr>
            <w:tcW w:w="0" w:type="auto"/>
            <w:vAlign w:val="center"/>
            <w:hideMark/>
          </w:tcPr>
          <w:p w14:paraId="233726C8" w14:textId="77777777" w:rsidR="00A3112D" w:rsidRPr="00B74E01" w:rsidRDefault="00A3112D" w:rsidP="00B745F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DSCR sem acessórias</w:t>
            </w:r>
          </w:p>
        </w:tc>
        <w:tc>
          <w:tcPr>
            <w:tcW w:w="0" w:type="auto"/>
            <w:vAlign w:val="center"/>
            <w:hideMark/>
          </w:tcPr>
          <w:p w14:paraId="15D780F4" w14:textId="77777777" w:rsidR="00A3112D" w:rsidRPr="00B74E01" w:rsidRDefault="00A3112D" w:rsidP="00B745F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EBITDA com acessórias</w:t>
            </w:r>
          </w:p>
        </w:tc>
        <w:tc>
          <w:tcPr>
            <w:tcW w:w="0" w:type="auto"/>
            <w:vAlign w:val="center"/>
            <w:hideMark/>
          </w:tcPr>
          <w:p w14:paraId="077AD042" w14:textId="77777777" w:rsidR="00A3112D" w:rsidRPr="00B74E01" w:rsidRDefault="00A3112D" w:rsidP="00B745F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DSCR com acessórias</w:t>
            </w:r>
          </w:p>
        </w:tc>
      </w:tr>
      <w:tr w:rsidR="00A3112D" w:rsidRPr="00B74E01" w14:paraId="1C634C58" w14:textId="77777777" w:rsidTr="00050088">
        <w:trPr>
          <w:tblCellSpacing w:w="15" w:type="dxa"/>
        </w:trPr>
        <w:tc>
          <w:tcPr>
            <w:tcW w:w="0" w:type="auto"/>
            <w:vAlign w:val="center"/>
            <w:hideMark/>
          </w:tcPr>
          <w:p w14:paraId="08F3B0B8"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8% a.a.</w:t>
            </w:r>
          </w:p>
        </w:tc>
        <w:tc>
          <w:tcPr>
            <w:tcW w:w="0" w:type="auto"/>
            <w:vAlign w:val="center"/>
            <w:hideMark/>
          </w:tcPr>
          <w:p w14:paraId="07CF410A"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0,6434% a.m.</w:t>
            </w:r>
          </w:p>
        </w:tc>
        <w:tc>
          <w:tcPr>
            <w:tcW w:w="0" w:type="auto"/>
            <w:vAlign w:val="center"/>
            <w:hideMark/>
          </w:tcPr>
          <w:p w14:paraId="34FEC6F8"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R$ 244.365,00</w:t>
            </w:r>
          </w:p>
        </w:tc>
        <w:tc>
          <w:tcPr>
            <w:tcW w:w="0" w:type="auto"/>
            <w:vAlign w:val="center"/>
            <w:hideMark/>
          </w:tcPr>
          <w:p w14:paraId="2D23E39F"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R$ 314.606,70</w:t>
            </w:r>
          </w:p>
        </w:tc>
        <w:tc>
          <w:tcPr>
            <w:tcW w:w="0" w:type="auto"/>
            <w:vAlign w:val="center"/>
            <w:hideMark/>
          </w:tcPr>
          <w:p w14:paraId="54E02832"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1,29x</w:t>
            </w:r>
          </w:p>
        </w:tc>
        <w:tc>
          <w:tcPr>
            <w:tcW w:w="0" w:type="auto"/>
            <w:vAlign w:val="center"/>
            <w:hideMark/>
          </w:tcPr>
          <w:p w14:paraId="3672F369"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R$ 1.107.091,76</w:t>
            </w:r>
          </w:p>
        </w:tc>
        <w:tc>
          <w:tcPr>
            <w:tcW w:w="0" w:type="auto"/>
            <w:vAlign w:val="center"/>
            <w:hideMark/>
          </w:tcPr>
          <w:p w14:paraId="72F0D689"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4,53x</w:t>
            </w:r>
          </w:p>
        </w:tc>
      </w:tr>
      <w:tr w:rsidR="00A3112D" w:rsidRPr="00B74E01" w14:paraId="1CED2AD7" w14:textId="77777777" w:rsidTr="00050088">
        <w:trPr>
          <w:tblCellSpacing w:w="15" w:type="dxa"/>
        </w:trPr>
        <w:tc>
          <w:tcPr>
            <w:tcW w:w="0" w:type="auto"/>
            <w:vAlign w:val="center"/>
            <w:hideMark/>
          </w:tcPr>
          <w:p w14:paraId="28748823"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10% a.a.</w:t>
            </w:r>
          </w:p>
        </w:tc>
        <w:tc>
          <w:tcPr>
            <w:tcW w:w="0" w:type="auto"/>
            <w:vAlign w:val="center"/>
            <w:hideMark/>
          </w:tcPr>
          <w:p w14:paraId="19977B16"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0,7974% a.m.</w:t>
            </w:r>
          </w:p>
        </w:tc>
        <w:tc>
          <w:tcPr>
            <w:tcW w:w="0" w:type="auto"/>
            <w:vAlign w:val="center"/>
            <w:hideMark/>
          </w:tcPr>
          <w:p w14:paraId="6359C2B2"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R$ 280.892,95</w:t>
            </w:r>
          </w:p>
        </w:tc>
        <w:tc>
          <w:tcPr>
            <w:tcW w:w="0" w:type="auto"/>
            <w:vAlign w:val="center"/>
            <w:hideMark/>
          </w:tcPr>
          <w:p w14:paraId="058F205A"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R$ 314.606,70</w:t>
            </w:r>
          </w:p>
        </w:tc>
        <w:tc>
          <w:tcPr>
            <w:tcW w:w="0" w:type="auto"/>
            <w:vAlign w:val="center"/>
            <w:hideMark/>
          </w:tcPr>
          <w:p w14:paraId="5ED8CF92"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1,12x</w:t>
            </w:r>
          </w:p>
        </w:tc>
        <w:tc>
          <w:tcPr>
            <w:tcW w:w="0" w:type="auto"/>
            <w:vAlign w:val="center"/>
            <w:hideMark/>
          </w:tcPr>
          <w:p w14:paraId="3E9FFAB1"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R$ 1.107.091,76</w:t>
            </w:r>
          </w:p>
        </w:tc>
        <w:tc>
          <w:tcPr>
            <w:tcW w:w="0" w:type="auto"/>
            <w:vAlign w:val="center"/>
            <w:hideMark/>
          </w:tcPr>
          <w:p w14:paraId="1A612C4C"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3,94x</w:t>
            </w:r>
          </w:p>
        </w:tc>
      </w:tr>
      <w:tr w:rsidR="00A3112D" w:rsidRPr="00B74E01" w14:paraId="1EF2A2FE" w14:textId="77777777" w:rsidTr="00050088">
        <w:trPr>
          <w:tblCellSpacing w:w="15" w:type="dxa"/>
        </w:trPr>
        <w:tc>
          <w:tcPr>
            <w:tcW w:w="0" w:type="auto"/>
            <w:vAlign w:val="center"/>
            <w:hideMark/>
          </w:tcPr>
          <w:p w14:paraId="51913BAB"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lastRenderedPageBreak/>
              <w:t>12% a.a.</w:t>
            </w:r>
          </w:p>
        </w:tc>
        <w:tc>
          <w:tcPr>
            <w:tcW w:w="0" w:type="auto"/>
            <w:vAlign w:val="center"/>
            <w:hideMark/>
          </w:tcPr>
          <w:p w14:paraId="4BAAE67D"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0,9489% a.m.</w:t>
            </w:r>
          </w:p>
        </w:tc>
        <w:tc>
          <w:tcPr>
            <w:tcW w:w="0" w:type="auto"/>
            <w:vAlign w:val="center"/>
            <w:hideMark/>
          </w:tcPr>
          <w:p w14:paraId="76591B4E"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R$ 318.248,00</w:t>
            </w:r>
          </w:p>
        </w:tc>
        <w:tc>
          <w:tcPr>
            <w:tcW w:w="0" w:type="auto"/>
            <w:vAlign w:val="center"/>
            <w:hideMark/>
          </w:tcPr>
          <w:p w14:paraId="53796DA1"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R$ 314.606,70</w:t>
            </w:r>
          </w:p>
        </w:tc>
        <w:tc>
          <w:tcPr>
            <w:tcW w:w="0" w:type="auto"/>
            <w:vAlign w:val="center"/>
            <w:hideMark/>
          </w:tcPr>
          <w:p w14:paraId="746FA1B6"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0,99x</w:t>
            </w:r>
          </w:p>
        </w:tc>
        <w:tc>
          <w:tcPr>
            <w:tcW w:w="0" w:type="auto"/>
            <w:vAlign w:val="center"/>
            <w:hideMark/>
          </w:tcPr>
          <w:p w14:paraId="799BB65B"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R$ 1.107.091,76</w:t>
            </w:r>
          </w:p>
        </w:tc>
        <w:tc>
          <w:tcPr>
            <w:tcW w:w="0" w:type="auto"/>
            <w:vAlign w:val="center"/>
            <w:hideMark/>
          </w:tcPr>
          <w:p w14:paraId="65AFA8FB" w14:textId="77777777" w:rsidR="00A3112D" w:rsidRPr="00B74E01" w:rsidRDefault="00A3112D" w:rsidP="00B745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3,48x</w:t>
            </w:r>
          </w:p>
        </w:tc>
      </w:tr>
    </w:tbl>
    <w:p w14:paraId="5D639CC6"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 taxa de </w:t>
      </w:r>
      <w:r w:rsidRPr="00B74E01">
        <w:rPr>
          <w:rFonts w:eastAsia="Times New Roman" w:cs="Arial"/>
          <w:b/>
          <w:bCs/>
          <w:kern w:val="0"/>
          <w:lang w:eastAsia="pt-BR"/>
          <w14:ligatures w14:val="none"/>
        </w:rPr>
        <w:t>12% a.a.</w:t>
      </w:r>
      <w:r w:rsidRPr="00B74E01">
        <w:rPr>
          <w:rFonts w:eastAsia="Times New Roman" w:cs="Arial"/>
          <w:kern w:val="0"/>
          <w:lang w:eastAsia="pt-BR"/>
          <w14:ligatures w14:val="none"/>
        </w:rPr>
        <w:t xml:space="preserve"> pressiona o cenário mínimo sem receitas acessórias, reduzindo o DSCR para aproximadamente </w:t>
      </w:r>
      <w:r w:rsidRPr="00B74E01">
        <w:rPr>
          <w:rFonts w:eastAsia="Times New Roman" w:cs="Arial"/>
          <w:b/>
          <w:bCs/>
          <w:kern w:val="0"/>
          <w:lang w:eastAsia="pt-BR"/>
          <w14:ligatures w14:val="none"/>
        </w:rPr>
        <w:t>0,99x</w:t>
      </w:r>
      <w:r w:rsidRPr="00B74E01">
        <w:rPr>
          <w:rFonts w:eastAsia="Times New Roman" w:cs="Arial"/>
          <w:kern w:val="0"/>
          <w:lang w:eastAsia="pt-BR"/>
          <w14:ligatures w14:val="none"/>
        </w:rPr>
        <w:t>. Isso indica que, sem receitas acessórias, uma elevação relevante do custo financeiro exigiria reforço de garantias, maior participação de capital próprio, alongamento de prazo, redução de CAPEX, melhoria de tarifa ou obtenção de fonte financeira mais barata.</w:t>
      </w:r>
    </w:p>
    <w:p w14:paraId="5182421A"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Com receitas acessórias, o projeto permanece robusto mesmo em cenário de juros mais elevado.</w:t>
      </w:r>
    </w:p>
    <w:p w14:paraId="56BD3DB7" w14:textId="77777777" w:rsidR="00A3112D" w:rsidRPr="00B74E01" w:rsidRDefault="00A3112D" w:rsidP="00500DF4">
      <w:pPr>
        <w:pStyle w:val="Ttulo2"/>
        <w:rPr>
          <w:rFonts w:eastAsia="Times New Roman"/>
          <w:lang w:eastAsia="pt-BR"/>
        </w:rPr>
      </w:pPr>
      <w:bookmarkStart w:id="178" w:name="_Toc230204180"/>
      <w:r w:rsidRPr="00B74E01">
        <w:rPr>
          <w:rFonts w:eastAsia="Times New Roman"/>
          <w:lang w:eastAsia="pt-BR"/>
        </w:rPr>
        <w:t>14.6. Sensibilidade do OPEX</w:t>
      </w:r>
      <w:bookmarkEnd w:id="178"/>
    </w:p>
    <w:p w14:paraId="34F568A7"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O OPEX influencia diretamente o EBITDA. Foram testados três cenários: OPEX </w:t>
      </w:r>
      <w:r w:rsidRPr="00B74E01">
        <w:rPr>
          <w:rFonts w:eastAsia="Times New Roman" w:cs="Arial"/>
          <w:b/>
          <w:bCs/>
          <w:kern w:val="0"/>
          <w:lang w:eastAsia="pt-BR"/>
          <w14:ligatures w14:val="none"/>
        </w:rPr>
        <w:t>-10%</w:t>
      </w:r>
      <w:r w:rsidRPr="00B74E01">
        <w:rPr>
          <w:rFonts w:eastAsia="Times New Roman" w:cs="Arial"/>
          <w:kern w:val="0"/>
          <w:lang w:eastAsia="pt-BR"/>
          <w14:ligatures w14:val="none"/>
        </w:rPr>
        <w:t xml:space="preserve">, OPEX base e OPEX </w:t>
      </w:r>
      <w:r w:rsidRPr="00B74E01">
        <w:rPr>
          <w:rFonts w:eastAsia="Times New Roman" w:cs="Arial"/>
          <w:b/>
          <w:bCs/>
          <w:kern w:val="0"/>
          <w:lang w:eastAsia="pt-BR"/>
          <w14:ligatures w14:val="none"/>
        </w:rPr>
        <w:t>+10%</w:t>
      </w:r>
      <w:r w:rsidRPr="00B74E01">
        <w:rPr>
          <w:rFonts w:eastAsia="Times New Roman" w:cs="Arial"/>
          <w:kern w:val="0"/>
          <w:lang w:eastAsia="pt-BR"/>
          <w14:ligatures w14:val="none"/>
        </w:rPr>
        <w:t>.</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121"/>
        <w:gridCol w:w="1389"/>
        <w:gridCol w:w="2406"/>
        <w:gridCol w:w="1980"/>
        <w:gridCol w:w="1389"/>
        <w:gridCol w:w="776"/>
      </w:tblGrid>
      <w:tr w:rsidR="00A3112D" w:rsidRPr="00B74E01" w14:paraId="2545CF41" w14:textId="77777777" w:rsidTr="00050088">
        <w:trPr>
          <w:tblHeader/>
          <w:tblCellSpacing w:w="15" w:type="dxa"/>
        </w:trPr>
        <w:tc>
          <w:tcPr>
            <w:tcW w:w="0" w:type="auto"/>
            <w:vAlign w:val="center"/>
            <w:hideMark/>
          </w:tcPr>
          <w:p w14:paraId="45BC99F9" w14:textId="77777777" w:rsidR="00A3112D" w:rsidRPr="00B74E01" w:rsidRDefault="00A3112D" w:rsidP="00500DF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Cenário</w:t>
            </w:r>
          </w:p>
        </w:tc>
        <w:tc>
          <w:tcPr>
            <w:tcW w:w="0" w:type="auto"/>
            <w:vAlign w:val="center"/>
            <w:hideMark/>
          </w:tcPr>
          <w:p w14:paraId="6F6BADFC" w14:textId="77777777" w:rsidR="00A3112D" w:rsidRPr="00B74E01" w:rsidRDefault="00A3112D" w:rsidP="00500DF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OPEX mensal</w:t>
            </w:r>
          </w:p>
        </w:tc>
        <w:tc>
          <w:tcPr>
            <w:tcW w:w="0" w:type="auto"/>
            <w:vAlign w:val="center"/>
            <w:hideMark/>
          </w:tcPr>
          <w:p w14:paraId="10FE9629" w14:textId="77777777" w:rsidR="00A3112D" w:rsidRPr="00B74E01" w:rsidRDefault="00A3112D" w:rsidP="00500DF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EBITDA mensal com receitas acessórias</w:t>
            </w:r>
          </w:p>
        </w:tc>
        <w:tc>
          <w:tcPr>
            <w:tcW w:w="0" w:type="auto"/>
            <w:vAlign w:val="center"/>
            <w:hideMark/>
          </w:tcPr>
          <w:p w14:paraId="11D34EE1" w14:textId="77777777" w:rsidR="00A3112D" w:rsidRPr="00B74E01" w:rsidRDefault="00A3112D" w:rsidP="00500DF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Serviço da dívida após carência</w:t>
            </w:r>
          </w:p>
        </w:tc>
        <w:tc>
          <w:tcPr>
            <w:tcW w:w="0" w:type="auto"/>
            <w:vAlign w:val="center"/>
            <w:hideMark/>
          </w:tcPr>
          <w:p w14:paraId="7285D91D" w14:textId="77777777" w:rsidR="00A3112D" w:rsidRPr="00B74E01" w:rsidRDefault="00A3112D" w:rsidP="00500DF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Sobra mensal</w:t>
            </w:r>
          </w:p>
        </w:tc>
        <w:tc>
          <w:tcPr>
            <w:tcW w:w="0" w:type="auto"/>
            <w:vAlign w:val="center"/>
            <w:hideMark/>
          </w:tcPr>
          <w:p w14:paraId="13E72366" w14:textId="77777777" w:rsidR="00A3112D" w:rsidRPr="00B74E01" w:rsidRDefault="00A3112D" w:rsidP="00500DF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DSCR</w:t>
            </w:r>
          </w:p>
        </w:tc>
      </w:tr>
      <w:tr w:rsidR="00A3112D" w:rsidRPr="00B74E01" w14:paraId="259A3E9C" w14:textId="77777777" w:rsidTr="00050088">
        <w:trPr>
          <w:tblCellSpacing w:w="15" w:type="dxa"/>
        </w:trPr>
        <w:tc>
          <w:tcPr>
            <w:tcW w:w="0" w:type="auto"/>
            <w:vAlign w:val="center"/>
            <w:hideMark/>
          </w:tcPr>
          <w:p w14:paraId="022CCA3B" w14:textId="77777777" w:rsidR="00A3112D" w:rsidRPr="00B74E01" w:rsidRDefault="00A3112D" w:rsidP="00500D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OPEX -10%</w:t>
            </w:r>
          </w:p>
        </w:tc>
        <w:tc>
          <w:tcPr>
            <w:tcW w:w="0" w:type="auto"/>
            <w:vAlign w:val="center"/>
            <w:hideMark/>
          </w:tcPr>
          <w:p w14:paraId="0B56F634" w14:textId="77777777" w:rsidR="00A3112D" w:rsidRPr="00B74E01" w:rsidRDefault="00A3112D" w:rsidP="00500D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R$ 286.646,46</w:t>
            </w:r>
          </w:p>
        </w:tc>
        <w:tc>
          <w:tcPr>
            <w:tcW w:w="0" w:type="auto"/>
            <w:vAlign w:val="center"/>
            <w:hideMark/>
          </w:tcPr>
          <w:p w14:paraId="222FE849" w14:textId="77777777" w:rsidR="00A3112D" w:rsidRPr="00B74E01" w:rsidRDefault="00A3112D" w:rsidP="00500D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R$ 1.138.941,37</w:t>
            </w:r>
          </w:p>
        </w:tc>
        <w:tc>
          <w:tcPr>
            <w:tcW w:w="0" w:type="auto"/>
            <w:vAlign w:val="center"/>
            <w:hideMark/>
          </w:tcPr>
          <w:p w14:paraId="22EEF641" w14:textId="77777777" w:rsidR="00A3112D" w:rsidRPr="00B74E01" w:rsidRDefault="00A3112D" w:rsidP="00500D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R$ 280.892,95</w:t>
            </w:r>
          </w:p>
        </w:tc>
        <w:tc>
          <w:tcPr>
            <w:tcW w:w="0" w:type="auto"/>
            <w:vAlign w:val="center"/>
            <w:hideMark/>
          </w:tcPr>
          <w:p w14:paraId="4469D99E" w14:textId="77777777" w:rsidR="00A3112D" w:rsidRPr="00B74E01" w:rsidRDefault="00A3112D" w:rsidP="00500D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R$ 858.048,42</w:t>
            </w:r>
          </w:p>
        </w:tc>
        <w:tc>
          <w:tcPr>
            <w:tcW w:w="0" w:type="auto"/>
            <w:vAlign w:val="center"/>
            <w:hideMark/>
          </w:tcPr>
          <w:p w14:paraId="2BCE54DC" w14:textId="77777777" w:rsidR="00A3112D" w:rsidRPr="00B74E01" w:rsidRDefault="00A3112D" w:rsidP="00500D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4,05x</w:t>
            </w:r>
          </w:p>
        </w:tc>
      </w:tr>
      <w:tr w:rsidR="00A3112D" w:rsidRPr="00B74E01" w14:paraId="04376469" w14:textId="77777777" w:rsidTr="00050088">
        <w:trPr>
          <w:tblCellSpacing w:w="15" w:type="dxa"/>
        </w:trPr>
        <w:tc>
          <w:tcPr>
            <w:tcW w:w="0" w:type="auto"/>
            <w:vAlign w:val="center"/>
            <w:hideMark/>
          </w:tcPr>
          <w:p w14:paraId="2960B37A" w14:textId="77777777" w:rsidR="00A3112D" w:rsidRPr="00B74E01" w:rsidRDefault="00A3112D" w:rsidP="00500D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OPEX base</w:t>
            </w:r>
          </w:p>
        </w:tc>
        <w:tc>
          <w:tcPr>
            <w:tcW w:w="0" w:type="auto"/>
            <w:vAlign w:val="center"/>
            <w:hideMark/>
          </w:tcPr>
          <w:p w14:paraId="7DD209C3" w14:textId="77777777" w:rsidR="00A3112D" w:rsidRPr="00B74E01" w:rsidRDefault="00A3112D" w:rsidP="00500D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R$ 318.496,07</w:t>
            </w:r>
          </w:p>
        </w:tc>
        <w:tc>
          <w:tcPr>
            <w:tcW w:w="0" w:type="auto"/>
            <w:vAlign w:val="center"/>
            <w:hideMark/>
          </w:tcPr>
          <w:p w14:paraId="7DCD71C0" w14:textId="77777777" w:rsidR="00A3112D" w:rsidRPr="00B74E01" w:rsidRDefault="00A3112D" w:rsidP="00500D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R$ 1.107.091,76</w:t>
            </w:r>
          </w:p>
        </w:tc>
        <w:tc>
          <w:tcPr>
            <w:tcW w:w="0" w:type="auto"/>
            <w:vAlign w:val="center"/>
            <w:hideMark/>
          </w:tcPr>
          <w:p w14:paraId="4D91D2F4" w14:textId="77777777" w:rsidR="00A3112D" w:rsidRPr="00B74E01" w:rsidRDefault="00A3112D" w:rsidP="00500D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R$ 280.892,95</w:t>
            </w:r>
          </w:p>
        </w:tc>
        <w:tc>
          <w:tcPr>
            <w:tcW w:w="0" w:type="auto"/>
            <w:vAlign w:val="center"/>
            <w:hideMark/>
          </w:tcPr>
          <w:p w14:paraId="6E56AC63" w14:textId="77777777" w:rsidR="00A3112D" w:rsidRPr="00B74E01" w:rsidRDefault="00A3112D" w:rsidP="00500D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R$ 826.198,81</w:t>
            </w:r>
          </w:p>
        </w:tc>
        <w:tc>
          <w:tcPr>
            <w:tcW w:w="0" w:type="auto"/>
            <w:vAlign w:val="center"/>
            <w:hideMark/>
          </w:tcPr>
          <w:p w14:paraId="0E203253" w14:textId="77777777" w:rsidR="00A3112D" w:rsidRPr="00B74E01" w:rsidRDefault="00A3112D" w:rsidP="00500D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3,94x</w:t>
            </w:r>
          </w:p>
        </w:tc>
      </w:tr>
      <w:tr w:rsidR="00A3112D" w:rsidRPr="00B74E01" w14:paraId="7F8B934F" w14:textId="77777777" w:rsidTr="00050088">
        <w:trPr>
          <w:tblCellSpacing w:w="15" w:type="dxa"/>
        </w:trPr>
        <w:tc>
          <w:tcPr>
            <w:tcW w:w="0" w:type="auto"/>
            <w:vAlign w:val="center"/>
            <w:hideMark/>
          </w:tcPr>
          <w:p w14:paraId="5C13C3D8" w14:textId="77777777" w:rsidR="00A3112D" w:rsidRPr="00B74E01" w:rsidRDefault="00A3112D" w:rsidP="00500DF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OPEX +10%</w:t>
            </w:r>
          </w:p>
        </w:tc>
        <w:tc>
          <w:tcPr>
            <w:tcW w:w="0" w:type="auto"/>
            <w:vAlign w:val="center"/>
            <w:hideMark/>
          </w:tcPr>
          <w:p w14:paraId="7D4D1C0B" w14:textId="77777777" w:rsidR="00A3112D" w:rsidRPr="00B74E01" w:rsidRDefault="00A3112D" w:rsidP="00500D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R$ 350.345,68</w:t>
            </w:r>
          </w:p>
        </w:tc>
        <w:tc>
          <w:tcPr>
            <w:tcW w:w="0" w:type="auto"/>
            <w:vAlign w:val="center"/>
            <w:hideMark/>
          </w:tcPr>
          <w:p w14:paraId="1239C564" w14:textId="77777777" w:rsidR="00A3112D" w:rsidRPr="00B74E01" w:rsidRDefault="00A3112D" w:rsidP="00500D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R$ 1.075.242,15</w:t>
            </w:r>
          </w:p>
        </w:tc>
        <w:tc>
          <w:tcPr>
            <w:tcW w:w="0" w:type="auto"/>
            <w:vAlign w:val="center"/>
            <w:hideMark/>
          </w:tcPr>
          <w:p w14:paraId="4D563650" w14:textId="77777777" w:rsidR="00A3112D" w:rsidRPr="00B74E01" w:rsidRDefault="00A3112D" w:rsidP="00500D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R$ 280.892,95</w:t>
            </w:r>
          </w:p>
        </w:tc>
        <w:tc>
          <w:tcPr>
            <w:tcW w:w="0" w:type="auto"/>
            <w:vAlign w:val="center"/>
            <w:hideMark/>
          </w:tcPr>
          <w:p w14:paraId="7F6E829C" w14:textId="77777777" w:rsidR="00A3112D" w:rsidRPr="00B74E01" w:rsidRDefault="00A3112D" w:rsidP="00500D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R$ 794.349,20</w:t>
            </w:r>
          </w:p>
        </w:tc>
        <w:tc>
          <w:tcPr>
            <w:tcW w:w="0" w:type="auto"/>
            <w:vAlign w:val="center"/>
            <w:hideMark/>
          </w:tcPr>
          <w:p w14:paraId="4D959BEC" w14:textId="77777777" w:rsidR="00A3112D" w:rsidRPr="00B74E01" w:rsidRDefault="00A3112D" w:rsidP="00500DF4">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3,83x</w:t>
            </w:r>
          </w:p>
        </w:tc>
      </w:tr>
    </w:tbl>
    <w:p w14:paraId="289F3117"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No cenário com receitas acessórias, o projeto permanece robusto mesmo com aumento de 10% no OPEX.</w:t>
      </w:r>
    </w:p>
    <w:p w14:paraId="7E2B0EB3"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lastRenderedPageBreak/>
        <w:t>Entretanto, no cenário mínimo sem receitas acessórias, o aumento do OPEX reduz ainda mais a margem já restrita. Por isso, o edital deverá exigir plano operacional consistente, manutenção adequada, equipe compatível, seguros, controles de custo e indicadores de desempenho.</w:t>
      </w:r>
    </w:p>
    <w:p w14:paraId="54DFF6F1" w14:textId="1A044F6F" w:rsidR="00A3112D" w:rsidRDefault="00A3112D" w:rsidP="00B74E01">
      <w:pPr>
        <w:spacing w:after="0" w:line="360" w:lineRule="auto"/>
        <w:ind w:firstLine="709"/>
        <w:jc w:val="both"/>
        <w:rPr>
          <w:rFonts w:eastAsia="Times New Roman" w:cs="Arial"/>
          <w:kern w:val="0"/>
          <w:lang w:eastAsia="pt-BR"/>
          <w14:ligatures w14:val="none"/>
        </w:rPr>
      </w:pPr>
    </w:p>
    <w:p w14:paraId="6011A502" w14:textId="77777777" w:rsidR="00500DF4" w:rsidRPr="00B74E01" w:rsidRDefault="00500DF4" w:rsidP="00B74E01">
      <w:pPr>
        <w:spacing w:after="0" w:line="360" w:lineRule="auto"/>
        <w:ind w:firstLine="709"/>
        <w:jc w:val="both"/>
        <w:rPr>
          <w:rFonts w:eastAsia="Times New Roman" w:cs="Arial"/>
          <w:kern w:val="0"/>
          <w:lang w:eastAsia="pt-BR"/>
          <w14:ligatures w14:val="none"/>
        </w:rPr>
      </w:pPr>
    </w:p>
    <w:p w14:paraId="2F115697" w14:textId="77777777" w:rsidR="00A3112D" w:rsidRPr="00B74E01" w:rsidRDefault="00A3112D" w:rsidP="00500DF4">
      <w:pPr>
        <w:pStyle w:val="Ttulo2"/>
        <w:rPr>
          <w:rFonts w:eastAsia="Times New Roman"/>
          <w:lang w:eastAsia="pt-BR"/>
        </w:rPr>
      </w:pPr>
      <w:bookmarkStart w:id="179" w:name="_Toc230204181"/>
      <w:r w:rsidRPr="00B74E01">
        <w:rPr>
          <w:rFonts w:eastAsia="Times New Roman"/>
          <w:lang w:eastAsia="pt-BR"/>
        </w:rPr>
        <w:t>14.7. Sensibilidade do CAPEX</w:t>
      </w:r>
      <w:bookmarkEnd w:id="179"/>
    </w:p>
    <w:p w14:paraId="4733ACEE"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O CAPEX afeta o investimento financeiro total e, por consequência, o montante financiado e o serviço da dívida.</w:t>
      </w:r>
    </w:p>
    <w:p w14:paraId="247E0AA4"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 modelagem deve testar variação de </w:t>
      </w:r>
      <w:r w:rsidRPr="00B74E01">
        <w:rPr>
          <w:rFonts w:eastAsia="Times New Roman" w:cs="Arial"/>
          <w:b/>
          <w:bCs/>
          <w:kern w:val="0"/>
          <w:lang w:eastAsia="pt-BR"/>
          <w14:ligatures w14:val="none"/>
        </w:rPr>
        <w:t>-10%, base e +10%</w:t>
      </w:r>
      <w:r w:rsidRPr="00B74E01">
        <w:rPr>
          <w:rFonts w:eastAsia="Times New Roman" w:cs="Arial"/>
          <w:kern w:val="0"/>
          <w:lang w:eastAsia="pt-BR"/>
          <w14:ligatures w14:val="none"/>
        </w:rPr>
        <w:t xml:space="preserve"> sobre o investimento financeiro total estimado.</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018"/>
        <w:gridCol w:w="3526"/>
        <w:gridCol w:w="3527"/>
      </w:tblGrid>
      <w:tr w:rsidR="00A3112D" w:rsidRPr="00B74E01" w14:paraId="1825A17C" w14:textId="77777777">
        <w:trPr>
          <w:tblHeader/>
          <w:tblCellSpacing w:w="15" w:type="dxa"/>
        </w:trPr>
        <w:tc>
          <w:tcPr>
            <w:tcW w:w="0" w:type="auto"/>
            <w:vAlign w:val="center"/>
            <w:hideMark/>
          </w:tcPr>
          <w:p w14:paraId="126B09CD" w14:textId="77777777" w:rsidR="00A3112D" w:rsidRPr="00B74E01" w:rsidRDefault="00A3112D" w:rsidP="009018B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Cenário de CAPEX</w:t>
            </w:r>
          </w:p>
        </w:tc>
        <w:tc>
          <w:tcPr>
            <w:tcW w:w="0" w:type="auto"/>
            <w:vAlign w:val="center"/>
            <w:hideMark/>
          </w:tcPr>
          <w:p w14:paraId="2F63B73E" w14:textId="77777777" w:rsidR="00A3112D" w:rsidRPr="00B74E01" w:rsidRDefault="00A3112D" w:rsidP="009018B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Investimento financeiro estimado</w:t>
            </w:r>
          </w:p>
        </w:tc>
        <w:tc>
          <w:tcPr>
            <w:tcW w:w="0" w:type="auto"/>
            <w:vAlign w:val="center"/>
            <w:hideMark/>
          </w:tcPr>
          <w:p w14:paraId="1F79A117" w14:textId="77777777" w:rsidR="00A3112D" w:rsidRPr="00B74E01" w:rsidRDefault="00A3112D" w:rsidP="009018B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Leitura</w:t>
            </w:r>
          </w:p>
        </w:tc>
      </w:tr>
      <w:tr w:rsidR="00A3112D" w:rsidRPr="00B74E01" w14:paraId="4165ACE5" w14:textId="77777777" w:rsidTr="0005008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76B0D960"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CAPEX -10%</w:t>
            </w:r>
          </w:p>
        </w:tc>
        <w:tc>
          <w:tcPr>
            <w:tcW w:w="0" w:type="auto"/>
            <w:tcBorders>
              <w:top w:val="single" w:sz="4" w:space="0" w:color="auto"/>
              <w:left w:val="single" w:sz="4" w:space="0" w:color="auto"/>
              <w:bottom w:val="single" w:sz="4" w:space="0" w:color="auto"/>
              <w:right w:val="single" w:sz="4" w:space="0" w:color="auto"/>
            </w:tcBorders>
            <w:vAlign w:val="center"/>
            <w:hideMark/>
          </w:tcPr>
          <w:p w14:paraId="79903514"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R$ 29.042.886,04</w:t>
            </w:r>
          </w:p>
        </w:tc>
        <w:tc>
          <w:tcPr>
            <w:tcW w:w="0" w:type="auto"/>
            <w:tcBorders>
              <w:top w:val="single" w:sz="4" w:space="0" w:color="auto"/>
              <w:left w:val="single" w:sz="4" w:space="0" w:color="auto"/>
              <w:bottom w:val="single" w:sz="4" w:space="0" w:color="auto"/>
              <w:right w:val="single" w:sz="4" w:space="0" w:color="auto"/>
            </w:tcBorders>
            <w:vAlign w:val="center"/>
            <w:hideMark/>
          </w:tcPr>
          <w:p w14:paraId="2C512E30"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Reduz dívida e melhora indicadores</w:t>
            </w:r>
          </w:p>
        </w:tc>
      </w:tr>
      <w:tr w:rsidR="00A3112D" w:rsidRPr="00B74E01" w14:paraId="5EA8B62A" w14:textId="77777777" w:rsidTr="0005008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74A6B5A3"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CAPEX base</w:t>
            </w:r>
          </w:p>
        </w:tc>
        <w:tc>
          <w:tcPr>
            <w:tcW w:w="0" w:type="auto"/>
            <w:tcBorders>
              <w:top w:val="single" w:sz="4" w:space="0" w:color="auto"/>
              <w:left w:val="single" w:sz="4" w:space="0" w:color="auto"/>
              <w:bottom w:val="single" w:sz="4" w:space="0" w:color="auto"/>
              <w:right w:val="single" w:sz="4" w:space="0" w:color="auto"/>
            </w:tcBorders>
            <w:vAlign w:val="center"/>
            <w:hideMark/>
          </w:tcPr>
          <w:p w14:paraId="3A93365C"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R$ 32.269.873,38</w:t>
            </w:r>
          </w:p>
        </w:tc>
        <w:tc>
          <w:tcPr>
            <w:tcW w:w="0" w:type="auto"/>
            <w:tcBorders>
              <w:top w:val="single" w:sz="4" w:space="0" w:color="auto"/>
              <w:left w:val="single" w:sz="4" w:space="0" w:color="auto"/>
              <w:bottom w:val="single" w:sz="4" w:space="0" w:color="auto"/>
              <w:right w:val="single" w:sz="4" w:space="0" w:color="auto"/>
            </w:tcBorders>
            <w:vAlign w:val="center"/>
            <w:hideMark/>
          </w:tcPr>
          <w:p w14:paraId="3C9942E9"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Cenário utilizado na modelagem</w:t>
            </w:r>
          </w:p>
        </w:tc>
      </w:tr>
      <w:tr w:rsidR="00A3112D" w:rsidRPr="00B74E01" w14:paraId="1A7E540D" w14:textId="77777777" w:rsidTr="0005008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09615B14"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CAPEX +10%</w:t>
            </w:r>
          </w:p>
        </w:tc>
        <w:tc>
          <w:tcPr>
            <w:tcW w:w="0" w:type="auto"/>
            <w:tcBorders>
              <w:top w:val="single" w:sz="4" w:space="0" w:color="auto"/>
              <w:left w:val="single" w:sz="4" w:space="0" w:color="auto"/>
              <w:bottom w:val="single" w:sz="4" w:space="0" w:color="auto"/>
              <w:right w:val="single" w:sz="4" w:space="0" w:color="auto"/>
            </w:tcBorders>
            <w:vAlign w:val="center"/>
            <w:hideMark/>
          </w:tcPr>
          <w:p w14:paraId="76EFBE5E"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R$ 35.496.860,72</w:t>
            </w:r>
          </w:p>
        </w:tc>
        <w:tc>
          <w:tcPr>
            <w:tcW w:w="0" w:type="auto"/>
            <w:tcBorders>
              <w:top w:val="single" w:sz="4" w:space="0" w:color="auto"/>
              <w:left w:val="single" w:sz="4" w:space="0" w:color="auto"/>
              <w:bottom w:val="single" w:sz="4" w:space="0" w:color="auto"/>
              <w:right w:val="single" w:sz="4" w:space="0" w:color="auto"/>
            </w:tcBorders>
            <w:vAlign w:val="center"/>
            <w:hideMark/>
          </w:tcPr>
          <w:p w14:paraId="66670D83"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Aumenta dívida e pressiona DSCR</w:t>
            </w:r>
          </w:p>
        </w:tc>
      </w:tr>
    </w:tbl>
    <w:p w14:paraId="7B6B3B0E"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variação do CAPEX deve ser tratada como risco ordinário da SPE, especialmente quando decorrer de orçamento do licitante, fornecedor escolhido, tecnologia, variação cambial, montagem, integração ou erro de estimativa.</w:t>
      </w:r>
    </w:p>
    <w:p w14:paraId="5BC57B19" w14:textId="77777777" w:rsidR="00A3112D"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Não deve haver reequilíbrio automático por aumento de CAPEX, salvo hipóteses expressamente previstas na matriz de riscos, como alteração imposta pelo Poder Concedente, atraso na disponibilização da área ou exigência superveniente extraordinária não imputável à SPE.</w:t>
      </w:r>
    </w:p>
    <w:p w14:paraId="2BFF526E" w14:textId="77777777" w:rsidR="009018B0" w:rsidRDefault="009018B0" w:rsidP="00B74E01">
      <w:pPr>
        <w:spacing w:before="100" w:beforeAutospacing="1" w:after="100" w:afterAutospacing="1" w:line="360" w:lineRule="auto"/>
        <w:ind w:firstLine="709"/>
        <w:jc w:val="both"/>
        <w:rPr>
          <w:rFonts w:eastAsia="Times New Roman" w:cs="Arial"/>
          <w:kern w:val="0"/>
          <w:lang w:eastAsia="pt-BR"/>
          <w14:ligatures w14:val="none"/>
        </w:rPr>
      </w:pPr>
    </w:p>
    <w:p w14:paraId="0A5B4418" w14:textId="77777777" w:rsidR="00A3112D" w:rsidRPr="00B74E01" w:rsidRDefault="00A3112D" w:rsidP="009018B0">
      <w:pPr>
        <w:pStyle w:val="Ttulo2"/>
        <w:rPr>
          <w:rFonts w:eastAsia="Times New Roman"/>
          <w:lang w:eastAsia="pt-BR"/>
        </w:rPr>
      </w:pPr>
      <w:bookmarkStart w:id="180" w:name="_Toc230204182"/>
      <w:r w:rsidRPr="00B74E01">
        <w:rPr>
          <w:rFonts w:eastAsia="Times New Roman"/>
          <w:lang w:eastAsia="pt-BR"/>
        </w:rPr>
        <w:lastRenderedPageBreak/>
        <w:t>14.8. Sensibilidade da remuneração energética</w:t>
      </w:r>
      <w:bookmarkEnd w:id="180"/>
    </w:p>
    <w:p w14:paraId="6A4FFB3F"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 remuneração energética é uma das receitas principais da PPP. Sua redução impacta diretamente a receita operacional líquida e a </w:t>
      </w:r>
      <w:proofErr w:type="spellStart"/>
      <w:r w:rsidRPr="00B74E01">
        <w:rPr>
          <w:rFonts w:eastAsia="Times New Roman" w:cs="Arial"/>
          <w:kern w:val="0"/>
          <w:lang w:eastAsia="pt-BR"/>
          <w14:ligatures w14:val="none"/>
        </w:rPr>
        <w:t>bancabilidade</w:t>
      </w:r>
      <w:proofErr w:type="spellEnd"/>
      <w:r w:rsidRPr="00B74E01">
        <w:rPr>
          <w:rFonts w:eastAsia="Times New Roman" w:cs="Arial"/>
          <w:kern w:val="0"/>
          <w:lang w:eastAsia="pt-BR"/>
          <w14:ligatures w14:val="none"/>
        </w:rPr>
        <w:t>.</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989"/>
        <w:gridCol w:w="2665"/>
        <w:gridCol w:w="1921"/>
        <w:gridCol w:w="3486"/>
      </w:tblGrid>
      <w:tr w:rsidR="00A3112D" w:rsidRPr="00B74E01" w14:paraId="332F9B78" w14:textId="77777777" w:rsidTr="00050088">
        <w:trPr>
          <w:tblHeader/>
          <w:tblCellSpacing w:w="15" w:type="dxa"/>
        </w:trPr>
        <w:tc>
          <w:tcPr>
            <w:tcW w:w="0" w:type="auto"/>
            <w:vAlign w:val="center"/>
            <w:hideMark/>
          </w:tcPr>
          <w:p w14:paraId="19669860" w14:textId="77777777" w:rsidR="00A3112D" w:rsidRPr="00B74E01" w:rsidRDefault="00A3112D" w:rsidP="009018B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Cenário</w:t>
            </w:r>
          </w:p>
        </w:tc>
        <w:tc>
          <w:tcPr>
            <w:tcW w:w="0" w:type="auto"/>
            <w:vAlign w:val="center"/>
            <w:hideMark/>
          </w:tcPr>
          <w:p w14:paraId="0FF0515A" w14:textId="77777777" w:rsidR="00A3112D" w:rsidRPr="00B74E01" w:rsidRDefault="00A3112D" w:rsidP="009018B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Remuneração energética mensal</w:t>
            </w:r>
          </w:p>
        </w:tc>
        <w:tc>
          <w:tcPr>
            <w:tcW w:w="0" w:type="auto"/>
            <w:vAlign w:val="center"/>
            <w:hideMark/>
          </w:tcPr>
          <w:p w14:paraId="116D9F33" w14:textId="77777777" w:rsidR="00A3112D" w:rsidRPr="00B74E01" w:rsidRDefault="00A3112D" w:rsidP="009018B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Receita principal bruta</w:t>
            </w:r>
          </w:p>
        </w:tc>
        <w:tc>
          <w:tcPr>
            <w:tcW w:w="0" w:type="auto"/>
            <w:vAlign w:val="center"/>
            <w:hideMark/>
          </w:tcPr>
          <w:p w14:paraId="35810F2A" w14:textId="77777777" w:rsidR="00A3112D" w:rsidRPr="00B74E01" w:rsidRDefault="00A3112D" w:rsidP="009018B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Leitura</w:t>
            </w:r>
          </w:p>
        </w:tc>
      </w:tr>
      <w:tr w:rsidR="00A3112D" w:rsidRPr="00B74E01" w14:paraId="2815E2F1" w14:textId="77777777" w:rsidTr="00050088">
        <w:trPr>
          <w:tblCellSpacing w:w="15" w:type="dxa"/>
        </w:trPr>
        <w:tc>
          <w:tcPr>
            <w:tcW w:w="0" w:type="auto"/>
            <w:vAlign w:val="center"/>
            <w:hideMark/>
          </w:tcPr>
          <w:p w14:paraId="446C22EF"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-10%</w:t>
            </w:r>
          </w:p>
        </w:tc>
        <w:tc>
          <w:tcPr>
            <w:tcW w:w="0" w:type="auto"/>
            <w:vAlign w:val="center"/>
            <w:hideMark/>
          </w:tcPr>
          <w:p w14:paraId="03850A96"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R$ 422.019,38</w:t>
            </w:r>
          </w:p>
        </w:tc>
        <w:tc>
          <w:tcPr>
            <w:tcW w:w="0" w:type="auto"/>
            <w:vAlign w:val="center"/>
            <w:hideMark/>
          </w:tcPr>
          <w:p w14:paraId="21F3D537"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R$ 653.186,05</w:t>
            </w:r>
          </w:p>
        </w:tc>
        <w:tc>
          <w:tcPr>
            <w:tcW w:w="0" w:type="auto"/>
            <w:vAlign w:val="center"/>
            <w:hideMark/>
          </w:tcPr>
          <w:p w14:paraId="224765B7"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Reduz margem da SPE</w:t>
            </w:r>
          </w:p>
        </w:tc>
      </w:tr>
      <w:tr w:rsidR="00A3112D" w:rsidRPr="00B74E01" w14:paraId="1A670D72" w14:textId="77777777" w:rsidTr="00050088">
        <w:trPr>
          <w:tblCellSpacing w:w="15" w:type="dxa"/>
        </w:trPr>
        <w:tc>
          <w:tcPr>
            <w:tcW w:w="0" w:type="auto"/>
            <w:vAlign w:val="center"/>
            <w:hideMark/>
          </w:tcPr>
          <w:p w14:paraId="6AAFF9A3"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Base</w:t>
            </w:r>
          </w:p>
        </w:tc>
        <w:tc>
          <w:tcPr>
            <w:tcW w:w="0" w:type="auto"/>
            <w:vAlign w:val="center"/>
            <w:hideMark/>
          </w:tcPr>
          <w:p w14:paraId="7C08C3FE"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R$ 468.910,42</w:t>
            </w:r>
          </w:p>
        </w:tc>
        <w:tc>
          <w:tcPr>
            <w:tcW w:w="0" w:type="auto"/>
            <w:vAlign w:val="center"/>
            <w:hideMark/>
          </w:tcPr>
          <w:p w14:paraId="7753E90C"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R$ 700.077,09</w:t>
            </w:r>
          </w:p>
        </w:tc>
        <w:tc>
          <w:tcPr>
            <w:tcW w:w="0" w:type="auto"/>
            <w:vAlign w:val="center"/>
            <w:hideMark/>
          </w:tcPr>
          <w:p w14:paraId="69206246"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Cenário adotado</w:t>
            </w:r>
          </w:p>
        </w:tc>
      </w:tr>
      <w:tr w:rsidR="00A3112D" w:rsidRPr="00B74E01" w14:paraId="2E36AC99" w14:textId="77777777" w:rsidTr="00050088">
        <w:trPr>
          <w:tblCellSpacing w:w="15" w:type="dxa"/>
        </w:trPr>
        <w:tc>
          <w:tcPr>
            <w:tcW w:w="0" w:type="auto"/>
            <w:vAlign w:val="center"/>
            <w:hideMark/>
          </w:tcPr>
          <w:p w14:paraId="7E7B851C"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+10%</w:t>
            </w:r>
          </w:p>
        </w:tc>
        <w:tc>
          <w:tcPr>
            <w:tcW w:w="0" w:type="auto"/>
            <w:vAlign w:val="center"/>
            <w:hideMark/>
          </w:tcPr>
          <w:p w14:paraId="63AE73F0"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R$ 515.801,46</w:t>
            </w:r>
          </w:p>
        </w:tc>
        <w:tc>
          <w:tcPr>
            <w:tcW w:w="0" w:type="auto"/>
            <w:vAlign w:val="center"/>
            <w:hideMark/>
          </w:tcPr>
          <w:p w14:paraId="36A2A644"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R$ 746.968,13</w:t>
            </w:r>
          </w:p>
        </w:tc>
        <w:tc>
          <w:tcPr>
            <w:tcW w:w="0" w:type="auto"/>
            <w:vAlign w:val="center"/>
            <w:hideMark/>
          </w:tcPr>
          <w:p w14:paraId="18D13DA5"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Melhora margem da SPE, mas reduz economia municipal</w:t>
            </w:r>
          </w:p>
        </w:tc>
      </w:tr>
    </w:tbl>
    <w:p w14:paraId="02883244"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Essa variável precisa ser calibrada com cuidado. Remuneração energética muito baixa pode prejudicar a SPE e a </w:t>
      </w:r>
      <w:proofErr w:type="spellStart"/>
      <w:r w:rsidRPr="00B74E01">
        <w:rPr>
          <w:rFonts w:eastAsia="Times New Roman" w:cs="Arial"/>
          <w:kern w:val="0"/>
          <w:lang w:eastAsia="pt-BR"/>
          <w14:ligatures w14:val="none"/>
        </w:rPr>
        <w:t>bancabilidade</w:t>
      </w:r>
      <w:proofErr w:type="spellEnd"/>
      <w:r w:rsidRPr="00B74E01">
        <w:rPr>
          <w:rFonts w:eastAsia="Times New Roman" w:cs="Arial"/>
          <w:kern w:val="0"/>
          <w:lang w:eastAsia="pt-BR"/>
          <w14:ligatures w14:val="none"/>
        </w:rPr>
        <w:t>. Remuneração muito alta pode reduzir a economia municipal e enfraquecer a tese de vantajosidade.</w:t>
      </w:r>
    </w:p>
    <w:p w14:paraId="3DFD1586"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O equilíbrio está em manter remuneração suficiente para sustentar a SPE e, ao mesmo tempo, preservar economia relevante ao Município.</w:t>
      </w:r>
    </w:p>
    <w:p w14:paraId="06434548" w14:textId="77777777" w:rsidR="00A3112D" w:rsidRPr="00B74E01" w:rsidRDefault="00A3112D" w:rsidP="009018B0">
      <w:pPr>
        <w:pStyle w:val="Ttulo2"/>
        <w:rPr>
          <w:rFonts w:eastAsia="Times New Roman"/>
          <w:lang w:eastAsia="pt-BR"/>
        </w:rPr>
      </w:pPr>
      <w:bookmarkStart w:id="181" w:name="_Toc230204183"/>
      <w:r w:rsidRPr="00B74E01">
        <w:rPr>
          <w:rFonts w:eastAsia="Times New Roman"/>
          <w:lang w:eastAsia="pt-BR"/>
        </w:rPr>
        <w:t>14.9. Sensibilidade do volume efetivo processado</w:t>
      </w:r>
      <w:bookmarkEnd w:id="181"/>
    </w:p>
    <w:p w14:paraId="5DC59EAA"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 quantidade mínima contratada de </w:t>
      </w:r>
      <w:r w:rsidRPr="00B74E01">
        <w:rPr>
          <w:rFonts w:eastAsia="Times New Roman" w:cs="Arial"/>
          <w:b/>
          <w:bCs/>
          <w:kern w:val="0"/>
          <w:lang w:eastAsia="pt-BR"/>
          <w14:ligatures w14:val="none"/>
        </w:rPr>
        <w:t>80 t/dia</w:t>
      </w:r>
      <w:r w:rsidRPr="00B74E01">
        <w:rPr>
          <w:rFonts w:eastAsia="Times New Roman" w:cs="Arial"/>
          <w:kern w:val="0"/>
          <w:lang w:eastAsia="pt-BR"/>
          <w14:ligatures w14:val="none"/>
        </w:rPr>
        <w:t xml:space="preserve"> protege a receita principal de destinação/tratamento. Entretanto, o volume efetivamente processado influencia receitas acessórias, operação, subprodutos e desempenho ambiental.</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364"/>
        <w:gridCol w:w="4494"/>
        <w:gridCol w:w="3203"/>
      </w:tblGrid>
      <w:tr w:rsidR="00A3112D" w:rsidRPr="00B74E01" w14:paraId="0AB5036D" w14:textId="77777777" w:rsidTr="00050088">
        <w:trPr>
          <w:tblHeader/>
          <w:tblCellSpacing w:w="15" w:type="dxa"/>
        </w:trPr>
        <w:tc>
          <w:tcPr>
            <w:tcW w:w="0" w:type="auto"/>
            <w:vAlign w:val="center"/>
            <w:hideMark/>
          </w:tcPr>
          <w:p w14:paraId="0164D2DA" w14:textId="77777777" w:rsidR="00A3112D" w:rsidRPr="00B74E01" w:rsidRDefault="00A3112D" w:rsidP="009018B0">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Volume efetivo</w:t>
            </w:r>
          </w:p>
        </w:tc>
        <w:tc>
          <w:tcPr>
            <w:tcW w:w="0" w:type="auto"/>
            <w:vAlign w:val="center"/>
            <w:hideMark/>
          </w:tcPr>
          <w:p w14:paraId="13F9A8AD" w14:textId="77777777" w:rsidR="00A3112D" w:rsidRPr="00B74E01" w:rsidRDefault="00A3112D" w:rsidP="009018B0">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Tratamento da receita principal</w:t>
            </w:r>
          </w:p>
        </w:tc>
        <w:tc>
          <w:tcPr>
            <w:tcW w:w="0" w:type="auto"/>
            <w:vAlign w:val="center"/>
            <w:hideMark/>
          </w:tcPr>
          <w:p w14:paraId="6BC8A028" w14:textId="77777777" w:rsidR="00A3112D" w:rsidRPr="00B74E01" w:rsidRDefault="00A3112D" w:rsidP="009018B0">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Impacto provável nas receitas acessórias</w:t>
            </w:r>
          </w:p>
        </w:tc>
      </w:tr>
      <w:tr w:rsidR="00A3112D" w:rsidRPr="00B74E01" w14:paraId="67FFDC7C" w14:textId="77777777" w:rsidTr="00050088">
        <w:trPr>
          <w:tblCellSpacing w:w="15" w:type="dxa"/>
        </w:trPr>
        <w:tc>
          <w:tcPr>
            <w:tcW w:w="0" w:type="auto"/>
            <w:vAlign w:val="center"/>
            <w:hideMark/>
          </w:tcPr>
          <w:p w14:paraId="5D512338" w14:textId="77777777" w:rsidR="00A3112D" w:rsidRPr="00B74E01" w:rsidRDefault="00A3112D" w:rsidP="009018B0">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70 t/dia</w:t>
            </w:r>
          </w:p>
        </w:tc>
        <w:tc>
          <w:tcPr>
            <w:tcW w:w="0" w:type="auto"/>
            <w:vAlign w:val="center"/>
            <w:hideMark/>
          </w:tcPr>
          <w:p w14:paraId="0CC10525" w14:textId="77777777" w:rsidR="00A3112D" w:rsidRPr="00B74E01" w:rsidRDefault="00A3112D" w:rsidP="009018B0">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Receita principal preservada pelo mínimo contratual de 80 t/dia</w:t>
            </w:r>
          </w:p>
        </w:tc>
        <w:tc>
          <w:tcPr>
            <w:tcW w:w="0" w:type="auto"/>
            <w:vAlign w:val="center"/>
            <w:hideMark/>
          </w:tcPr>
          <w:p w14:paraId="63EF2233" w14:textId="77777777" w:rsidR="00A3112D" w:rsidRPr="00B74E01" w:rsidRDefault="00A3112D" w:rsidP="009018B0">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Redução da geração de subprodutos e créditos</w:t>
            </w:r>
          </w:p>
        </w:tc>
      </w:tr>
      <w:tr w:rsidR="00A3112D" w:rsidRPr="00B74E01" w14:paraId="6F900ABB" w14:textId="77777777" w:rsidTr="00050088">
        <w:trPr>
          <w:tblCellSpacing w:w="15" w:type="dxa"/>
        </w:trPr>
        <w:tc>
          <w:tcPr>
            <w:tcW w:w="0" w:type="auto"/>
            <w:vAlign w:val="center"/>
            <w:hideMark/>
          </w:tcPr>
          <w:p w14:paraId="5DBA78B5" w14:textId="77777777" w:rsidR="00A3112D" w:rsidRPr="00B74E01" w:rsidRDefault="00A3112D" w:rsidP="009018B0">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80 t/dia</w:t>
            </w:r>
          </w:p>
        </w:tc>
        <w:tc>
          <w:tcPr>
            <w:tcW w:w="0" w:type="auto"/>
            <w:vAlign w:val="center"/>
            <w:hideMark/>
          </w:tcPr>
          <w:p w14:paraId="55B594AA" w14:textId="77777777" w:rsidR="00A3112D" w:rsidRPr="00B74E01" w:rsidRDefault="00A3112D" w:rsidP="009018B0">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Receita principal e receitas acessórias alinhadas à modelagem</w:t>
            </w:r>
          </w:p>
        </w:tc>
        <w:tc>
          <w:tcPr>
            <w:tcW w:w="0" w:type="auto"/>
            <w:vAlign w:val="center"/>
            <w:hideMark/>
          </w:tcPr>
          <w:p w14:paraId="32152097" w14:textId="77777777" w:rsidR="00A3112D" w:rsidRPr="00B74E01" w:rsidRDefault="00A3112D" w:rsidP="009018B0">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Cenário-base</w:t>
            </w:r>
          </w:p>
        </w:tc>
      </w:tr>
      <w:tr w:rsidR="00A3112D" w:rsidRPr="00B74E01" w14:paraId="796AF04F" w14:textId="77777777" w:rsidTr="00050088">
        <w:trPr>
          <w:tblCellSpacing w:w="15" w:type="dxa"/>
        </w:trPr>
        <w:tc>
          <w:tcPr>
            <w:tcW w:w="0" w:type="auto"/>
            <w:vAlign w:val="center"/>
            <w:hideMark/>
          </w:tcPr>
          <w:p w14:paraId="03F8ABE3" w14:textId="77777777" w:rsidR="00A3112D" w:rsidRPr="00B74E01" w:rsidRDefault="00A3112D" w:rsidP="009018B0">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90 t/dia</w:t>
            </w:r>
          </w:p>
        </w:tc>
        <w:tc>
          <w:tcPr>
            <w:tcW w:w="0" w:type="auto"/>
            <w:vAlign w:val="center"/>
            <w:hideMark/>
          </w:tcPr>
          <w:p w14:paraId="75E6D1FE" w14:textId="77777777" w:rsidR="00A3112D" w:rsidRPr="00B74E01" w:rsidRDefault="00A3112D" w:rsidP="009018B0">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Possível receita adicional de destinação, se contratualmente prevista</w:t>
            </w:r>
          </w:p>
        </w:tc>
        <w:tc>
          <w:tcPr>
            <w:tcW w:w="0" w:type="auto"/>
            <w:vAlign w:val="center"/>
            <w:hideMark/>
          </w:tcPr>
          <w:p w14:paraId="3312F5C2" w14:textId="77777777" w:rsidR="00A3112D" w:rsidRPr="00B74E01" w:rsidRDefault="00A3112D" w:rsidP="009018B0">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Aumento potencial de subprodutos e créditos</w:t>
            </w:r>
          </w:p>
        </w:tc>
      </w:tr>
    </w:tbl>
    <w:p w14:paraId="169208ED"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lastRenderedPageBreak/>
        <w:t>A distinção é importante: a quantidade mínima contratada protege a receita principal, mas não garante produção de subprodutos se o volume real processado for inferior. Por isso, as receitas acessórias devem ser vinculadas ao volume efetivamente tratado e à qualidade do RSU.</w:t>
      </w:r>
    </w:p>
    <w:p w14:paraId="28606E09" w14:textId="77777777" w:rsidR="00A3112D" w:rsidRPr="00B74E01" w:rsidRDefault="00A3112D" w:rsidP="009018B0">
      <w:pPr>
        <w:pStyle w:val="Ttulo2"/>
        <w:rPr>
          <w:rFonts w:eastAsia="Times New Roman"/>
          <w:lang w:eastAsia="pt-BR"/>
        </w:rPr>
      </w:pPr>
      <w:bookmarkStart w:id="182" w:name="_Toc230204184"/>
      <w:r w:rsidRPr="00B74E01">
        <w:rPr>
          <w:rFonts w:eastAsia="Times New Roman"/>
          <w:lang w:eastAsia="pt-BR"/>
        </w:rPr>
        <w:t>14.10. Cenário de estresse combinado</w:t>
      </w:r>
      <w:bookmarkEnd w:id="182"/>
    </w:p>
    <w:p w14:paraId="166A1F85"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Além das sensibilidades isoladas, recomenda-se avaliar um cenário de estresse combinado.</w:t>
      </w:r>
    </w:p>
    <w:p w14:paraId="0047F967"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Um cenário conservador poderia considerar: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790"/>
        <w:gridCol w:w="2551"/>
      </w:tblGrid>
      <w:tr w:rsidR="00A3112D" w:rsidRPr="00B74E01" w14:paraId="249E81B7" w14:textId="77777777" w:rsidTr="00050088">
        <w:trPr>
          <w:tblHeade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64378DDA" w14:textId="77777777" w:rsidR="00A3112D" w:rsidRPr="00B74E01" w:rsidRDefault="00A3112D" w:rsidP="009018B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Variável</w:t>
            </w:r>
          </w:p>
        </w:tc>
        <w:tc>
          <w:tcPr>
            <w:tcW w:w="0" w:type="auto"/>
            <w:tcBorders>
              <w:top w:val="single" w:sz="4" w:space="0" w:color="auto"/>
              <w:left w:val="single" w:sz="4" w:space="0" w:color="auto"/>
              <w:bottom w:val="single" w:sz="4" w:space="0" w:color="auto"/>
              <w:right w:val="single" w:sz="4" w:space="0" w:color="auto"/>
            </w:tcBorders>
            <w:vAlign w:val="center"/>
            <w:hideMark/>
          </w:tcPr>
          <w:p w14:paraId="4249CF32" w14:textId="77777777" w:rsidR="00A3112D" w:rsidRPr="00B74E01" w:rsidRDefault="00A3112D" w:rsidP="009018B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Premissa de estresse</w:t>
            </w:r>
          </w:p>
        </w:tc>
      </w:tr>
      <w:tr w:rsidR="00A3112D" w:rsidRPr="00B74E01" w14:paraId="6EBAE18D" w14:textId="77777777" w:rsidTr="0005008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6FE30712"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Tarifa de destinação</w:t>
            </w:r>
          </w:p>
        </w:tc>
        <w:tc>
          <w:tcPr>
            <w:tcW w:w="0" w:type="auto"/>
            <w:tcBorders>
              <w:top w:val="single" w:sz="4" w:space="0" w:color="auto"/>
              <w:left w:val="single" w:sz="4" w:space="0" w:color="auto"/>
              <w:bottom w:val="single" w:sz="4" w:space="0" w:color="auto"/>
              <w:right w:val="single" w:sz="4" w:space="0" w:color="auto"/>
            </w:tcBorders>
            <w:vAlign w:val="center"/>
            <w:hideMark/>
          </w:tcPr>
          <w:p w14:paraId="73932337"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R$ 95/t</w:t>
            </w:r>
          </w:p>
        </w:tc>
      </w:tr>
      <w:tr w:rsidR="00A3112D" w:rsidRPr="00B74E01" w14:paraId="674CF227" w14:textId="77777777" w:rsidTr="0005008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126BBFB5"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Receitas acessórias</w:t>
            </w:r>
          </w:p>
        </w:tc>
        <w:tc>
          <w:tcPr>
            <w:tcW w:w="0" w:type="auto"/>
            <w:tcBorders>
              <w:top w:val="single" w:sz="4" w:space="0" w:color="auto"/>
              <w:left w:val="single" w:sz="4" w:space="0" w:color="auto"/>
              <w:bottom w:val="single" w:sz="4" w:space="0" w:color="auto"/>
              <w:right w:val="single" w:sz="4" w:space="0" w:color="auto"/>
            </w:tcBorders>
            <w:vAlign w:val="center"/>
            <w:hideMark/>
          </w:tcPr>
          <w:p w14:paraId="4AA6425E"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0%</w:t>
            </w:r>
          </w:p>
        </w:tc>
      </w:tr>
      <w:tr w:rsidR="00A3112D" w:rsidRPr="00B74E01" w14:paraId="10809BA5" w14:textId="77777777" w:rsidTr="0005008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0DF2B27D"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Taxa de juros</w:t>
            </w:r>
          </w:p>
        </w:tc>
        <w:tc>
          <w:tcPr>
            <w:tcW w:w="0" w:type="auto"/>
            <w:tcBorders>
              <w:top w:val="single" w:sz="4" w:space="0" w:color="auto"/>
              <w:left w:val="single" w:sz="4" w:space="0" w:color="auto"/>
              <w:bottom w:val="single" w:sz="4" w:space="0" w:color="auto"/>
              <w:right w:val="single" w:sz="4" w:space="0" w:color="auto"/>
            </w:tcBorders>
            <w:vAlign w:val="center"/>
            <w:hideMark/>
          </w:tcPr>
          <w:p w14:paraId="32B6239A"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12% a.a.</w:t>
            </w:r>
          </w:p>
        </w:tc>
      </w:tr>
      <w:tr w:rsidR="00A3112D" w:rsidRPr="00B74E01" w14:paraId="54BA42CA" w14:textId="77777777" w:rsidTr="0005008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30DFD478"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OPEX</w:t>
            </w:r>
          </w:p>
        </w:tc>
        <w:tc>
          <w:tcPr>
            <w:tcW w:w="0" w:type="auto"/>
            <w:tcBorders>
              <w:top w:val="single" w:sz="4" w:space="0" w:color="auto"/>
              <w:left w:val="single" w:sz="4" w:space="0" w:color="auto"/>
              <w:bottom w:val="single" w:sz="4" w:space="0" w:color="auto"/>
              <w:right w:val="single" w:sz="4" w:space="0" w:color="auto"/>
            </w:tcBorders>
            <w:vAlign w:val="center"/>
            <w:hideMark/>
          </w:tcPr>
          <w:p w14:paraId="15E6DD08"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+10%</w:t>
            </w:r>
          </w:p>
        </w:tc>
      </w:tr>
      <w:tr w:rsidR="00A3112D" w:rsidRPr="00B74E01" w14:paraId="6ECFDD07" w14:textId="77777777" w:rsidTr="0005008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08A112C8"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CAPEX</w:t>
            </w:r>
          </w:p>
        </w:tc>
        <w:tc>
          <w:tcPr>
            <w:tcW w:w="0" w:type="auto"/>
            <w:tcBorders>
              <w:top w:val="single" w:sz="4" w:space="0" w:color="auto"/>
              <w:left w:val="single" w:sz="4" w:space="0" w:color="auto"/>
              <w:bottom w:val="single" w:sz="4" w:space="0" w:color="auto"/>
              <w:right w:val="single" w:sz="4" w:space="0" w:color="auto"/>
            </w:tcBorders>
            <w:vAlign w:val="center"/>
            <w:hideMark/>
          </w:tcPr>
          <w:p w14:paraId="265A3C81"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+10%</w:t>
            </w:r>
          </w:p>
        </w:tc>
      </w:tr>
      <w:tr w:rsidR="00A3112D" w:rsidRPr="00B74E01" w14:paraId="746F708F" w14:textId="77777777" w:rsidTr="0005008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375F5047"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Remuneração energética</w:t>
            </w:r>
          </w:p>
        </w:tc>
        <w:tc>
          <w:tcPr>
            <w:tcW w:w="0" w:type="auto"/>
            <w:tcBorders>
              <w:top w:val="single" w:sz="4" w:space="0" w:color="auto"/>
              <w:left w:val="single" w:sz="4" w:space="0" w:color="auto"/>
              <w:bottom w:val="single" w:sz="4" w:space="0" w:color="auto"/>
              <w:right w:val="single" w:sz="4" w:space="0" w:color="auto"/>
            </w:tcBorders>
            <w:vAlign w:val="center"/>
            <w:hideMark/>
          </w:tcPr>
          <w:p w14:paraId="5E977BA6"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Base</w:t>
            </w:r>
          </w:p>
        </w:tc>
      </w:tr>
    </w:tbl>
    <w:p w14:paraId="723E154F"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Esse cenário representa uma combinação desfavorável: menor tarifa de destinação, ausência de receitas acessórias, juros elevados, OPEX maior e CAPEX superior.</w:t>
      </w:r>
    </w:p>
    <w:p w14:paraId="52C45F2D"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Nesse tipo de cenário, a modelagem tende a ficar pressionada e poderá exigir:</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911"/>
        <w:gridCol w:w="4271"/>
      </w:tblGrid>
      <w:tr w:rsidR="00A3112D" w:rsidRPr="00B74E01" w14:paraId="46FC1217" w14:textId="77777777" w:rsidTr="00050088">
        <w:trPr>
          <w:tblHeader/>
          <w:tblCellSpacing w:w="15" w:type="dxa"/>
        </w:trPr>
        <w:tc>
          <w:tcPr>
            <w:tcW w:w="0" w:type="auto"/>
            <w:vAlign w:val="center"/>
            <w:hideMark/>
          </w:tcPr>
          <w:p w14:paraId="52841557" w14:textId="77777777" w:rsidR="00A3112D" w:rsidRPr="00B74E01" w:rsidRDefault="00A3112D" w:rsidP="009018B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Medida de mitigação</w:t>
            </w:r>
          </w:p>
        </w:tc>
        <w:tc>
          <w:tcPr>
            <w:tcW w:w="0" w:type="auto"/>
            <w:vAlign w:val="center"/>
            <w:hideMark/>
          </w:tcPr>
          <w:p w14:paraId="30339C33" w14:textId="77777777" w:rsidR="00A3112D" w:rsidRPr="00B74E01" w:rsidRDefault="00A3112D" w:rsidP="009018B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Função</w:t>
            </w:r>
          </w:p>
        </w:tc>
      </w:tr>
      <w:tr w:rsidR="00A3112D" w:rsidRPr="00B74E01" w14:paraId="6117FDBD" w14:textId="77777777" w:rsidTr="00050088">
        <w:trPr>
          <w:tblCellSpacing w:w="15" w:type="dxa"/>
        </w:trPr>
        <w:tc>
          <w:tcPr>
            <w:tcW w:w="0" w:type="auto"/>
            <w:vAlign w:val="center"/>
            <w:hideMark/>
          </w:tcPr>
          <w:p w14:paraId="4F4ED3B9"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Reforço do Fundo Garantidor</w:t>
            </w:r>
          </w:p>
        </w:tc>
        <w:tc>
          <w:tcPr>
            <w:tcW w:w="0" w:type="auto"/>
            <w:vAlign w:val="center"/>
            <w:hideMark/>
          </w:tcPr>
          <w:p w14:paraId="1E1D321B"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Proteger receitas principais</w:t>
            </w:r>
          </w:p>
        </w:tc>
      </w:tr>
      <w:tr w:rsidR="00A3112D" w:rsidRPr="00B74E01" w14:paraId="21725988" w14:textId="77777777" w:rsidTr="00050088">
        <w:trPr>
          <w:tblCellSpacing w:w="15" w:type="dxa"/>
        </w:trPr>
        <w:tc>
          <w:tcPr>
            <w:tcW w:w="0" w:type="auto"/>
            <w:vAlign w:val="center"/>
            <w:hideMark/>
          </w:tcPr>
          <w:p w14:paraId="706E23E2"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 xml:space="preserve">Aporte de </w:t>
            </w:r>
            <w:proofErr w:type="spellStart"/>
            <w:r w:rsidRPr="00B74E01">
              <w:rPr>
                <w:rFonts w:eastAsia="Times New Roman" w:cs="Arial"/>
                <w:kern w:val="0"/>
                <w:lang w:eastAsia="pt-BR"/>
                <w14:ligatures w14:val="none"/>
              </w:rPr>
              <w:t>equity</w:t>
            </w:r>
            <w:proofErr w:type="spellEnd"/>
          </w:p>
        </w:tc>
        <w:tc>
          <w:tcPr>
            <w:tcW w:w="0" w:type="auto"/>
            <w:vAlign w:val="center"/>
            <w:hideMark/>
          </w:tcPr>
          <w:p w14:paraId="4C638857"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Reduzir alavancagem</w:t>
            </w:r>
          </w:p>
        </w:tc>
      </w:tr>
      <w:tr w:rsidR="00A3112D" w:rsidRPr="00B74E01" w14:paraId="3B5AAAF3" w14:textId="77777777" w:rsidTr="00050088">
        <w:trPr>
          <w:tblCellSpacing w:w="15" w:type="dxa"/>
        </w:trPr>
        <w:tc>
          <w:tcPr>
            <w:tcW w:w="0" w:type="auto"/>
            <w:vAlign w:val="center"/>
            <w:hideMark/>
          </w:tcPr>
          <w:p w14:paraId="3AE18DC6"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Redução ou otimização do CAPEX</w:t>
            </w:r>
          </w:p>
        </w:tc>
        <w:tc>
          <w:tcPr>
            <w:tcW w:w="0" w:type="auto"/>
            <w:vAlign w:val="center"/>
            <w:hideMark/>
          </w:tcPr>
          <w:p w14:paraId="7A08B6D3"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Melhorar serviço da dívida</w:t>
            </w:r>
          </w:p>
        </w:tc>
      </w:tr>
      <w:tr w:rsidR="00A3112D" w:rsidRPr="00B74E01" w14:paraId="3AC0236B" w14:textId="77777777" w:rsidTr="00050088">
        <w:trPr>
          <w:tblCellSpacing w:w="15" w:type="dxa"/>
        </w:trPr>
        <w:tc>
          <w:tcPr>
            <w:tcW w:w="0" w:type="auto"/>
            <w:vAlign w:val="center"/>
            <w:hideMark/>
          </w:tcPr>
          <w:p w14:paraId="205CEE24"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Reestruturação do financiamento</w:t>
            </w:r>
          </w:p>
        </w:tc>
        <w:tc>
          <w:tcPr>
            <w:tcW w:w="0" w:type="auto"/>
            <w:vAlign w:val="center"/>
            <w:hideMark/>
          </w:tcPr>
          <w:p w14:paraId="2828A7F5"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Alongar prazo ou reduzir juros</w:t>
            </w:r>
          </w:p>
        </w:tc>
      </w:tr>
      <w:tr w:rsidR="00A3112D" w:rsidRPr="00B74E01" w14:paraId="6A8904CA" w14:textId="77777777" w:rsidTr="00050088">
        <w:trPr>
          <w:tblCellSpacing w:w="15" w:type="dxa"/>
        </w:trPr>
        <w:tc>
          <w:tcPr>
            <w:tcW w:w="0" w:type="auto"/>
            <w:vAlign w:val="center"/>
            <w:hideMark/>
          </w:tcPr>
          <w:p w14:paraId="781B894C"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Revisão da tarifa de destinação</w:t>
            </w:r>
          </w:p>
        </w:tc>
        <w:tc>
          <w:tcPr>
            <w:tcW w:w="0" w:type="auto"/>
            <w:vAlign w:val="center"/>
            <w:hideMark/>
          </w:tcPr>
          <w:p w14:paraId="536F291C"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Reequilibrar fluxo contratual</w:t>
            </w:r>
          </w:p>
        </w:tc>
      </w:tr>
      <w:tr w:rsidR="00A3112D" w:rsidRPr="00B74E01" w14:paraId="174FFE31" w14:textId="77777777" w:rsidTr="00050088">
        <w:trPr>
          <w:tblCellSpacing w:w="15" w:type="dxa"/>
        </w:trPr>
        <w:tc>
          <w:tcPr>
            <w:tcW w:w="0" w:type="auto"/>
            <w:vAlign w:val="center"/>
            <w:hideMark/>
          </w:tcPr>
          <w:p w14:paraId="2589AF9F"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lastRenderedPageBreak/>
              <w:t>Confirmação de receitas acessórias</w:t>
            </w:r>
          </w:p>
        </w:tc>
        <w:tc>
          <w:tcPr>
            <w:tcW w:w="0" w:type="auto"/>
            <w:vAlign w:val="center"/>
            <w:hideMark/>
          </w:tcPr>
          <w:p w14:paraId="2E23325E"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Melhorar DSCR</w:t>
            </w:r>
          </w:p>
        </w:tc>
      </w:tr>
      <w:tr w:rsidR="00A3112D" w:rsidRPr="00B74E01" w14:paraId="5EFA2A77" w14:textId="77777777" w:rsidTr="00050088">
        <w:trPr>
          <w:tblCellSpacing w:w="15" w:type="dxa"/>
        </w:trPr>
        <w:tc>
          <w:tcPr>
            <w:tcW w:w="0" w:type="auto"/>
            <w:vAlign w:val="center"/>
            <w:hideMark/>
          </w:tcPr>
          <w:p w14:paraId="72D7608F"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Conta reserva de dívida</w:t>
            </w:r>
          </w:p>
        </w:tc>
        <w:tc>
          <w:tcPr>
            <w:tcW w:w="0" w:type="auto"/>
            <w:vAlign w:val="center"/>
            <w:hideMark/>
          </w:tcPr>
          <w:p w14:paraId="4BA04815"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Aumentar segurança dos financiadores</w:t>
            </w:r>
          </w:p>
        </w:tc>
      </w:tr>
    </w:tbl>
    <w:p w14:paraId="3E3BF318"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O objetivo do cenário de estresse não é desqualificar o projeto, mas demonstrar que ele exige estrutura financeira, garantias e alocação de riscos compatíveis com sua complexidade.</w:t>
      </w:r>
    </w:p>
    <w:p w14:paraId="4BBA490E" w14:textId="77777777" w:rsidR="00A3112D" w:rsidRPr="00B74E01" w:rsidRDefault="00A3112D" w:rsidP="009018B0">
      <w:pPr>
        <w:pStyle w:val="Ttulo2"/>
        <w:rPr>
          <w:rFonts w:eastAsia="Times New Roman"/>
          <w:lang w:eastAsia="pt-BR"/>
        </w:rPr>
      </w:pPr>
      <w:bookmarkStart w:id="183" w:name="_Toc230204185"/>
      <w:r w:rsidRPr="00B74E01">
        <w:rPr>
          <w:rFonts w:eastAsia="Times New Roman"/>
          <w:lang w:eastAsia="pt-BR"/>
        </w:rPr>
        <w:t>14.11. Leitura geral das sensibilidades</w:t>
      </w:r>
      <w:bookmarkEnd w:id="183"/>
    </w:p>
    <w:p w14:paraId="4491766D"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leitura consolidada das sensibilidades é a seguinte:</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861"/>
        <w:gridCol w:w="3330"/>
        <w:gridCol w:w="3870"/>
      </w:tblGrid>
      <w:tr w:rsidR="00A3112D" w:rsidRPr="00B74E01" w14:paraId="49E6BECE" w14:textId="77777777" w:rsidTr="00050088">
        <w:trPr>
          <w:tblHeader/>
          <w:tblCellSpacing w:w="15" w:type="dxa"/>
        </w:trPr>
        <w:tc>
          <w:tcPr>
            <w:tcW w:w="0" w:type="auto"/>
            <w:vAlign w:val="center"/>
            <w:hideMark/>
          </w:tcPr>
          <w:p w14:paraId="1B79135C" w14:textId="77777777" w:rsidR="00A3112D" w:rsidRPr="00B74E01" w:rsidRDefault="00A3112D" w:rsidP="009018B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Variável</w:t>
            </w:r>
          </w:p>
        </w:tc>
        <w:tc>
          <w:tcPr>
            <w:tcW w:w="0" w:type="auto"/>
            <w:vAlign w:val="center"/>
            <w:hideMark/>
          </w:tcPr>
          <w:p w14:paraId="0EE86925" w14:textId="77777777" w:rsidR="00A3112D" w:rsidRPr="00B74E01" w:rsidRDefault="00A3112D" w:rsidP="009018B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Impacto no projeto</w:t>
            </w:r>
          </w:p>
        </w:tc>
        <w:tc>
          <w:tcPr>
            <w:tcW w:w="0" w:type="auto"/>
            <w:vAlign w:val="center"/>
            <w:hideMark/>
          </w:tcPr>
          <w:p w14:paraId="0516772D" w14:textId="77777777" w:rsidR="00A3112D" w:rsidRPr="00B74E01" w:rsidRDefault="00A3112D" w:rsidP="009018B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Tratamento recomendado</w:t>
            </w:r>
          </w:p>
        </w:tc>
      </w:tr>
      <w:tr w:rsidR="00A3112D" w:rsidRPr="00B74E01" w14:paraId="47DA3485" w14:textId="77777777" w:rsidTr="00050088">
        <w:trPr>
          <w:tblCellSpacing w:w="15" w:type="dxa"/>
        </w:trPr>
        <w:tc>
          <w:tcPr>
            <w:tcW w:w="0" w:type="auto"/>
            <w:vAlign w:val="center"/>
            <w:hideMark/>
          </w:tcPr>
          <w:p w14:paraId="3432CD49"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Tarifa de destinação</w:t>
            </w:r>
          </w:p>
        </w:tc>
        <w:tc>
          <w:tcPr>
            <w:tcW w:w="0" w:type="auto"/>
            <w:vAlign w:val="center"/>
            <w:hideMark/>
          </w:tcPr>
          <w:p w14:paraId="1BFA4B4E"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Impacto direto na receita principal</w:t>
            </w:r>
          </w:p>
        </w:tc>
        <w:tc>
          <w:tcPr>
            <w:tcW w:w="0" w:type="auto"/>
            <w:vAlign w:val="center"/>
            <w:hideMark/>
          </w:tcPr>
          <w:p w14:paraId="6C27A462"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Definir faixa licitatória e critério objetivo</w:t>
            </w:r>
          </w:p>
        </w:tc>
      </w:tr>
      <w:tr w:rsidR="00A3112D" w:rsidRPr="00B74E01" w14:paraId="06AE3CCF" w14:textId="77777777" w:rsidTr="00050088">
        <w:trPr>
          <w:tblCellSpacing w:w="15" w:type="dxa"/>
        </w:trPr>
        <w:tc>
          <w:tcPr>
            <w:tcW w:w="0" w:type="auto"/>
            <w:vAlign w:val="center"/>
            <w:hideMark/>
          </w:tcPr>
          <w:p w14:paraId="191DA1F8"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Receitas acessórias</w:t>
            </w:r>
          </w:p>
        </w:tc>
        <w:tc>
          <w:tcPr>
            <w:tcW w:w="0" w:type="auto"/>
            <w:vAlign w:val="center"/>
            <w:hideMark/>
          </w:tcPr>
          <w:p w14:paraId="20DB5DCB"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Alto impacto na robustez</w:t>
            </w:r>
          </w:p>
        </w:tc>
        <w:tc>
          <w:tcPr>
            <w:tcW w:w="0" w:type="auto"/>
            <w:vAlign w:val="center"/>
            <w:hideMark/>
          </w:tcPr>
          <w:p w14:paraId="1AA9FF27"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 xml:space="preserve">Tratar como </w:t>
            </w:r>
            <w:proofErr w:type="spellStart"/>
            <w:r w:rsidRPr="00B74E01">
              <w:rPr>
                <w:rFonts w:eastAsia="Times New Roman" w:cs="Arial"/>
                <w:kern w:val="0"/>
                <w:lang w:eastAsia="pt-BR"/>
                <w14:ligatures w14:val="none"/>
              </w:rPr>
              <w:t>upside</w:t>
            </w:r>
            <w:proofErr w:type="spellEnd"/>
            <w:r w:rsidRPr="00B74E01">
              <w:rPr>
                <w:rFonts w:eastAsia="Times New Roman" w:cs="Arial"/>
                <w:kern w:val="0"/>
                <w:lang w:eastAsia="pt-BR"/>
                <w14:ligatures w14:val="none"/>
              </w:rPr>
              <w:t xml:space="preserve"> da SPE, sem garantia pública</w:t>
            </w:r>
          </w:p>
        </w:tc>
      </w:tr>
      <w:tr w:rsidR="00A3112D" w:rsidRPr="00B74E01" w14:paraId="2D2BC726" w14:textId="77777777" w:rsidTr="00050088">
        <w:trPr>
          <w:tblCellSpacing w:w="15" w:type="dxa"/>
        </w:trPr>
        <w:tc>
          <w:tcPr>
            <w:tcW w:w="0" w:type="auto"/>
            <w:vAlign w:val="center"/>
            <w:hideMark/>
          </w:tcPr>
          <w:p w14:paraId="655F892B"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Juros</w:t>
            </w:r>
          </w:p>
        </w:tc>
        <w:tc>
          <w:tcPr>
            <w:tcW w:w="0" w:type="auto"/>
            <w:vAlign w:val="center"/>
            <w:hideMark/>
          </w:tcPr>
          <w:p w14:paraId="1D1E2AC3"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Alto impacto no DSCR mínimo</w:t>
            </w:r>
          </w:p>
        </w:tc>
        <w:tc>
          <w:tcPr>
            <w:tcW w:w="0" w:type="auto"/>
            <w:vAlign w:val="center"/>
            <w:hideMark/>
          </w:tcPr>
          <w:p w14:paraId="295B4326"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 xml:space="preserve">Buscar fonte adequada, garantias e eventual </w:t>
            </w:r>
            <w:proofErr w:type="spellStart"/>
            <w:r w:rsidRPr="00B74E01">
              <w:rPr>
                <w:rFonts w:eastAsia="Times New Roman" w:cs="Arial"/>
                <w:kern w:val="0"/>
                <w:lang w:eastAsia="pt-BR"/>
                <w14:ligatures w14:val="none"/>
              </w:rPr>
              <w:t>equity</w:t>
            </w:r>
            <w:proofErr w:type="spellEnd"/>
          </w:p>
        </w:tc>
      </w:tr>
      <w:tr w:rsidR="00A3112D" w:rsidRPr="00B74E01" w14:paraId="47E3FA0F" w14:textId="77777777" w:rsidTr="00050088">
        <w:trPr>
          <w:tblCellSpacing w:w="15" w:type="dxa"/>
        </w:trPr>
        <w:tc>
          <w:tcPr>
            <w:tcW w:w="0" w:type="auto"/>
            <w:vAlign w:val="center"/>
            <w:hideMark/>
          </w:tcPr>
          <w:p w14:paraId="0383B514"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OPEX</w:t>
            </w:r>
          </w:p>
        </w:tc>
        <w:tc>
          <w:tcPr>
            <w:tcW w:w="0" w:type="auto"/>
            <w:vAlign w:val="center"/>
            <w:hideMark/>
          </w:tcPr>
          <w:p w14:paraId="6EC6838C"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Impacto direto no EBITDA</w:t>
            </w:r>
          </w:p>
        </w:tc>
        <w:tc>
          <w:tcPr>
            <w:tcW w:w="0" w:type="auto"/>
            <w:vAlign w:val="center"/>
            <w:hideMark/>
          </w:tcPr>
          <w:p w14:paraId="50B19668"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Exigir plano operacional e controle de custos</w:t>
            </w:r>
          </w:p>
        </w:tc>
      </w:tr>
      <w:tr w:rsidR="00A3112D" w:rsidRPr="00B74E01" w14:paraId="3DAFEDE9" w14:textId="77777777" w:rsidTr="00050088">
        <w:trPr>
          <w:tblCellSpacing w:w="15" w:type="dxa"/>
        </w:trPr>
        <w:tc>
          <w:tcPr>
            <w:tcW w:w="0" w:type="auto"/>
            <w:vAlign w:val="center"/>
            <w:hideMark/>
          </w:tcPr>
          <w:p w14:paraId="0FFCE8F8"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CAPEX</w:t>
            </w:r>
          </w:p>
        </w:tc>
        <w:tc>
          <w:tcPr>
            <w:tcW w:w="0" w:type="auto"/>
            <w:vAlign w:val="center"/>
            <w:hideMark/>
          </w:tcPr>
          <w:p w14:paraId="74822B90"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Impacto no serviço da dívida</w:t>
            </w:r>
          </w:p>
        </w:tc>
        <w:tc>
          <w:tcPr>
            <w:tcW w:w="0" w:type="auto"/>
            <w:vAlign w:val="center"/>
            <w:hideMark/>
          </w:tcPr>
          <w:p w14:paraId="40CE195D"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Alocar risco ordinário à SPE</w:t>
            </w:r>
          </w:p>
        </w:tc>
      </w:tr>
      <w:tr w:rsidR="00A3112D" w:rsidRPr="00B74E01" w14:paraId="2BA70E99" w14:textId="77777777" w:rsidTr="00050088">
        <w:trPr>
          <w:tblCellSpacing w:w="15" w:type="dxa"/>
        </w:trPr>
        <w:tc>
          <w:tcPr>
            <w:tcW w:w="0" w:type="auto"/>
            <w:vAlign w:val="center"/>
            <w:hideMark/>
          </w:tcPr>
          <w:p w14:paraId="2146D76B"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Energia</w:t>
            </w:r>
          </w:p>
        </w:tc>
        <w:tc>
          <w:tcPr>
            <w:tcW w:w="0" w:type="auto"/>
            <w:vAlign w:val="center"/>
            <w:hideMark/>
          </w:tcPr>
          <w:p w14:paraId="35C2DA32"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Impacto na receita e na economia municipal</w:t>
            </w:r>
          </w:p>
        </w:tc>
        <w:tc>
          <w:tcPr>
            <w:tcW w:w="0" w:type="auto"/>
            <w:vAlign w:val="center"/>
            <w:hideMark/>
          </w:tcPr>
          <w:p w14:paraId="0F397E18"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Calibrar com cuidado jurídico e econômico</w:t>
            </w:r>
          </w:p>
        </w:tc>
      </w:tr>
      <w:tr w:rsidR="00A3112D" w:rsidRPr="00B74E01" w14:paraId="4D23E5CE" w14:textId="77777777" w:rsidTr="00050088">
        <w:trPr>
          <w:tblCellSpacing w:w="15" w:type="dxa"/>
        </w:trPr>
        <w:tc>
          <w:tcPr>
            <w:tcW w:w="0" w:type="auto"/>
            <w:vAlign w:val="center"/>
            <w:hideMark/>
          </w:tcPr>
          <w:p w14:paraId="42E7E00B"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Volume processado</w:t>
            </w:r>
          </w:p>
        </w:tc>
        <w:tc>
          <w:tcPr>
            <w:tcW w:w="0" w:type="auto"/>
            <w:vAlign w:val="center"/>
            <w:hideMark/>
          </w:tcPr>
          <w:p w14:paraId="548AE561"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Impacta subprodutos e desempenho</w:t>
            </w:r>
          </w:p>
        </w:tc>
        <w:tc>
          <w:tcPr>
            <w:tcW w:w="0" w:type="auto"/>
            <w:vAlign w:val="center"/>
            <w:hideMark/>
          </w:tcPr>
          <w:p w14:paraId="6F8E9CD7"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Proteger mínimo contratual e medir volume real</w:t>
            </w:r>
          </w:p>
        </w:tc>
      </w:tr>
    </w:tbl>
    <w:p w14:paraId="7533F9DB"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modelagem demonstra que o projeto é positivo no cenário-base, robusto com receitas acessórias e sensível a juros, OPEX, CAPEX e frustração de receitas de mercado.</w:t>
      </w:r>
    </w:p>
    <w:p w14:paraId="66054795" w14:textId="5F802879" w:rsidR="00A3112D" w:rsidRDefault="00A3112D" w:rsidP="00B74E01">
      <w:pPr>
        <w:spacing w:after="0" w:line="360" w:lineRule="auto"/>
        <w:ind w:firstLine="709"/>
        <w:jc w:val="both"/>
        <w:rPr>
          <w:rFonts w:eastAsia="Times New Roman" w:cs="Arial"/>
          <w:kern w:val="0"/>
          <w:lang w:eastAsia="pt-BR"/>
          <w14:ligatures w14:val="none"/>
        </w:rPr>
      </w:pPr>
    </w:p>
    <w:p w14:paraId="7F999D7E" w14:textId="77777777" w:rsidR="009018B0" w:rsidRDefault="009018B0" w:rsidP="00B74E01">
      <w:pPr>
        <w:spacing w:after="0" w:line="360" w:lineRule="auto"/>
        <w:ind w:firstLine="709"/>
        <w:jc w:val="both"/>
        <w:rPr>
          <w:rFonts w:eastAsia="Times New Roman" w:cs="Arial"/>
          <w:kern w:val="0"/>
          <w:lang w:eastAsia="pt-BR"/>
          <w14:ligatures w14:val="none"/>
        </w:rPr>
      </w:pPr>
    </w:p>
    <w:p w14:paraId="7398173C" w14:textId="77777777" w:rsidR="00A3112D" w:rsidRPr="00B74E01" w:rsidRDefault="00A3112D" w:rsidP="009018B0">
      <w:pPr>
        <w:pStyle w:val="Ttulo2"/>
        <w:rPr>
          <w:rFonts w:eastAsia="Times New Roman"/>
          <w:lang w:eastAsia="pt-BR"/>
        </w:rPr>
      </w:pPr>
      <w:bookmarkStart w:id="184" w:name="_Toc230204186"/>
      <w:r w:rsidRPr="00B74E01">
        <w:rPr>
          <w:rFonts w:eastAsia="Times New Roman"/>
          <w:lang w:eastAsia="pt-BR"/>
        </w:rPr>
        <w:lastRenderedPageBreak/>
        <w:t>14.12. Conclusão do tópico</w:t>
      </w:r>
      <w:bookmarkEnd w:id="184"/>
    </w:p>
    <w:p w14:paraId="2CC05F85"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 análise de sensibilidade demonstra que a PPP possui sustentabilidade mínima no cenário-base, mas exige estrutura contratual cuidadosa para preservar sua </w:t>
      </w:r>
      <w:proofErr w:type="spellStart"/>
      <w:r w:rsidRPr="00B74E01">
        <w:rPr>
          <w:rFonts w:eastAsia="Times New Roman" w:cs="Arial"/>
          <w:kern w:val="0"/>
          <w:lang w:eastAsia="pt-BR"/>
          <w14:ligatures w14:val="none"/>
        </w:rPr>
        <w:t>bancabilidade</w:t>
      </w:r>
      <w:proofErr w:type="spellEnd"/>
      <w:r w:rsidRPr="00B74E01">
        <w:rPr>
          <w:rFonts w:eastAsia="Times New Roman" w:cs="Arial"/>
          <w:kern w:val="0"/>
          <w:lang w:eastAsia="pt-BR"/>
          <w14:ligatures w14:val="none"/>
        </w:rPr>
        <w:t>.</w:t>
      </w:r>
    </w:p>
    <w:p w14:paraId="6B1D3B91"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O cenário sem receitas acessórias fecha positivamente, com DSCR de </w:t>
      </w:r>
      <w:r w:rsidRPr="00B74E01">
        <w:rPr>
          <w:rFonts w:eastAsia="Times New Roman" w:cs="Arial"/>
          <w:b/>
          <w:bCs/>
          <w:kern w:val="0"/>
          <w:lang w:eastAsia="pt-BR"/>
          <w14:ligatures w14:val="none"/>
        </w:rPr>
        <w:t>1,12x</w:t>
      </w:r>
      <w:r w:rsidRPr="00B74E01">
        <w:rPr>
          <w:rFonts w:eastAsia="Times New Roman" w:cs="Arial"/>
          <w:kern w:val="0"/>
          <w:lang w:eastAsia="pt-BR"/>
          <w14:ligatures w14:val="none"/>
        </w:rPr>
        <w:t xml:space="preserve">, mas possui margem restrita. O cenário com receitas acessórias apresenta forte robustez, com DSCR de </w:t>
      </w:r>
      <w:r w:rsidRPr="00B74E01">
        <w:rPr>
          <w:rFonts w:eastAsia="Times New Roman" w:cs="Arial"/>
          <w:b/>
          <w:bCs/>
          <w:kern w:val="0"/>
          <w:lang w:eastAsia="pt-BR"/>
          <w14:ligatures w14:val="none"/>
        </w:rPr>
        <w:t>3,94x</w:t>
      </w:r>
      <w:r w:rsidRPr="00B74E01">
        <w:rPr>
          <w:rFonts w:eastAsia="Times New Roman" w:cs="Arial"/>
          <w:kern w:val="0"/>
          <w:lang w:eastAsia="pt-BR"/>
          <w14:ligatures w14:val="none"/>
        </w:rPr>
        <w:t xml:space="preserve">. A tarifa superior regional de </w:t>
      </w:r>
      <w:r w:rsidRPr="00B74E01">
        <w:rPr>
          <w:rFonts w:eastAsia="Times New Roman" w:cs="Arial"/>
          <w:b/>
          <w:bCs/>
          <w:kern w:val="0"/>
          <w:lang w:eastAsia="pt-BR"/>
          <w14:ligatures w14:val="none"/>
        </w:rPr>
        <w:t>R$ 140/t</w:t>
      </w:r>
      <w:r w:rsidRPr="00B74E01">
        <w:rPr>
          <w:rFonts w:eastAsia="Times New Roman" w:cs="Arial"/>
          <w:kern w:val="0"/>
          <w:lang w:eastAsia="pt-BR"/>
          <w14:ligatures w14:val="none"/>
        </w:rPr>
        <w:t xml:space="preserve"> melhora a cobertura da dívida, elevando o DSCR sem receitas acessórias para </w:t>
      </w:r>
      <w:r w:rsidRPr="00B74E01">
        <w:rPr>
          <w:rFonts w:eastAsia="Times New Roman" w:cs="Arial"/>
          <w:b/>
          <w:bCs/>
          <w:kern w:val="0"/>
          <w:lang w:eastAsia="pt-BR"/>
          <w14:ligatures w14:val="none"/>
        </w:rPr>
        <w:t>1,47x</w:t>
      </w:r>
      <w:r w:rsidRPr="00B74E01">
        <w:rPr>
          <w:rFonts w:eastAsia="Times New Roman" w:cs="Arial"/>
          <w:kern w:val="0"/>
          <w:lang w:eastAsia="pt-BR"/>
          <w14:ligatures w14:val="none"/>
        </w:rPr>
        <w:t>.</w:t>
      </w:r>
    </w:p>
    <w:p w14:paraId="5B832A1A"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 taxa de juros é uma das variáveis mais sensíveis. No cenário de </w:t>
      </w:r>
      <w:r w:rsidRPr="00B74E01">
        <w:rPr>
          <w:rFonts w:eastAsia="Times New Roman" w:cs="Arial"/>
          <w:b/>
          <w:bCs/>
          <w:kern w:val="0"/>
          <w:lang w:eastAsia="pt-BR"/>
          <w14:ligatures w14:val="none"/>
        </w:rPr>
        <w:t>12% a.a.</w:t>
      </w:r>
      <w:r w:rsidRPr="00B74E01">
        <w:rPr>
          <w:rFonts w:eastAsia="Times New Roman" w:cs="Arial"/>
          <w:kern w:val="0"/>
          <w:lang w:eastAsia="pt-BR"/>
          <w14:ligatures w14:val="none"/>
        </w:rPr>
        <w:t xml:space="preserve">, sem receitas acessórias, o DSCR cai para aproximadamente </w:t>
      </w:r>
      <w:r w:rsidRPr="00B74E01">
        <w:rPr>
          <w:rFonts w:eastAsia="Times New Roman" w:cs="Arial"/>
          <w:b/>
          <w:bCs/>
          <w:kern w:val="0"/>
          <w:lang w:eastAsia="pt-BR"/>
          <w14:ligatures w14:val="none"/>
        </w:rPr>
        <w:t>0,99x</w:t>
      </w:r>
      <w:r w:rsidRPr="00B74E01">
        <w:rPr>
          <w:rFonts w:eastAsia="Times New Roman" w:cs="Arial"/>
          <w:kern w:val="0"/>
          <w:lang w:eastAsia="pt-BR"/>
          <w14:ligatures w14:val="none"/>
        </w:rPr>
        <w:t>, indicando necessidade de mitigadores financeiros. O OPEX, o CAPEX e a remuneração energética também devem ser acompanhados com cuidado.</w:t>
      </w:r>
    </w:p>
    <w:p w14:paraId="51F30E2C"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conclusão é que o projeto é economicamente defensável, desde que estruturado com garantias adequadas, matriz de riscos clara, distinção entre receitas principais e acessórias, exigência de comprovação dos licitantes e análise de sensibilidade transparente.</w:t>
      </w:r>
    </w:p>
    <w:p w14:paraId="747388F2"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Esse tratamento reduz risco de impugnação, melhora a leitura por financiadores e demonstra prudência perante os órgãos de controle.</w:t>
      </w:r>
    </w:p>
    <w:p w14:paraId="0F599963" w14:textId="2898A3AB" w:rsidR="00A3112D" w:rsidRDefault="00A3112D" w:rsidP="00B74E01">
      <w:pPr>
        <w:spacing w:after="0" w:line="360" w:lineRule="auto"/>
        <w:ind w:firstLine="709"/>
        <w:jc w:val="both"/>
        <w:rPr>
          <w:rFonts w:eastAsia="Times New Roman" w:cs="Arial"/>
          <w:kern w:val="0"/>
          <w:lang w:eastAsia="pt-BR"/>
          <w14:ligatures w14:val="none"/>
        </w:rPr>
      </w:pPr>
    </w:p>
    <w:p w14:paraId="573A4E1D" w14:textId="77777777" w:rsidR="009018B0" w:rsidRDefault="009018B0" w:rsidP="00B74E01">
      <w:pPr>
        <w:spacing w:after="0" w:line="360" w:lineRule="auto"/>
        <w:ind w:firstLine="709"/>
        <w:jc w:val="both"/>
        <w:rPr>
          <w:rFonts w:eastAsia="Times New Roman" w:cs="Arial"/>
          <w:kern w:val="0"/>
          <w:lang w:eastAsia="pt-BR"/>
          <w14:ligatures w14:val="none"/>
        </w:rPr>
      </w:pPr>
    </w:p>
    <w:p w14:paraId="38A7ED9A" w14:textId="77777777" w:rsidR="009018B0" w:rsidRDefault="009018B0" w:rsidP="00B74E01">
      <w:pPr>
        <w:spacing w:after="0" w:line="360" w:lineRule="auto"/>
        <w:ind w:firstLine="709"/>
        <w:jc w:val="both"/>
        <w:rPr>
          <w:rFonts w:eastAsia="Times New Roman" w:cs="Arial"/>
          <w:kern w:val="0"/>
          <w:lang w:eastAsia="pt-BR"/>
          <w14:ligatures w14:val="none"/>
        </w:rPr>
      </w:pPr>
    </w:p>
    <w:p w14:paraId="14242B1C" w14:textId="77777777" w:rsidR="009018B0" w:rsidRDefault="009018B0" w:rsidP="00B74E01">
      <w:pPr>
        <w:spacing w:after="0" w:line="360" w:lineRule="auto"/>
        <w:ind w:firstLine="709"/>
        <w:jc w:val="both"/>
        <w:rPr>
          <w:rFonts w:eastAsia="Times New Roman" w:cs="Arial"/>
          <w:kern w:val="0"/>
          <w:lang w:eastAsia="pt-BR"/>
          <w14:ligatures w14:val="none"/>
        </w:rPr>
      </w:pPr>
    </w:p>
    <w:p w14:paraId="0D265210" w14:textId="77777777" w:rsidR="009018B0" w:rsidRDefault="009018B0" w:rsidP="00B74E01">
      <w:pPr>
        <w:spacing w:after="0" w:line="360" w:lineRule="auto"/>
        <w:ind w:firstLine="709"/>
        <w:jc w:val="both"/>
        <w:rPr>
          <w:rFonts w:eastAsia="Times New Roman" w:cs="Arial"/>
          <w:kern w:val="0"/>
          <w:lang w:eastAsia="pt-BR"/>
          <w14:ligatures w14:val="none"/>
        </w:rPr>
      </w:pPr>
    </w:p>
    <w:p w14:paraId="7B79C211" w14:textId="77777777" w:rsidR="009018B0" w:rsidRDefault="009018B0" w:rsidP="00B74E01">
      <w:pPr>
        <w:spacing w:after="0" w:line="360" w:lineRule="auto"/>
        <w:ind w:firstLine="709"/>
        <w:jc w:val="both"/>
        <w:rPr>
          <w:rFonts w:eastAsia="Times New Roman" w:cs="Arial"/>
          <w:kern w:val="0"/>
          <w:lang w:eastAsia="pt-BR"/>
          <w14:ligatures w14:val="none"/>
        </w:rPr>
      </w:pPr>
    </w:p>
    <w:p w14:paraId="5076EA5A" w14:textId="77777777" w:rsidR="009018B0" w:rsidRDefault="009018B0" w:rsidP="00B74E01">
      <w:pPr>
        <w:spacing w:after="0" w:line="360" w:lineRule="auto"/>
        <w:ind w:firstLine="709"/>
        <w:jc w:val="both"/>
        <w:rPr>
          <w:rFonts w:eastAsia="Times New Roman" w:cs="Arial"/>
          <w:kern w:val="0"/>
          <w:lang w:eastAsia="pt-BR"/>
          <w14:ligatures w14:val="none"/>
        </w:rPr>
      </w:pPr>
    </w:p>
    <w:p w14:paraId="69ECB912" w14:textId="77777777" w:rsidR="009018B0" w:rsidRDefault="009018B0" w:rsidP="00B74E01">
      <w:pPr>
        <w:spacing w:after="0" w:line="360" w:lineRule="auto"/>
        <w:ind w:firstLine="709"/>
        <w:jc w:val="both"/>
        <w:rPr>
          <w:rFonts w:eastAsia="Times New Roman" w:cs="Arial"/>
          <w:kern w:val="0"/>
          <w:lang w:eastAsia="pt-BR"/>
          <w14:ligatures w14:val="none"/>
        </w:rPr>
      </w:pPr>
    </w:p>
    <w:p w14:paraId="36DE622F" w14:textId="77777777" w:rsidR="009018B0" w:rsidRDefault="009018B0" w:rsidP="00B74E01">
      <w:pPr>
        <w:spacing w:after="0" w:line="360" w:lineRule="auto"/>
        <w:ind w:firstLine="709"/>
        <w:jc w:val="both"/>
        <w:rPr>
          <w:rFonts w:eastAsia="Times New Roman" w:cs="Arial"/>
          <w:kern w:val="0"/>
          <w:lang w:eastAsia="pt-BR"/>
          <w14:ligatures w14:val="none"/>
        </w:rPr>
      </w:pPr>
    </w:p>
    <w:p w14:paraId="45E06C8F" w14:textId="77777777" w:rsidR="009018B0" w:rsidRDefault="009018B0" w:rsidP="00B74E01">
      <w:pPr>
        <w:spacing w:after="0" w:line="360" w:lineRule="auto"/>
        <w:ind w:firstLine="709"/>
        <w:jc w:val="both"/>
        <w:rPr>
          <w:rFonts w:eastAsia="Times New Roman" w:cs="Arial"/>
          <w:kern w:val="0"/>
          <w:lang w:eastAsia="pt-BR"/>
          <w14:ligatures w14:val="none"/>
        </w:rPr>
      </w:pPr>
    </w:p>
    <w:p w14:paraId="2F502017" w14:textId="77777777" w:rsidR="009018B0" w:rsidRPr="00B74E01" w:rsidRDefault="009018B0" w:rsidP="00B74E01">
      <w:pPr>
        <w:spacing w:after="0" w:line="360" w:lineRule="auto"/>
        <w:ind w:firstLine="709"/>
        <w:jc w:val="both"/>
        <w:rPr>
          <w:rFonts w:eastAsia="Times New Roman" w:cs="Arial"/>
          <w:kern w:val="0"/>
          <w:lang w:eastAsia="pt-BR"/>
          <w14:ligatures w14:val="none"/>
        </w:rPr>
      </w:pPr>
    </w:p>
    <w:p w14:paraId="2E1AF9D7" w14:textId="77777777" w:rsidR="00A3112D" w:rsidRPr="00B74E01" w:rsidRDefault="00A3112D" w:rsidP="009018B0">
      <w:pPr>
        <w:pStyle w:val="Ttulo1"/>
        <w:rPr>
          <w:rFonts w:eastAsia="Times New Roman"/>
          <w:lang w:eastAsia="pt-BR"/>
        </w:rPr>
      </w:pPr>
      <w:bookmarkStart w:id="185" w:name="_Toc230204187"/>
      <w:r w:rsidRPr="00B74E01">
        <w:rPr>
          <w:rFonts w:eastAsia="Times New Roman"/>
          <w:lang w:eastAsia="pt-BR"/>
        </w:rPr>
        <w:lastRenderedPageBreak/>
        <w:t>15. Garantias da PPP e Proteção das Receitas Principais</w:t>
      </w:r>
      <w:bookmarkEnd w:id="185"/>
    </w:p>
    <w:p w14:paraId="5BEF8B5D"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 estrutura de garantias é elemento central para a </w:t>
      </w:r>
      <w:proofErr w:type="spellStart"/>
      <w:r w:rsidRPr="00B74E01">
        <w:rPr>
          <w:rFonts w:eastAsia="Times New Roman" w:cs="Arial"/>
          <w:kern w:val="0"/>
          <w:lang w:eastAsia="pt-BR"/>
          <w14:ligatures w14:val="none"/>
        </w:rPr>
        <w:t>bancabilidade</w:t>
      </w:r>
      <w:proofErr w:type="spellEnd"/>
      <w:r w:rsidRPr="00B74E01">
        <w:rPr>
          <w:rFonts w:eastAsia="Times New Roman" w:cs="Arial"/>
          <w:kern w:val="0"/>
          <w:lang w:eastAsia="pt-BR"/>
          <w14:ligatures w14:val="none"/>
        </w:rPr>
        <w:t xml:space="preserve"> e a segurança econômico-financeira da PPP. Em projetos de longo prazo, especialmente aqueles que exigem investimento privado inicial relevante, financiamento, implantação de planta industrial e prestação continuada de serviço público, a previsibilidade do fluxo de pagamento é tão importante quanto a própria viabilidade operacional.</w:t>
      </w:r>
    </w:p>
    <w:p w14:paraId="0FC25BF5"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No presente modelo, as receitas principais da PPP são compostas pela remuneração da destinação/tratamento de RSU e pela remuneração da disponibilização de capacidade energética renovável. Essas receitas constituem a base mínima de sustentação da SPE e, por essa razão, devem ser protegidas por mecanismo contratual de garantia.</w:t>
      </w:r>
    </w:p>
    <w:p w14:paraId="2E4E926F"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garantia não deve abranger receitas acessórias, pois estas dependem de mercado, certificação, qualidade de subprodutos, compradores e capacidade comercial da SPE. A garantia deve proteger apenas as receitas principais contratadas, mensuráveis e devidas pelo Poder Concedente.</w:t>
      </w:r>
    </w:p>
    <w:p w14:paraId="1C7E7B0B" w14:textId="77777777" w:rsidR="00A3112D" w:rsidRPr="00B74E01" w:rsidRDefault="00A3112D" w:rsidP="009018B0">
      <w:pPr>
        <w:pStyle w:val="Ttulo2"/>
        <w:rPr>
          <w:rFonts w:eastAsia="Times New Roman"/>
          <w:lang w:eastAsia="pt-BR"/>
        </w:rPr>
      </w:pPr>
      <w:bookmarkStart w:id="186" w:name="_Toc230204188"/>
      <w:r w:rsidRPr="00B74E01">
        <w:rPr>
          <w:rFonts w:eastAsia="Times New Roman"/>
          <w:lang w:eastAsia="pt-BR"/>
        </w:rPr>
        <w:t>15.1. Finalidade das garantias</w:t>
      </w:r>
      <w:bookmarkEnd w:id="186"/>
    </w:p>
    <w:p w14:paraId="3B430686"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As garantias têm como finalidade assegurar a continuidade do fluxo de pagamento das receitas principais da PPP, reduzindo o risco de inadimplemento público e aumentando a confiança de investidores, financiadores e fornecedores estratégicos.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13"/>
        <w:gridCol w:w="5948"/>
      </w:tblGrid>
      <w:tr w:rsidR="00A3112D" w:rsidRPr="00B74E01" w14:paraId="2F15C8B1" w14:textId="77777777" w:rsidTr="00050088">
        <w:trPr>
          <w:tblHeade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155E1EFF" w14:textId="77777777" w:rsidR="00A3112D" w:rsidRPr="00B74E01" w:rsidRDefault="00A3112D" w:rsidP="009018B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Finalidade</w:t>
            </w:r>
          </w:p>
        </w:tc>
        <w:tc>
          <w:tcPr>
            <w:tcW w:w="0" w:type="auto"/>
            <w:tcBorders>
              <w:top w:val="single" w:sz="4" w:space="0" w:color="auto"/>
              <w:left w:val="single" w:sz="4" w:space="0" w:color="auto"/>
              <w:bottom w:val="single" w:sz="4" w:space="0" w:color="auto"/>
              <w:right w:val="single" w:sz="4" w:space="0" w:color="auto"/>
            </w:tcBorders>
            <w:vAlign w:val="center"/>
            <w:hideMark/>
          </w:tcPr>
          <w:p w14:paraId="56D7C7B8" w14:textId="77777777" w:rsidR="00A3112D" w:rsidRPr="00B74E01" w:rsidRDefault="00A3112D" w:rsidP="009018B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Descrição</w:t>
            </w:r>
          </w:p>
        </w:tc>
      </w:tr>
      <w:tr w:rsidR="00A3112D" w:rsidRPr="00B74E01" w14:paraId="3F02A80C" w14:textId="77777777" w:rsidTr="0005008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71C108E3"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Proteger a receita principal</w:t>
            </w:r>
          </w:p>
        </w:tc>
        <w:tc>
          <w:tcPr>
            <w:tcW w:w="0" w:type="auto"/>
            <w:tcBorders>
              <w:top w:val="single" w:sz="4" w:space="0" w:color="auto"/>
              <w:left w:val="single" w:sz="4" w:space="0" w:color="auto"/>
              <w:bottom w:val="single" w:sz="4" w:space="0" w:color="auto"/>
              <w:right w:val="single" w:sz="4" w:space="0" w:color="auto"/>
            </w:tcBorders>
            <w:vAlign w:val="center"/>
            <w:hideMark/>
          </w:tcPr>
          <w:p w14:paraId="157EDD76"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Assegurar pagamento das obrigações contratuais do Município</w:t>
            </w:r>
          </w:p>
        </w:tc>
      </w:tr>
      <w:tr w:rsidR="00A3112D" w:rsidRPr="00B74E01" w14:paraId="6F818B65" w14:textId="77777777" w:rsidTr="0005008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63F5A654"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 xml:space="preserve">Aumentar a </w:t>
            </w:r>
            <w:proofErr w:type="spellStart"/>
            <w:r w:rsidRPr="00B74E01">
              <w:rPr>
                <w:rFonts w:eastAsia="Times New Roman" w:cs="Arial"/>
                <w:kern w:val="0"/>
                <w:lang w:eastAsia="pt-BR"/>
                <w14:ligatures w14:val="none"/>
              </w:rPr>
              <w:t>bancabilidade</w:t>
            </w:r>
            <w:proofErr w:type="spellEnd"/>
          </w:p>
        </w:tc>
        <w:tc>
          <w:tcPr>
            <w:tcW w:w="0" w:type="auto"/>
            <w:tcBorders>
              <w:top w:val="single" w:sz="4" w:space="0" w:color="auto"/>
              <w:left w:val="single" w:sz="4" w:space="0" w:color="auto"/>
              <w:bottom w:val="single" w:sz="4" w:space="0" w:color="auto"/>
              <w:right w:val="single" w:sz="4" w:space="0" w:color="auto"/>
            </w:tcBorders>
            <w:vAlign w:val="center"/>
            <w:hideMark/>
          </w:tcPr>
          <w:p w14:paraId="61FAD9C7"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Melhorar a análise de crédito e reduzir percepção de risco</w:t>
            </w:r>
          </w:p>
        </w:tc>
      </w:tr>
      <w:tr w:rsidR="00A3112D" w:rsidRPr="00B74E01" w14:paraId="7B771CE9" w14:textId="77777777" w:rsidTr="0005008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57CD954E"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lastRenderedPageBreak/>
              <w:t>Viabilizar financiamento</w:t>
            </w:r>
          </w:p>
        </w:tc>
        <w:tc>
          <w:tcPr>
            <w:tcW w:w="0" w:type="auto"/>
            <w:tcBorders>
              <w:top w:val="single" w:sz="4" w:space="0" w:color="auto"/>
              <w:left w:val="single" w:sz="4" w:space="0" w:color="auto"/>
              <w:bottom w:val="single" w:sz="4" w:space="0" w:color="auto"/>
              <w:right w:val="single" w:sz="4" w:space="0" w:color="auto"/>
            </w:tcBorders>
            <w:vAlign w:val="center"/>
            <w:hideMark/>
          </w:tcPr>
          <w:p w14:paraId="04E5B5AB"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Permitir maior conforto para bancos, fundos e investidores</w:t>
            </w:r>
          </w:p>
        </w:tc>
      </w:tr>
      <w:tr w:rsidR="00A3112D" w:rsidRPr="00B74E01" w14:paraId="5BCCD0F7" w14:textId="77777777" w:rsidTr="0005008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239D14E7"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Reduzir custo financeiro</w:t>
            </w:r>
          </w:p>
        </w:tc>
        <w:tc>
          <w:tcPr>
            <w:tcW w:w="0" w:type="auto"/>
            <w:tcBorders>
              <w:top w:val="single" w:sz="4" w:space="0" w:color="auto"/>
              <w:left w:val="single" w:sz="4" w:space="0" w:color="auto"/>
              <w:bottom w:val="single" w:sz="4" w:space="0" w:color="auto"/>
              <w:right w:val="single" w:sz="4" w:space="0" w:color="auto"/>
            </w:tcBorders>
            <w:vAlign w:val="center"/>
            <w:hideMark/>
          </w:tcPr>
          <w:p w14:paraId="5C3797F1"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Garantias melhores podem permitir taxa menor ou prazo maior</w:t>
            </w:r>
          </w:p>
        </w:tc>
      </w:tr>
      <w:tr w:rsidR="00A3112D" w:rsidRPr="00B74E01" w14:paraId="7F4D83B2" w14:textId="77777777" w:rsidTr="0005008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5B797A75"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Proteger continuidade do serviço</w:t>
            </w:r>
          </w:p>
        </w:tc>
        <w:tc>
          <w:tcPr>
            <w:tcW w:w="0" w:type="auto"/>
            <w:tcBorders>
              <w:top w:val="single" w:sz="4" w:space="0" w:color="auto"/>
              <w:left w:val="single" w:sz="4" w:space="0" w:color="auto"/>
              <w:bottom w:val="single" w:sz="4" w:space="0" w:color="auto"/>
              <w:right w:val="single" w:sz="4" w:space="0" w:color="auto"/>
            </w:tcBorders>
            <w:vAlign w:val="center"/>
            <w:hideMark/>
          </w:tcPr>
          <w:p w14:paraId="5E5BB577"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Evitar interrupção por inadimplemento público</w:t>
            </w:r>
          </w:p>
        </w:tc>
      </w:tr>
      <w:tr w:rsidR="00A3112D" w:rsidRPr="00B74E01" w14:paraId="692E9113" w14:textId="77777777" w:rsidTr="0005008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5BC25253"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Dar previsibilidade à SPE</w:t>
            </w:r>
          </w:p>
        </w:tc>
        <w:tc>
          <w:tcPr>
            <w:tcW w:w="0" w:type="auto"/>
            <w:tcBorders>
              <w:top w:val="single" w:sz="4" w:space="0" w:color="auto"/>
              <w:left w:val="single" w:sz="4" w:space="0" w:color="auto"/>
              <w:bottom w:val="single" w:sz="4" w:space="0" w:color="auto"/>
              <w:right w:val="single" w:sz="4" w:space="0" w:color="auto"/>
            </w:tcBorders>
            <w:vAlign w:val="center"/>
            <w:hideMark/>
          </w:tcPr>
          <w:p w14:paraId="48DD345C"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Permitir planejamento de operação, dívida e manutenção</w:t>
            </w:r>
          </w:p>
        </w:tc>
      </w:tr>
      <w:tr w:rsidR="00A3112D" w:rsidRPr="00B74E01" w14:paraId="0E084279" w14:textId="77777777" w:rsidTr="0005008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3A807612"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Reduzir litígios</w:t>
            </w:r>
          </w:p>
        </w:tc>
        <w:tc>
          <w:tcPr>
            <w:tcW w:w="0" w:type="auto"/>
            <w:tcBorders>
              <w:top w:val="single" w:sz="4" w:space="0" w:color="auto"/>
              <w:left w:val="single" w:sz="4" w:space="0" w:color="auto"/>
              <w:bottom w:val="single" w:sz="4" w:space="0" w:color="auto"/>
              <w:right w:val="single" w:sz="4" w:space="0" w:color="auto"/>
            </w:tcBorders>
            <w:vAlign w:val="center"/>
            <w:hideMark/>
          </w:tcPr>
          <w:p w14:paraId="6D3E6727"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Estabelecer procedimento objetivo de acionamento e recomposição</w:t>
            </w:r>
          </w:p>
        </w:tc>
      </w:tr>
    </w:tbl>
    <w:p w14:paraId="6DEAE6CF"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existência de garantia adequada não representa privilégio indevido à SPE. Representa mecanismo de segurança contratual necessário para viabilizar investimento privado em infraestrutura pública.</w:t>
      </w:r>
    </w:p>
    <w:p w14:paraId="52F86C10" w14:textId="77777777" w:rsidR="00A3112D" w:rsidRPr="00B74E01" w:rsidRDefault="00A3112D" w:rsidP="009018B0">
      <w:pPr>
        <w:pStyle w:val="Ttulo2"/>
        <w:rPr>
          <w:rFonts w:eastAsia="Times New Roman"/>
          <w:lang w:eastAsia="pt-BR"/>
        </w:rPr>
      </w:pPr>
      <w:bookmarkStart w:id="187" w:name="_Toc230204189"/>
      <w:r w:rsidRPr="00B74E01">
        <w:rPr>
          <w:rFonts w:eastAsia="Times New Roman"/>
          <w:lang w:eastAsia="pt-BR"/>
        </w:rPr>
        <w:t xml:space="preserve">15.2. Receitas </w:t>
      </w:r>
      <w:proofErr w:type="spellStart"/>
      <w:r w:rsidRPr="00B74E01">
        <w:rPr>
          <w:rFonts w:eastAsia="Times New Roman"/>
          <w:lang w:eastAsia="pt-BR"/>
        </w:rPr>
        <w:t>garantíveis</w:t>
      </w:r>
      <w:bookmarkEnd w:id="187"/>
      <w:proofErr w:type="spellEnd"/>
    </w:p>
    <w:p w14:paraId="1F567FC6"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 base </w:t>
      </w:r>
      <w:proofErr w:type="spellStart"/>
      <w:r w:rsidRPr="00B74E01">
        <w:rPr>
          <w:rFonts w:eastAsia="Times New Roman" w:cs="Arial"/>
          <w:kern w:val="0"/>
          <w:lang w:eastAsia="pt-BR"/>
          <w14:ligatures w14:val="none"/>
        </w:rPr>
        <w:t>garantível</w:t>
      </w:r>
      <w:proofErr w:type="spellEnd"/>
      <w:r w:rsidRPr="00B74E01">
        <w:rPr>
          <w:rFonts w:eastAsia="Times New Roman" w:cs="Arial"/>
          <w:kern w:val="0"/>
          <w:lang w:eastAsia="pt-BR"/>
          <w14:ligatures w14:val="none"/>
        </w:rPr>
        <w:t xml:space="preserve"> deve ser limitada às receitas principais da PPP.</w:t>
      </w:r>
    </w:p>
    <w:p w14:paraId="5470A03A"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No cenário-base, com tarifa de destinação de </w:t>
      </w:r>
      <w:r w:rsidRPr="00B74E01">
        <w:rPr>
          <w:rFonts w:eastAsia="Times New Roman" w:cs="Arial"/>
          <w:b/>
          <w:bCs/>
          <w:kern w:val="0"/>
          <w:lang w:eastAsia="pt-BR"/>
          <w14:ligatures w14:val="none"/>
        </w:rPr>
        <w:t>R$ 95/t</w:t>
      </w:r>
      <w:r w:rsidRPr="00B74E01">
        <w:rPr>
          <w:rFonts w:eastAsia="Times New Roman" w:cs="Arial"/>
          <w:kern w:val="0"/>
          <w:lang w:eastAsia="pt-BR"/>
          <w14:ligatures w14:val="none"/>
        </w:rPr>
        <w:t xml:space="preserve">, a receita principal mensal é de </w:t>
      </w:r>
      <w:r w:rsidRPr="00B74E01">
        <w:rPr>
          <w:rFonts w:eastAsia="Times New Roman" w:cs="Arial"/>
          <w:b/>
          <w:bCs/>
          <w:kern w:val="0"/>
          <w:lang w:eastAsia="pt-BR"/>
          <w14:ligatures w14:val="none"/>
        </w:rPr>
        <w:t>R$ 700.077,09</w:t>
      </w:r>
      <w:r w:rsidRPr="00B74E01">
        <w:rPr>
          <w:rFonts w:eastAsia="Times New Roman" w:cs="Arial"/>
          <w:kern w:val="0"/>
          <w:lang w:eastAsia="pt-BR"/>
          <w14:ligatures w14:val="none"/>
        </w:rPr>
        <w:t>.</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071"/>
        <w:gridCol w:w="1655"/>
        <w:gridCol w:w="1870"/>
      </w:tblGrid>
      <w:tr w:rsidR="00A3112D" w:rsidRPr="00B74E01" w14:paraId="63B85268" w14:textId="77777777" w:rsidTr="00050088">
        <w:trPr>
          <w:tblHeader/>
          <w:tblCellSpacing w:w="15" w:type="dxa"/>
        </w:trPr>
        <w:tc>
          <w:tcPr>
            <w:tcW w:w="0" w:type="auto"/>
            <w:vAlign w:val="center"/>
            <w:hideMark/>
          </w:tcPr>
          <w:p w14:paraId="7FBFADFA" w14:textId="77777777" w:rsidR="00A3112D" w:rsidRPr="00B74E01" w:rsidRDefault="00A3112D" w:rsidP="009018B0">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 xml:space="preserve">Receita principal </w:t>
            </w:r>
            <w:proofErr w:type="spellStart"/>
            <w:r w:rsidRPr="00B74E01">
              <w:rPr>
                <w:rFonts w:eastAsia="Times New Roman" w:cs="Arial"/>
                <w:b/>
                <w:bCs/>
                <w:kern w:val="0"/>
                <w:lang w:eastAsia="pt-BR"/>
                <w14:ligatures w14:val="none"/>
              </w:rPr>
              <w:t>garantível</w:t>
            </w:r>
            <w:proofErr w:type="spellEnd"/>
            <w:r w:rsidRPr="00B74E01">
              <w:rPr>
                <w:rFonts w:eastAsia="Times New Roman" w:cs="Arial"/>
                <w:b/>
                <w:bCs/>
                <w:kern w:val="0"/>
                <w:lang w:eastAsia="pt-BR"/>
                <w14:ligatures w14:val="none"/>
              </w:rPr>
              <w:t xml:space="preserve"> — cenário-base</w:t>
            </w:r>
          </w:p>
        </w:tc>
        <w:tc>
          <w:tcPr>
            <w:tcW w:w="0" w:type="auto"/>
            <w:vAlign w:val="center"/>
            <w:hideMark/>
          </w:tcPr>
          <w:p w14:paraId="77825903" w14:textId="77777777" w:rsidR="00A3112D" w:rsidRPr="00B74E01" w:rsidRDefault="00A3112D" w:rsidP="009018B0">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Valor mensal</w:t>
            </w:r>
          </w:p>
        </w:tc>
        <w:tc>
          <w:tcPr>
            <w:tcW w:w="0" w:type="auto"/>
            <w:vAlign w:val="center"/>
            <w:hideMark/>
          </w:tcPr>
          <w:p w14:paraId="5E9DB868" w14:textId="77777777" w:rsidR="00A3112D" w:rsidRPr="00B74E01" w:rsidRDefault="00A3112D" w:rsidP="009018B0">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Valor anual</w:t>
            </w:r>
          </w:p>
        </w:tc>
      </w:tr>
      <w:tr w:rsidR="00A3112D" w:rsidRPr="00B74E01" w14:paraId="1470E5A5" w14:textId="77777777" w:rsidTr="00050088">
        <w:trPr>
          <w:tblCellSpacing w:w="15" w:type="dxa"/>
        </w:trPr>
        <w:tc>
          <w:tcPr>
            <w:tcW w:w="0" w:type="auto"/>
            <w:vAlign w:val="center"/>
            <w:hideMark/>
          </w:tcPr>
          <w:p w14:paraId="313E5DD0" w14:textId="77777777" w:rsidR="00A3112D" w:rsidRPr="00B74E01" w:rsidRDefault="00A3112D" w:rsidP="009018B0">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Destinação/tratamento de RSU — R$ 95/t</w:t>
            </w:r>
          </w:p>
        </w:tc>
        <w:tc>
          <w:tcPr>
            <w:tcW w:w="0" w:type="auto"/>
            <w:vAlign w:val="center"/>
            <w:hideMark/>
          </w:tcPr>
          <w:p w14:paraId="40A1BBF8" w14:textId="77777777" w:rsidR="00A3112D" w:rsidRPr="00B74E01" w:rsidRDefault="00A3112D" w:rsidP="009018B0">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R$ 231.166,67</w:t>
            </w:r>
          </w:p>
        </w:tc>
        <w:tc>
          <w:tcPr>
            <w:tcW w:w="0" w:type="auto"/>
            <w:vAlign w:val="center"/>
            <w:hideMark/>
          </w:tcPr>
          <w:p w14:paraId="17B4F6E8" w14:textId="77777777" w:rsidR="00A3112D" w:rsidRPr="00B74E01" w:rsidRDefault="00A3112D" w:rsidP="009018B0">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R$ 2.774.000,00</w:t>
            </w:r>
          </w:p>
        </w:tc>
      </w:tr>
      <w:tr w:rsidR="00A3112D" w:rsidRPr="00B74E01" w14:paraId="7CE63A4E" w14:textId="77777777" w:rsidTr="00050088">
        <w:trPr>
          <w:tblCellSpacing w:w="15" w:type="dxa"/>
        </w:trPr>
        <w:tc>
          <w:tcPr>
            <w:tcW w:w="0" w:type="auto"/>
            <w:vAlign w:val="center"/>
            <w:hideMark/>
          </w:tcPr>
          <w:p w14:paraId="4A26A9BB" w14:textId="77777777" w:rsidR="00A3112D" w:rsidRPr="00B74E01" w:rsidRDefault="00A3112D" w:rsidP="009018B0">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Disponibilização de capacidade energética</w:t>
            </w:r>
          </w:p>
        </w:tc>
        <w:tc>
          <w:tcPr>
            <w:tcW w:w="0" w:type="auto"/>
            <w:vAlign w:val="center"/>
            <w:hideMark/>
          </w:tcPr>
          <w:p w14:paraId="484A4D04" w14:textId="77777777" w:rsidR="00A3112D" w:rsidRPr="00B74E01" w:rsidRDefault="00A3112D" w:rsidP="009018B0">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R$ 468.910,42</w:t>
            </w:r>
          </w:p>
        </w:tc>
        <w:tc>
          <w:tcPr>
            <w:tcW w:w="0" w:type="auto"/>
            <w:vAlign w:val="center"/>
            <w:hideMark/>
          </w:tcPr>
          <w:p w14:paraId="65796360" w14:textId="77777777" w:rsidR="00A3112D" w:rsidRPr="00B74E01" w:rsidRDefault="00A3112D" w:rsidP="009018B0">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R$ 5.626.925,04</w:t>
            </w:r>
          </w:p>
        </w:tc>
      </w:tr>
      <w:tr w:rsidR="00A3112D" w:rsidRPr="00B74E01" w14:paraId="554A0481" w14:textId="77777777" w:rsidTr="00050088">
        <w:trPr>
          <w:tblCellSpacing w:w="15" w:type="dxa"/>
        </w:trPr>
        <w:tc>
          <w:tcPr>
            <w:tcW w:w="0" w:type="auto"/>
            <w:vAlign w:val="center"/>
            <w:hideMark/>
          </w:tcPr>
          <w:p w14:paraId="2757B9C6" w14:textId="77777777" w:rsidR="00A3112D" w:rsidRPr="00B74E01" w:rsidRDefault="00A3112D" w:rsidP="009018B0">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 xml:space="preserve">Receita principal </w:t>
            </w:r>
            <w:proofErr w:type="spellStart"/>
            <w:r w:rsidRPr="00B74E01">
              <w:rPr>
                <w:rFonts w:eastAsia="Times New Roman" w:cs="Arial"/>
                <w:b/>
                <w:bCs/>
                <w:kern w:val="0"/>
                <w:lang w:eastAsia="pt-BR"/>
                <w14:ligatures w14:val="none"/>
              </w:rPr>
              <w:t>garantível</w:t>
            </w:r>
            <w:proofErr w:type="spellEnd"/>
          </w:p>
        </w:tc>
        <w:tc>
          <w:tcPr>
            <w:tcW w:w="0" w:type="auto"/>
            <w:vAlign w:val="center"/>
            <w:hideMark/>
          </w:tcPr>
          <w:p w14:paraId="6B7EA915" w14:textId="77777777" w:rsidR="00A3112D" w:rsidRPr="00B74E01" w:rsidRDefault="00A3112D" w:rsidP="009018B0">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R$ 700.077,09</w:t>
            </w:r>
          </w:p>
        </w:tc>
        <w:tc>
          <w:tcPr>
            <w:tcW w:w="0" w:type="auto"/>
            <w:vAlign w:val="center"/>
            <w:hideMark/>
          </w:tcPr>
          <w:p w14:paraId="752987C2" w14:textId="77777777" w:rsidR="00A3112D" w:rsidRPr="00B74E01" w:rsidRDefault="00A3112D" w:rsidP="009018B0">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R$ 8.400.925,04</w:t>
            </w:r>
          </w:p>
        </w:tc>
      </w:tr>
    </w:tbl>
    <w:p w14:paraId="139B996A"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Caso a licitação adote cenário superior regional de </w:t>
      </w:r>
      <w:r w:rsidRPr="00B74E01">
        <w:rPr>
          <w:rFonts w:eastAsia="Times New Roman" w:cs="Arial"/>
          <w:b/>
          <w:bCs/>
          <w:kern w:val="0"/>
          <w:lang w:eastAsia="pt-BR"/>
          <w14:ligatures w14:val="none"/>
        </w:rPr>
        <w:t>R$ 140/t</w:t>
      </w:r>
      <w:r w:rsidRPr="00B74E01">
        <w:rPr>
          <w:rFonts w:eastAsia="Times New Roman" w:cs="Arial"/>
          <w:kern w:val="0"/>
          <w:lang w:eastAsia="pt-BR"/>
          <w14:ligatures w14:val="none"/>
        </w:rPr>
        <w:t xml:space="preserve">, a receita principal </w:t>
      </w:r>
      <w:proofErr w:type="spellStart"/>
      <w:r w:rsidRPr="00B74E01">
        <w:rPr>
          <w:rFonts w:eastAsia="Times New Roman" w:cs="Arial"/>
          <w:kern w:val="0"/>
          <w:lang w:eastAsia="pt-BR"/>
          <w14:ligatures w14:val="none"/>
        </w:rPr>
        <w:t>garantível</w:t>
      </w:r>
      <w:proofErr w:type="spellEnd"/>
      <w:r w:rsidRPr="00B74E01">
        <w:rPr>
          <w:rFonts w:eastAsia="Times New Roman" w:cs="Arial"/>
          <w:kern w:val="0"/>
          <w:lang w:eastAsia="pt-BR"/>
          <w14:ligatures w14:val="none"/>
        </w:rPr>
        <w:t xml:space="preserve"> passa a ser:</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471"/>
        <w:gridCol w:w="1655"/>
        <w:gridCol w:w="1870"/>
      </w:tblGrid>
      <w:tr w:rsidR="00A3112D" w:rsidRPr="00B74E01" w14:paraId="1B723DE6" w14:textId="77777777" w:rsidTr="00050088">
        <w:trPr>
          <w:tblHeader/>
          <w:tblCellSpacing w:w="15" w:type="dxa"/>
        </w:trPr>
        <w:tc>
          <w:tcPr>
            <w:tcW w:w="0" w:type="auto"/>
            <w:vAlign w:val="center"/>
            <w:hideMark/>
          </w:tcPr>
          <w:p w14:paraId="53593519" w14:textId="77777777" w:rsidR="00A3112D" w:rsidRPr="00B74E01" w:rsidRDefault="00A3112D" w:rsidP="009018B0">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 xml:space="preserve">Receita principal </w:t>
            </w:r>
            <w:proofErr w:type="spellStart"/>
            <w:r w:rsidRPr="00B74E01">
              <w:rPr>
                <w:rFonts w:eastAsia="Times New Roman" w:cs="Arial"/>
                <w:b/>
                <w:bCs/>
                <w:kern w:val="0"/>
                <w:lang w:eastAsia="pt-BR"/>
                <w14:ligatures w14:val="none"/>
              </w:rPr>
              <w:t>garantível</w:t>
            </w:r>
            <w:proofErr w:type="spellEnd"/>
            <w:r w:rsidRPr="00B74E01">
              <w:rPr>
                <w:rFonts w:eastAsia="Times New Roman" w:cs="Arial"/>
                <w:b/>
                <w:bCs/>
                <w:kern w:val="0"/>
                <w:lang w:eastAsia="pt-BR"/>
                <w14:ligatures w14:val="none"/>
              </w:rPr>
              <w:t xml:space="preserve"> — cenário superior</w:t>
            </w:r>
          </w:p>
        </w:tc>
        <w:tc>
          <w:tcPr>
            <w:tcW w:w="0" w:type="auto"/>
            <w:vAlign w:val="center"/>
            <w:hideMark/>
          </w:tcPr>
          <w:p w14:paraId="2056E5C3" w14:textId="77777777" w:rsidR="00A3112D" w:rsidRPr="00B74E01" w:rsidRDefault="00A3112D" w:rsidP="009018B0">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Valor mensal</w:t>
            </w:r>
          </w:p>
        </w:tc>
        <w:tc>
          <w:tcPr>
            <w:tcW w:w="0" w:type="auto"/>
            <w:vAlign w:val="center"/>
            <w:hideMark/>
          </w:tcPr>
          <w:p w14:paraId="40B92FF9" w14:textId="77777777" w:rsidR="00A3112D" w:rsidRPr="00B74E01" w:rsidRDefault="00A3112D" w:rsidP="009018B0">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Valor anual</w:t>
            </w:r>
          </w:p>
        </w:tc>
      </w:tr>
      <w:tr w:rsidR="00A3112D" w:rsidRPr="00B74E01" w14:paraId="23C8A8B3" w14:textId="77777777" w:rsidTr="00050088">
        <w:trPr>
          <w:tblCellSpacing w:w="15" w:type="dxa"/>
        </w:trPr>
        <w:tc>
          <w:tcPr>
            <w:tcW w:w="0" w:type="auto"/>
            <w:vAlign w:val="center"/>
            <w:hideMark/>
          </w:tcPr>
          <w:p w14:paraId="08BD5D40" w14:textId="77777777" w:rsidR="00A3112D" w:rsidRPr="00B74E01" w:rsidRDefault="00A3112D" w:rsidP="009018B0">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Destinação/tratamento de RSU — R$ 140/t</w:t>
            </w:r>
          </w:p>
        </w:tc>
        <w:tc>
          <w:tcPr>
            <w:tcW w:w="0" w:type="auto"/>
            <w:vAlign w:val="center"/>
            <w:hideMark/>
          </w:tcPr>
          <w:p w14:paraId="63AF18AB" w14:textId="77777777" w:rsidR="00A3112D" w:rsidRPr="00B74E01" w:rsidRDefault="00A3112D" w:rsidP="009018B0">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R$ 340.666,67</w:t>
            </w:r>
          </w:p>
        </w:tc>
        <w:tc>
          <w:tcPr>
            <w:tcW w:w="0" w:type="auto"/>
            <w:vAlign w:val="center"/>
            <w:hideMark/>
          </w:tcPr>
          <w:p w14:paraId="4F524FB5" w14:textId="77777777" w:rsidR="00A3112D" w:rsidRPr="00B74E01" w:rsidRDefault="00A3112D" w:rsidP="009018B0">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R$ 4.088.000,00</w:t>
            </w:r>
          </w:p>
        </w:tc>
      </w:tr>
      <w:tr w:rsidR="00A3112D" w:rsidRPr="00B74E01" w14:paraId="5AEE9F9A" w14:textId="77777777" w:rsidTr="00050088">
        <w:trPr>
          <w:tblCellSpacing w:w="15" w:type="dxa"/>
        </w:trPr>
        <w:tc>
          <w:tcPr>
            <w:tcW w:w="0" w:type="auto"/>
            <w:vAlign w:val="center"/>
            <w:hideMark/>
          </w:tcPr>
          <w:p w14:paraId="63FC9B9D" w14:textId="77777777" w:rsidR="00A3112D" w:rsidRPr="00B74E01" w:rsidRDefault="00A3112D" w:rsidP="009018B0">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lastRenderedPageBreak/>
              <w:t>Disponibilização de capacidade energética</w:t>
            </w:r>
          </w:p>
        </w:tc>
        <w:tc>
          <w:tcPr>
            <w:tcW w:w="0" w:type="auto"/>
            <w:vAlign w:val="center"/>
            <w:hideMark/>
          </w:tcPr>
          <w:p w14:paraId="6CEAC5E7" w14:textId="77777777" w:rsidR="00A3112D" w:rsidRPr="00B74E01" w:rsidRDefault="00A3112D" w:rsidP="009018B0">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R$ 468.910,42</w:t>
            </w:r>
          </w:p>
        </w:tc>
        <w:tc>
          <w:tcPr>
            <w:tcW w:w="0" w:type="auto"/>
            <w:vAlign w:val="center"/>
            <w:hideMark/>
          </w:tcPr>
          <w:p w14:paraId="05B71007" w14:textId="77777777" w:rsidR="00A3112D" w:rsidRPr="00B74E01" w:rsidRDefault="00A3112D" w:rsidP="009018B0">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R$ 5.626.925,04</w:t>
            </w:r>
          </w:p>
        </w:tc>
      </w:tr>
      <w:tr w:rsidR="00A3112D" w:rsidRPr="00B74E01" w14:paraId="36D8E288" w14:textId="77777777" w:rsidTr="00050088">
        <w:trPr>
          <w:tblCellSpacing w:w="15" w:type="dxa"/>
        </w:trPr>
        <w:tc>
          <w:tcPr>
            <w:tcW w:w="0" w:type="auto"/>
            <w:vAlign w:val="center"/>
            <w:hideMark/>
          </w:tcPr>
          <w:p w14:paraId="0F6DC697" w14:textId="77777777" w:rsidR="00A3112D" w:rsidRPr="00B74E01" w:rsidRDefault="00A3112D" w:rsidP="009018B0">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 xml:space="preserve">Receita principal </w:t>
            </w:r>
            <w:proofErr w:type="spellStart"/>
            <w:r w:rsidRPr="00B74E01">
              <w:rPr>
                <w:rFonts w:eastAsia="Times New Roman" w:cs="Arial"/>
                <w:b/>
                <w:bCs/>
                <w:kern w:val="0"/>
                <w:lang w:eastAsia="pt-BR"/>
                <w14:ligatures w14:val="none"/>
              </w:rPr>
              <w:t>garantível</w:t>
            </w:r>
            <w:proofErr w:type="spellEnd"/>
          </w:p>
        </w:tc>
        <w:tc>
          <w:tcPr>
            <w:tcW w:w="0" w:type="auto"/>
            <w:vAlign w:val="center"/>
            <w:hideMark/>
          </w:tcPr>
          <w:p w14:paraId="01685B10" w14:textId="77777777" w:rsidR="00A3112D" w:rsidRPr="00B74E01" w:rsidRDefault="00A3112D" w:rsidP="009018B0">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R$ 809.577,09</w:t>
            </w:r>
          </w:p>
        </w:tc>
        <w:tc>
          <w:tcPr>
            <w:tcW w:w="0" w:type="auto"/>
            <w:vAlign w:val="center"/>
            <w:hideMark/>
          </w:tcPr>
          <w:p w14:paraId="1B7A1DE0" w14:textId="77777777" w:rsidR="00A3112D" w:rsidRPr="00B74E01" w:rsidRDefault="00A3112D" w:rsidP="009018B0">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R$ 9.714.925,04</w:t>
            </w:r>
          </w:p>
        </w:tc>
      </w:tr>
    </w:tbl>
    <w:p w14:paraId="39775DAD"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garantia deve ser recalculada conforme a tarifa final adotada na licitação e conforme a receita principal efetivamente contratada.</w:t>
      </w:r>
    </w:p>
    <w:p w14:paraId="5967171A" w14:textId="77777777" w:rsidR="00A3112D" w:rsidRPr="00B74E01" w:rsidRDefault="00A3112D" w:rsidP="009018B0">
      <w:pPr>
        <w:pStyle w:val="Ttulo2"/>
        <w:rPr>
          <w:rFonts w:eastAsia="Times New Roman"/>
          <w:lang w:eastAsia="pt-BR"/>
        </w:rPr>
      </w:pPr>
      <w:bookmarkStart w:id="188" w:name="_Toc230204190"/>
      <w:r w:rsidRPr="00B74E01">
        <w:rPr>
          <w:rFonts w:eastAsia="Times New Roman"/>
          <w:lang w:eastAsia="pt-BR"/>
        </w:rPr>
        <w:t xml:space="preserve">15.3. Receitas não </w:t>
      </w:r>
      <w:proofErr w:type="spellStart"/>
      <w:r w:rsidRPr="00B74E01">
        <w:rPr>
          <w:rFonts w:eastAsia="Times New Roman"/>
          <w:lang w:eastAsia="pt-BR"/>
        </w:rPr>
        <w:t>garantíveis</w:t>
      </w:r>
      <w:bookmarkEnd w:id="188"/>
      <w:proofErr w:type="spellEnd"/>
    </w:p>
    <w:p w14:paraId="62EE27B2"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As receitas acessórias não devem compor a base de garantia pública.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411"/>
        <w:gridCol w:w="3251"/>
      </w:tblGrid>
      <w:tr w:rsidR="00A3112D" w:rsidRPr="00B74E01" w14:paraId="2DE3DB53" w14:textId="77777777">
        <w:trPr>
          <w:tblHeader/>
          <w:tblCellSpacing w:w="15" w:type="dxa"/>
        </w:trPr>
        <w:tc>
          <w:tcPr>
            <w:tcW w:w="0" w:type="auto"/>
            <w:vAlign w:val="center"/>
            <w:hideMark/>
          </w:tcPr>
          <w:p w14:paraId="6575BD0A" w14:textId="77777777" w:rsidR="00A3112D" w:rsidRPr="00B74E01" w:rsidRDefault="00A3112D" w:rsidP="009018B0">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Receita acessória</w:t>
            </w:r>
          </w:p>
        </w:tc>
        <w:tc>
          <w:tcPr>
            <w:tcW w:w="0" w:type="auto"/>
            <w:vAlign w:val="center"/>
            <w:hideMark/>
          </w:tcPr>
          <w:p w14:paraId="70E21F9E" w14:textId="77777777" w:rsidR="00A3112D" w:rsidRPr="00B74E01" w:rsidRDefault="00A3112D" w:rsidP="009018B0">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Tratamento recomendado</w:t>
            </w:r>
          </w:p>
        </w:tc>
      </w:tr>
      <w:tr w:rsidR="00A3112D" w:rsidRPr="00B74E01" w14:paraId="1C24AEEA" w14:textId="77777777">
        <w:trPr>
          <w:tblCellSpacing w:w="15" w:type="dxa"/>
        </w:trPr>
        <w:tc>
          <w:tcPr>
            <w:tcW w:w="0" w:type="auto"/>
            <w:vAlign w:val="center"/>
            <w:hideMark/>
          </w:tcPr>
          <w:p w14:paraId="1961BA6C" w14:textId="77777777" w:rsidR="00A3112D" w:rsidRPr="00B74E01" w:rsidRDefault="00A3112D" w:rsidP="009018B0">
            <w:pPr>
              <w:spacing w:after="0" w:line="360" w:lineRule="auto"/>
              <w:jc w:val="both"/>
              <w:rPr>
                <w:rFonts w:eastAsia="Times New Roman" w:cs="Arial"/>
                <w:kern w:val="0"/>
                <w:lang w:eastAsia="pt-BR"/>
                <w14:ligatures w14:val="none"/>
              </w:rPr>
            </w:pPr>
            <w:proofErr w:type="spellStart"/>
            <w:r w:rsidRPr="00B74E01">
              <w:rPr>
                <w:rFonts w:eastAsia="Times New Roman" w:cs="Arial"/>
                <w:kern w:val="0"/>
                <w:lang w:eastAsia="pt-BR"/>
                <w14:ligatures w14:val="none"/>
              </w:rPr>
              <w:t>Biochar</w:t>
            </w:r>
            <w:proofErr w:type="spellEnd"/>
            <w:r w:rsidRPr="00B74E01">
              <w:rPr>
                <w:rFonts w:eastAsia="Times New Roman" w:cs="Arial"/>
                <w:kern w:val="0"/>
                <w:lang w:eastAsia="pt-BR"/>
                <w14:ligatures w14:val="none"/>
              </w:rPr>
              <w:t>/material carbonáceo</w:t>
            </w:r>
          </w:p>
        </w:tc>
        <w:tc>
          <w:tcPr>
            <w:tcW w:w="0" w:type="auto"/>
            <w:vAlign w:val="center"/>
            <w:hideMark/>
          </w:tcPr>
          <w:p w14:paraId="55398EB6" w14:textId="77777777" w:rsidR="00A3112D" w:rsidRPr="00B74E01" w:rsidRDefault="00A3112D" w:rsidP="009018B0">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 xml:space="preserve">Não </w:t>
            </w:r>
            <w:proofErr w:type="spellStart"/>
            <w:r w:rsidRPr="00B74E01">
              <w:rPr>
                <w:rFonts w:eastAsia="Times New Roman" w:cs="Arial"/>
                <w:kern w:val="0"/>
                <w:lang w:eastAsia="pt-BR"/>
                <w14:ligatures w14:val="none"/>
              </w:rPr>
              <w:t>garantível</w:t>
            </w:r>
            <w:proofErr w:type="spellEnd"/>
            <w:r w:rsidRPr="00B74E01">
              <w:rPr>
                <w:rFonts w:eastAsia="Times New Roman" w:cs="Arial"/>
                <w:kern w:val="0"/>
                <w:lang w:eastAsia="pt-BR"/>
                <w14:ligatures w14:val="none"/>
              </w:rPr>
              <w:t xml:space="preserve"> pelo Município</w:t>
            </w:r>
          </w:p>
        </w:tc>
      </w:tr>
      <w:tr w:rsidR="00A3112D" w:rsidRPr="00B74E01" w14:paraId="4FF5BE53" w14:textId="77777777">
        <w:trPr>
          <w:tblCellSpacing w:w="15" w:type="dxa"/>
        </w:trPr>
        <w:tc>
          <w:tcPr>
            <w:tcW w:w="0" w:type="auto"/>
            <w:vAlign w:val="center"/>
            <w:hideMark/>
          </w:tcPr>
          <w:p w14:paraId="465715D5" w14:textId="77777777" w:rsidR="00A3112D" w:rsidRPr="00B74E01" w:rsidRDefault="00A3112D" w:rsidP="009018B0">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 xml:space="preserve">Óleo </w:t>
            </w:r>
            <w:proofErr w:type="spellStart"/>
            <w:r w:rsidRPr="00B74E01">
              <w:rPr>
                <w:rFonts w:eastAsia="Times New Roman" w:cs="Arial"/>
                <w:kern w:val="0"/>
                <w:lang w:eastAsia="pt-BR"/>
                <w14:ligatures w14:val="none"/>
              </w:rPr>
              <w:t>pirolítico</w:t>
            </w:r>
            <w:proofErr w:type="spellEnd"/>
            <w:r w:rsidRPr="00B74E01">
              <w:rPr>
                <w:rFonts w:eastAsia="Times New Roman" w:cs="Arial"/>
                <w:kern w:val="0"/>
                <w:lang w:eastAsia="pt-BR"/>
                <w14:ligatures w14:val="none"/>
              </w:rPr>
              <w:t>/extrato líquido</w:t>
            </w:r>
          </w:p>
        </w:tc>
        <w:tc>
          <w:tcPr>
            <w:tcW w:w="0" w:type="auto"/>
            <w:vAlign w:val="center"/>
            <w:hideMark/>
          </w:tcPr>
          <w:p w14:paraId="15ED6985" w14:textId="77777777" w:rsidR="00A3112D" w:rsidRPr="00B74E01" w:rsidRDefault="00A3112D" w:rsidP="009018B0">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 xml:space="preserve">Não </w:t>
            </w:r>
            <w:proofErr w:type="spellStart"/>
            <w:r w:rsidRPr="00B74E01">
              <w:rPr>
                <w:rFonts w:eastAsia="Times New Roman" w:cs="Arial"/>
                <w:kern w:val="0"/>
                <w:lang w:eastAsia="pt-BR"/>
                <w14:ligatures w14:val="none"/>
              </w:rPr>
              <w:t>garantível</w:t>
            </w:r>
            <w:proofErr w:type="spellEnd"/>
            <w:r w:rsidRPr="00B74E01">
              <w:rPr>
                <w:rFonts w:eastAsia="Times New Roman" w:cs="Arial"/>
                <w:kern w:val="0"/>
                <w:lang w:eastAsia="pt-BR"/>
                <w14:ligatures w14:val="none"/>
              </w:rPr>
              <w:t xml:space="preserve"> pelo Município</w:t>
            </w:r>
          </w:p>
        </w:tc>
      </w:tr>
      <w:tr w:rsidR="00A3112D" w:rsidRPr="00B74E01" w14:paraId="51EA4EA7" w14:textId="77777777">
        <w:trPr>
          <w:tblCellSpacing w:w="15" w:type="dxa"/>
        </w:trPr>
        <w:tc>
          <w:tcPr>
            <w:tcW w:w="0" w:type="auto"/>
            <w:vAlign w:val="center"/>
            <w:hideMark/>
          </w:tcPr>
          <w:p w14:paraId="21935A09" w14:textId="77777777" w:rsidR="00A3112D" w:rsidRPr="00B74E01" w:rsidRDefault="00A3112D" w:rsidP="009018B0">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Créditos de carbono</w:t>
            </w:r>
          </w:p>
        </w:tc>
        <w:tc>
          <w:tcPr>
            <w:tcW w:w="0" w:type="auto"/>
            <w:vAlign w:val="center"/>
            <w:hideMark/>
          </w:tcPr>
          <w:p w14:paraId="2CF1C39E" w14:textId="77777777" w:rsidR="00A3112D" w:rsidRPr="00B74E01" w:rsidRDefault="00A3112D" w:rsidP="009018B0">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 xml:space="preserve">Não </w:t>
            </w:r>
            <w:proofErr w:type="spellStart"/>
            <w:r w:rsidRPr="00B74E01">
              <w:rPr>
                <w:rFonts w:eastAsia="Times New Roman" w:cs="Arial"/>
                <w:kern w:val="0"/>
                <w:lang w:eastAsia="pt-BR"/>
                <w14:ligatures w14:val="none"/>
              </w:rPr>
              <w:t>garantível</w:t>
            </w:r>
            <w:proofErr w:type="spellEnd"/>
            <w:r w:rsidRPr="00B74E01">
              <w:rPr>
                <w:rFonts w:eastAsia="Times New Roman" w:cs="Arial"/>
                <w:kern w:val="0"/>
                <w:lang w:eastAsia="pt-BR"/>
                <w14:ligatures w14:val="none"/>
              </w:rPr>
              <w:t xml:space="preserve"> pelo Município</w:t>
            </w:r>
          </w:p>
        </w:tc>
      </w:tr>
      <w:tr w:rsidR="00A3112D" w:rsidRPr="00B74E01" w14:paraId="63A6909D" w14:textId="77777777">
        <w:trPr>
          <w:tblCellSpacing w:w="15" w:type="dxa"/>
        </w:trPr>
        <w:tc>
          <w:tcPr>
            <w:tcW w:w="0" w:type="auto"/>
            <w:vAlign w:val="center"/>
            <w:hideMark/>
          </w:tcPr>
          <w:p w14:paraId="24D836BC" w14:textId="77777777" w:rsidR="00A3112D" w:rsidRPr="00B74E01" w:rsidRDefault="00A3112D" w:rsidP="009018B0">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Recicláveis eventualmente aproveitáveis</w:t>
            </w:r>
          </w:p>
        </w:tc>
        <w:tc>
          <w:tcPr>
            <w:tcW w:w="0" w:type="auto"/>
            <w:vAlign w:val="center"/>
            <w:hideMark/>
          </w:tcPr>
          <w:p w14:paraId="15B88A83" w14:textId="77777777" w:rsidR="00A3112D" w:rsidRPr="00B74E01" w:rsidRDefault="00A3112D" w:rsidP="009018B0">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 xml:space="preserve">Não </w:t>
            </w:r>
            <w:proofErr w:type="spellStart"/>
            <w:r w:rsidRPr="00B74E01">
              <w:rPr>
                <w:rFonts w:eastAsia="Times New Roman" w:cs="Arial"/>
                <w:kern w:val="0"/>
                <w:lang w:eastAsia="pt-BR"/>
                <w14:ligatures w14:val="none"/>
              </w:rPr>
              <w:t>garantível</w:t>
            </w:r>
            <w:proofErr w:type="spellEnd"/>
            <w:r w:rsidRPr="00B74E01">
              <w:rPr>
                <w:rFonts w:eastAsia="Times New Roman" w:cs="Arial"/>
                <w:kern w:val="0"/>
                <w:lang w:eastAsia="pt-BR"/>
                <w14:ligatures w14:val="none"/>
              </w:rPr>
              <w:t xml:space="preserve"> pelo Município</w:t>
            </w:r>
          </w:p>
        </w:tc>
      </w:tr>
      <w:tr w:rsidR="00A3112D" w:rsidRPr="00B74E01" w14:paraId="291CAC14" w14:textId="77777777">
        <w:trPr>
          <w:tblCellSpacing w:w="15" w:type="dxa"/>
        </w:trPr>
        <w:tc>
          <w:tcPr>
            <w:tcW w:w="0" w:type="auto"/>
            <w:vAlign w:val="center"/>
            <w:hideMark/>
          </w:tcPr>
          <w:p w14:paraId="0806CCC0" w14:textId="77777777" w:rsidR="00A3112D" w:rsidRPr="00B74E01" w:rsidRDefault="00A3112D" w:rsidP="009018B0">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Outros ativos econômicos</w:t>
            </w:r>
          </w:p>
        </w:tc>
        <w:tc>
          <w:tcPr>
            <w:tcW w:w="0" w:type="auto"/>
            <w:vAlign w:val="center"/>
            <w:hideMark/>
          </w:tcPr>
          <w:p w14:paraId="07E9A2F1" w14:textId="77777777" w:rsidR="00A3112D" w:rsidRPr="00B74E01" w:rsidRDefault="00A3112D" w:rsidP="009018B0">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 xml:space="preserve">Não </w:t>
            </w:r>
            <w:proofErr w:type="spellStart"/>
            <w:r w:rsidRPr="00B74E01">
              <w:rPr>
                <w:rFonts w:eastAsia="Times New Roman" w:cs="Arial"/>
                <w:kern w:val="0"/>
                <w:lang w:eastAsia="pt-BR"/>
                <w14:ligatures w14:val="none"/>
              </w:rPr>
              <w:t>garantível</w:t>
            </w:r>
            <w:proofErr w:type="spellEnd"/>
            <w:r w:rsidRPr="00B74E01">
              <w:rPr>
                <w:rFonts w:eastAsia="Times New Roman" w:cs="Arial"/>
                <w:kern w:val="0"/>
                <w:lang w:eastAsia="pt-BR"/>
                <w14:ligatures w14:val="none"/>
              </w:rPr>
              <w:t xml:space="preserve"> pelo Município</w:t>
            </w:r>
          </w:p>
        </w:tc>
      </w:tr>
    </w:tbl>
    <w:p w14:paraId="4C023B67"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razão é simples: o Município não controla mercado comprador, preço, certificação, qualidade comercial, laudos, logística ou demanda pelos subprodutos. Essas receitas pertencem ao risco empresarial da SPE.</w:t>
      </w:r>
    </w:p>
    <w:p w14:paraId="0CADCAD8"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inclusão de receitas acessórias na base garantida criaria risco fiscal indevido ao Município e fragilizaria a defesa do projeto perante órgãos de controle.</w:t>
      </w:r>
    </w:p>
    <w:p w14:paraId="22B78795" w14:textId="77777777" w:rsidR="00A3112D" w:rsidRPr="00B74E01" w:rsidRDefault="00A3112D" w:rsidP="009018B0">
      <w:pPr>
        <w:pStyle w:val="Ttulo2"/>
        <w:rPr>
          <w:rFonts w:eastAsia="Times New Roman"/>
          <w:lang w:eastAsia="pt-BR"/>
        </w:rPr>
      </w:pPr>
      <w:bookmarkStart w:id="189" w:name="_Toc230204191"/>
      <w:r w:rsidRPr="00B74E01">
        <w:rPr>
          <w:rFonts w:eastAsia="Times New Roman"/>
          <w:lang w:eastAsia="pt-BR"/>
        </w:rPr>
        <w:t>15.4. Níveis de garantia recomendados</w:t>
      </w:r>
      <w:bookmarkEnd w:id="189"/>
    </w:p>
    <w:p w14:paraId="75D9172D"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modelagem considera três níveis referenciais de garantia: mínimo, recomendado e robusto.</w:t>
      </w:r>
    </w:p>
    <w:p w14:paraId="245B0519" w14:textId="77777777" w:rsidR="00A3112D" w:rsidRPr="00DE77F2" w:rsidRDefault="00A3112D" w:rsidP="00DE77F2">
      <w:pPr>
        <w:ind w:firstLine="708"/>
        <w:rPr>
          <w:b/>
          <w:bCs/>
          <w:lang w:eastAsia="pt-BR"/>
        </w:rPr>
      </w:pPr>
      <w:r w:rsidRPr="00DE77F2">
        <w:rPr>
          <w:b/>
          <w:bCs/>
          <w:lang w:eastAsia="pt-BR"/>
        </w:rPr>
        <w:t>Cenário-base — tarifa de R$ 95/t</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550"/>
        <w:gridCol w:w="3069"/>
        <w:gridCol w:w="1870"/>
      </w:tblGrid>
      <w:tr w:rsidR="00A3112D" w:rsidRPr="00B74E01" w14:paraId="1B2EDA7C" w14:textId="77777777" w:rsidTr="00050088">
        <w:trPr>
          <w:tblHeader/>
          <w:tblCellSpacing w:w="15" w:type="dxa"/>
        </w:trPr>
        <w:tc>
          <w:tcPr>
            <w:tcW w:w="0" w:type="auto"/>
            <w:vAlign w:val="center"/>
            <w:hideMark/>
          </w:tcPr>
          <w:p w14:paraId="52DF4B59" w14:textId="77777777" w:rsidR="00A3112D" w:rsidRPr="00B74E01" w:rsidRDefault="00A3112D" w:rsidP="009018B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Nível de garantia</w:t>
            </w:r>
          </w:p>
        </w:tc>
        <w:tc>
          <w:tcPr>
            <w:tcW w:w="0" w:type="auto"/>
            <w:vAlign w:val="center"/>
            <w:hideMark/>
          </w:tcPr>
          <w:p w14:paraId="5B5A892B" w14:textId="77777777" w:rsidR="00A3112D" w:rsidRPr="00B74E01" w:rsidRDefault="00A3112D" w:rsidP="009018B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Meses de receita principal</w:t>
            </w:r>
          </w:p>
        </w:tc>
        <w:tc>
          <w:tcPr>
            <w:tcW w:w="0" w:type="auto"/>
            <w:vAlign w:val="center"/>
            <w:hideMark/>
          </w:tcPr>
          <w:p w14:paraId="3B4D2FC8" w14:textId="77777777" w:rsidR="00A3112D" w:rsidRPr="00B74E01" w:rsidRDefault="00A3112D" w:rsidP="009018B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w:t>
            </w:r>
          </w:p>
        </w:tc>
      </w:tr>
      <w:tr w:rsidR="00A3112D" w:rsidRPr="00B74E01" w14:paraId="38FDD8E2" w14:textId="77777777" w:rsidTr="00050088">
        <w:trPr>
          <w:tblCellSpacing w:w="15" w:type="dxa"/>
        </w:trPr>
        <w:tc>
          <w:tcPr>
            <w:tcW w:w="0" w:type="auto"/>
            <w:vAlign w:val="center"/>
            <w:hideMark/>
          </w:tcPr>
          <w:p w14:paraId="6F807DD1"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Garantia mínima</w:t>
            </w:r>
          </w:p>
        </w:tc>
        <w:tc>
          <w:tcPr>
            <w:tcW w:w="0" w:type="auto"/>
            <w:vAlign w:val="center"/>
            <w:hideMark/>
          </w:tcPr>
          <w:p w14:paraId="2F67B2AA"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3 meses</w:t>
            </w:r>
          </w:p>
        </w:tc>
        <w:tc>
          <w:tcPr>
            <w:tcW w:w="0" w:type="auto"/>
            <w:vAlign w:val="center"/>
            <w:hideMark/>
          </w:tcPr>
          <w:p w14:paraId="383DE16D"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R$ 2.100.231,27</w:t>
            </w:r>
          </w:p>
        </w:tc>
      </w:tr>
      <w:tr w:rsidR="00A3112D" w:rsidRPr="00B74E01" w14:paraId="55C7D2D4" w14:textId="77777777" w:rsidTr="00050088">
        <w:trPr>
          <w:tblCellSpacing w:w="15" w:type="dxa"/>
        </w:trPr>
        <w:tc>
          <w:tcPr>
            <w:tcW w:w="0" w:type="auto"/>
            <w:vAlign w:val="center"/>
            <w:hideMark/>
          </w:tcPr>
          <w:p w14:paraId="7D76181C"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lastRenderedPageBreak/>
              <w:t>Garantia recomendada</w:t>
            </w:r>
          </w:p>
        </w:tc>
        <w:tc>
          <w:tcPr>
            <w:tcW w:w="0" w:type="auto"/>
            <w:vAlign w:val="center"/>
            <w:hideMark/>
          </w:tcPr>
          <w:p w14:paraId="3687EB59"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6 meses</w:t>
            </w:r>
          </w:p>
        </w:tc>
        <w:tc>
          <w:tcPr>
            <w:tcW w:w="0" w:type="auto"/>
            <w:vAlign w:val="center"/>
            <w:hideMark/>
          </w:tcPr>
          <w:p w14:paraId="175C94DE"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R$ 4.200.462,54</w:t>
            </w:r>
          </w:p>
        </w:tc>
      </w:tr>
      <w:tr w:rsidR="00A3112D" w:rsidRPr="00B74E01" w14:paraId="7174ADA0" w14:textId="77777777" w:rsidTr="00050088">
        <w:trPr>
          <w:tblCellSpacing w:w="15" w:type="dxa"/>
        </w:trPr>
        <w:tc>
          <w:tcPr>
            <w:tcW w:w="0" w:type="auto"/>
            <w:vAlign w:val="center"/>
            <w:hideMark/>
          </w:tcPr>
          <w:p w14:paraId="6DEFE21C"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Garantia robusta</w:t>
            </w:r>
          </w:p>
        </w:tc>
        <w:tc>
          <w:tcPr>
            <w:tcW w:w="0" w:type="auto"/>
            <w:vAlign w:val="center"/>
            <w:hideMark/>
          </w:tcPr>
          <w:p w14:paraId="26C236DF"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12 meses</w:t>
            </w:r>
          </w:p>
        </w:tc>
        <w:tc>
          <w:tcPr>
            <w:tcW w:w="0" w:type="auto"/>
            <w:vAlign w:val="center"/>
            <w:hideMark/>
          </w:tcPr>
          <w:p w14:paraId="03BFD5AB"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R$ 8.400.925,08</w:t>
            </w:r>
          </w:p>
        </w:tc>
      </w:tr>
    </w:tbl>
    <w:p w14:paraId="38FED31E" w14:textId="77777777" w:rsidR="009018B0" w:rsidRDefault="009018B0" w:rsidP="00B74E01">
      <w:pPr>
        <w:spacing w:before="100" w:beforeAutospacing="1" w:after="100" w:afterAutospacing="1" w:line="360" w:lineRule="auto"/>
        <w:ind w:firstLine="709"/>
        <w:jc w:val="both"/>
        <w:outlineLvl w:val="2"/>
        <w:rPr>
          <w:rFonts w:eastAsia="Times New Roman" w:cs="Arial"/>
          <w:b/>
          <w:bCs/>
          <w:kern w:val="0"/>
          <w:lang w:eastAsia="pt-BR"/>
          <w14:ligatures w14:val="none"/>
        </w:rPr>
      </w:pPr>
    </w:p>
    <w:p w14:paraId="2435CF49" w14:textId="01947FFE" w:rsidR="00A3112D" w:rsidRPr="00DE77F2" w:rsidRDefault="00A3112D" w:rsidP="00DE77F2">
      <w:pPr>
        <w:ind w:firstLine="708"/>
        <w:rPr>
          <w:b/>
          <w:bCs/>
          <w:lang w:eastAsia="pt-BR"/>
        </w:rPr>
      </w:pPr>
      <w:r w:rsidRPr="00DE77F2">
        <w:rPr>
          <w:b/>
          <w:bCs/>
          <w:lang w:eastAsia="pt-BR"/>
        </w:rPr>
        <w:t>Cenário superior regional — tarifa de R$ 140/t</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550"/>
        <w:gridCol w:w="3069"/>
        <w:gridCol w:w="1870"/>
      </w:tblGrid>
      <w:tr w:rsidR="00A3112D" w:rsidRPr="00B74E01" w14:paraId="6A2B848D" w14:textId="77777777" w:rsidTr="00050088">
        <w:trPr>
          <w:tblHeader/>
          <w:tblCellSpacing w:w="15" w:type="dxa"/>
        </w:trPr>
        <w:tc>
          <w:tcPr>
            <w:tcW w:w="0" w:type="auto"/>
            <w:vAlign w:val="center"/>
            <w:hideMark/>
          </w:tcPr>
          <w:p w14:paraId="3F5DD63F" w14:textId="77777777" w:rsidR="00A3112D" w:rsidRPr="00B74E01" w:rsidRDefault="00A3112D" w:rsidP="009018B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Nível de garantia</w:t>
            </w:r>
          </w:p>
        </w:tc>
        <w:tc>
          <w:tcPr>
            <w:tcW w:w="0" w:type="auto"/>
            <w:vAlign w:val="center"/>
            <w:hideMark/>
          </w:tcPr>
          <w:p w14:paraId="0DF1079B" w14:textId="77777777" w:rsidR="00A3112D" w:rsidRPr="00B74E01" w:rsidRDefault="00A3112D" w:rsidP="009018B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Meses de receita principal</w:t>
            </w:r>
          </w:p>
        </w:tc>
        <w:tc>
          <w:tcPr>
            <w:tcW w:w="0" w:type="auto"/>
            <w:vAlign w:val="center"/>
            <w:hideMark/>
          </w:tcPr>
          <w:p w14:paraId="72BD7B2E" w14:textId="77777777" w:rsidR="00A3112D" w:rsidRPr="00B74E01" w:rsidRDefault="00A3112D" w:rsidP="009018B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w:t>
            </w:r>
          </w:p>
        </w:tc>
      </w:tr>
      <w:tr w:rsidR="00A3112D" w:rsidRPr="00B74E01" w14:paraId="70776092" w14:textId="77777777" w:rsidTr="00050088">
        <w:trPr>
          <w:tblCellSpacing w:w="15" w:type="dxa"/>
        </w:trPr>
        <w:tc>
          <w:tcPr>
            <w:tcW w:w="0" w:type="auto"/>
            <w:vAlign w:val="center"/>
            <w:hideMark/>
          </w:tcPr>
          <w:p w14:paraId="22890458"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Garantia mínima</w:t>
            </w:r>
          </w:p>
        </w:tc>
        <w:tc>
          <w:tcPr>
            <w:tcW w:w="0" w:type="auto"/>
            <w:vAlign w:val="center"/>
            <w:hideMark/>
          </w:tcPr>
          <w:p w14:paraId="7D7865C1"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3 meses</w:t>
            </w:r>
          </w:p>
        </w:tc>
        <w:tc>
          <w:tcPr>
            <w:tcW w:w="0" w:type="auto"/>
            <w:vAlign w:val="center"/>
            <w:hideMark/>
          </w:tcPr>
          <w:p w14:paraId="0EE48963"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R$ 2.428.731,27</w:t>
            </w:r>
          </w:p>
        </w:tc>
      </w:tr>
      <w:tr w:rsidR="00A3112D" w:rsidRPr="00B74E01" w14:paraId="54F6673F" w14:textId="77777777" w:rsidTr="00050088">
        <w:trPr>
          <w:tblCellSpacing w:w="15" w:type="dxa"/>
        </w:trPr>
        <w:tc>
          <w:tcPr>
            <w:tcW w:w="0" w:type="auto"/>
            <w:vAlign w:val="center"/>
            <w:hideMark/>
          </w:tcPr>
          <w:p w14:paraId="2EC0B76D"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Garantia recomendada</w:t>
            </w:r>
          </w:p>
        </w:tc>
        <w:tc>
          <w:tcPr>
            <w:tcW w:w="0" w:type="auto"/>
            <w:vAlign w:val="center"/>
            <w:hideMark/>
          </w:tcPr>
          <w:p w14:paraId="3249AA23"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6 meses</w:t>
            </w:r>
          </w:p>
        </w:tc>
        <w:tc>
          <w:tcPr>
            <w:tcW w:w="0" w:type="auto"/>
            <w:vAlign w:val="center"/>
            <w:hideMark/>
          </w:tcPr>
          <w:p w14:paraId="4F10DCE0"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R$ 4.857.462,54</w:t>
            </w:r>
          </w:p>
        </w:tc>
      </w:tr>
      <w:tr w:rsidR="00A3112D" w:rsidRPr="00B74E01" w14:paraId="4F5CAC91" w14:textId="77777777" w:rsidTr="00050088">
        <w:trPr>
          <w:tblCellSpacing w:w="15" w:type="dxa"/>
        </w:trPr>
        <w:tc>
          <w:tcPr>
            <w:tcW w:w="0" w:type="auto"/>
            <w:vAlign w:val="center"/>
            <w:hideMark/>
          </w:tcPr>
          <w:p w14:paraId="0BE3CEFB"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Garantia robusta</w:t>
            </w:r>
          </w:p>
        </w:tc>
        <w:tc>
          <w:tcPr>
            <w:tcW w:w="0" w:type="auto"/>
            <w:vAlign w:val="center"/>
            <w:hideMark/>
          </w:tcPr>
          <w:p w14:paraId="3D8826A9"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12 meses</w:t>
            </w:r>
          </w:p>
        </w:tc>
        <w:tc>
          <w:tcPr>
            <w:tcW w:w="0" w:type="auto"/>
            <w:vAlign w:val="center"/>
            <w:hideMark/>
          </w:tcPr>
          <w:p w14:paraId="2B3FF311"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R$ 9.714.925,08</w:t>
            </w:r>
          </w:p>
        </w:tc>
      </w:tr>
    </w:tbl>
    <w:p w14:paraId="315504E7"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 garantia recomendada de </w:t>
      </w:r>
      <w:r w:rsidRPr="00B74E01">
        <w:rPr>
          <w:rFonts w:eastAsia="Times New Roman" w:cs="Arial"/>
          <w:b/>
          <w:bCs/>
          <w:kern w:val="0"/>
          <w:lang w:eastAsia="pt-BR"/>
          <w14:ligatures w14:val="none"/>
        </w:rPr>
        <w:t>6 meses da receita principal</w:t>
      </w:r>
      <w:r w:rsidRPr="00B74E01">
        <w:rPr>
          <w:rFonts w:eastAsia="Times New Roman" w:cs="Arial"/>
          <w:kern w:val="0"/>
          <w:lang w:eastAsia="pt-BR"/>
          <w14:ligatures w14:val="none"/>
        </w:rPr>
        <w:t xml:space="preserve"> representa ponto de equilíbrio entre segurança da SPE/financiadores e responsabilidade fiscal do Município.</w:t>
      </w:r>
    </w:p>
    <w:p w14:paraId="00A9DB77" w14:textId="77777777" w:rsidR="00A3112D" w:rsidRPr="00B74E01" w:rsidRDefault="00A3112D" w:rsidP="009018B0">
      <w:pPr>
        <w:pStyle w:val="Ttulo2"/>
        <w:rPr>
          <w:rFonts w:eastAsia="Times New Roman"/>
          <w:lang w:eastAsia="pt-BR"/>
        </w:rPr>
      </w:pPr>
      <w:bookmarkStart w:id="190" w:name="_Toc230204192"/>
      <w:r w:rsidRPr="00B74E01">
        <w:rPr>
          <w:rFonts w:eastAsia="Times New Roman"/>
          <w:lang w:eastAsia="pt-BR"/>
        </w:rPr>
        <w:t>15.5. Justificativa para garantia de 6 meses</w:t>
      </w:r>
      <w:bookmarkEnd w:id="190"/>
    </w:p>
    <w:p w14:paraId="0F551EC1"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 garantia equivalente a </w:t>
      </w:r>
      <w:r w:rsidRPr="00B74E01">
        <w:rPr>
          <w:rFonts w:eastAsia="Times New Roman" w:cs="Arial"/>
          <w:b/>
          <w:bCs/>
          <w:kern w:val="0"/>
          <w:lang w:eastAsia="pt-BR"/>
          <w14:ligatures w14:val="none"/>
        </w:rPr>
        <w:t>6 meses da receita principal</w:t>
      </w:r>
      <w:r w:rsidRPr="00B74E01">
        <w:rPr>
          <w:rFonts w:eastAsia="Times New Roman" w:cs="Arial"/>
          <w:kern w:val="0"/>
          <w:lang w:eastAsia="pt-BR"/>
          <w14:ligatures w14:val="none"/>
        </w:rPr>
        <w:t xml:space="preserve"> é recomendada porque oferece margem razoável para absorver atrasos, instabilidades orçamentárias, falhas administrativas de pagamento e períodos de recomposição contratual.</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539"/>
        <w:gridCol w:w="6522"/>
      </w:tblGrid>
      <w:tr w:rsidR="00A3112D" w:rsidRPr="00B74E01" w14:paraId="5B49C961" w14:textId="77777777" w:rsidTr="00050088">
        <w:trPr>
          <w:tblHeader/>
          <w:tblCellSpacing w:w="15" w:type="dxa"/>
        </w:trPr>
        <w:tc>
          <w:tcPr>
            <w:tcW w:w="0" w:type="auto"/>
            <w:vAlign w:val="center"/>
            <w:hideMark/>
          </w:tcPr>
          <w:p w14:paraId="4F898045" w14:textId="77777777" w:rsidR="00A3112D" w:rsidRPr="00B74E01" w:rsidRDefault="00A3112D" w:rsidP="009018B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Critério</w:t>
            </w:r>
          </w:p>
        </w:tc>
        <w:tc>
          <w:tcPr>
            <w:tcW w:w="0" w:type="auto"/>
            <w:vAlign w:val="center"/>
            <w:hideMark/>
          </w:tcPr>
          <w:p w14:paraId="690AB835" w14:textId="77777777" w:rsidR="00A3112D" w:rsidRPr="00B74E01" w:rsidRDefault="00A3112D" w:rsidP="009018B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Justificativa</w:t>
            </w:r>
          </w:p>
        </w:tc>
      </w:tr>
      <w:tr w:rsidR="00A3112D" w:rsidRPr="00B74E01" w14:paraId="482442AF" w14:textId="77777777" w:rsidTr="00050088">
        <w:trPr>
          <w:tblCellSpacing w:w="15" w:type="dxa"/>
        </w:trPr>
        <w:tc>
          <w:tcPr>
            <w:tcW w:w="0" w:type="auto"/>
            <w:vAlign w:val="center"/>
            <w:hideMark/>
          </w:tcPr>
          <w:p w14:paraId="38BF7F4E"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Segurança financeira</w:t>
            </w:r>
          </w:p>
        </w:tc>
        <w:tc>
          <w:tcPr>
            <w:tcW w:w="0" w:type="auto"/>
            <w:vAlign w:val="center"/>
            <w:hideMark/>
          </w:tcPr>
          <w:p w14:paraId="2583B0D9"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Permite suportar atraso relevante sem colapsar o caixa da SPE</w:t>
            </w:r>
          </w:p>
        </w:tc>
      </w:tr>
      <w:tr w:rsidR="00A3112D" w:rsidRPr="00B74E01" w14:paraId="746B0484" w14:textId="77777777" w:rsidTr="00050088">
        <w:trPr>
          <w:tblCellSpacing w:w="15" w:type="dxa"/>
        </w:trPr>
        <w:tc>
          <w:tcPr>
            <w:tcW w:w="0" w:type="auto"/>
            <w:vAlign w:val="center"/>
            <w:hideMark/>
          </w:tcPr>
          <w:p w14:paraId="321F02D9" w14:textId="77777777" w:rsidR="00A3112D" w:rsidRPr="00B74E01" w:rsidRDefault="00A3112D" w:rsidP="009018B0">
            <w:pPr>
              <w:spacing w:after="0" w:line="360" w:lineRule="auto"/>
              <w:rPr>
                <w:rFonts w:eastAsia="Times New Roman" w:cs="Arial"/>
                <w:kern w:val="0"/>
                <w:lang w:eastAsia="pt-BR"/>
                <w14:ligatures w14:val="none"/>
              </w:rPr>
            </w:pPr>
            <w:proofErr w:type="spellStart"/>
            <w:r w:rsidRPr="00B74E01">
              <w:rPr>
                <w:rFonts w:eastAsia="Times New Roman" w:cs="Arial"/>
                <w:kern w:val="0"/>
                <w:lang w:eastAsia="pt-BR"/>
                <w14:ligatures w14:val="none"/>
              </w:rPr>
              <w:t>Bancabilidade</w:t>
            </w:r>
            <w:proofErr w:type="spellEnd"/>
          </w:p>
        </w:tc>
        <w:tc>
          <w:tcPr>
            <w:tcW w:w="0" w:type="auto"/>
            <w:vAlign w:val="center"/>
            <w:hideMark/>
          </w:tcPr>
          <w:p w14:paraId="6ABD1F6A"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Melhora percepção de risco dos financiadores</w:t>
            </w:r>
          </w:p>
        </w:tc>
      </w:tr>
      <w:tr w:rsidR="00A3112D" w:rsidRPr="00B74E01" w14:paraId="39B13E33" w14:textId="77777777" w:rsidTr="00050088">
        <w:trPr>
          <w:tblCellSpacing w:w="15" w:type="dxa"/>
        </w:trPr>
        <w:tc>
          <w:tcPr>
            <w:tcW w:w="0" w:type="auto"/>
            <w:vAlign w:val="center"/>
            <w:hideMark/>
          </w:tcPr>
          <w:p w14:paraId="48992215"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Razoabilidade fiscal</w:t>
            </w:r>
          </w:p>
        </w:tc>
        <w:tc>
          <w:tcPr>
            <w:tcW w:w="0" w:type="auto"/>
            <w:vAlign w:val="center"/>
            <w:hideMark/>
          </w:tcPr>
          <w:p w14:paraId="35BD4949"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Evita exigência excessiva de garantia de 12 meses logo na partida</w:t>
            </w:r>
          </w:p>
        </w:tc>
      </w:tr>
      <w:tr w:rsidR="00A3112D" w:rsidRPr="00B74E01" w14:paraId="4233E9F7" w14:textId="77777777" w:rsidTr="00050088">
        <w:trPr>
          <w:tblCellSpacing w:w="15" w:type="dxa"/>
        </w:trPr>
        <w:tc>
          <w:tcPr>
            <w:tcW w:w="0" w:type="auto"/>
            <w:vAlign w:val="center"/>
            <w:hideMark/>
          </w:tcPr>
          <w:p w14:paraId="5FAC0BB5"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Continuidade do serviço</w:t>
            </w:r>
          </w:p>
        </w:tc>
        <w:tc>
          <w:tcPr>
            <w:tcW w:w="0" w:type="auto"/>
            <w:vAlign w:val="center"/>
            <w:hideMark/>
          </w:tcPr>
          <w:p w14:paraId="664A0F25"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Reduz risco de paralisação por inadimplemento</w:t>
            </w:r>
          </w:p>
        </w:tc>
      </w:tr>
      <w:tr w:rsidR="00A3112D" w:rsidRPr="00B74E01" w14:paraId="4FDAA4DC" w14:textId="77777777" w:rsidTr="00050088">
        <w:trPr>
          <w:tblCellSpacing w:w="15" w:type="dxa"/>
        </w:trPr>
        <w:tc>
          <w:tcPr>
            <w:tcW w:w="0" w:type="auto"/>
            <w:vAlign w:val="center"/>
            <w:hideMark/>
          </w:tcPr>
          <w:p w14:paraId="5CA3754E"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Negociação bancária</w:t>
            </w:r>
          </w:p>
        </w:tc>
        <w:tc>
          <w:tcPr>
            <w:tcW w:w="0" w:type="auto"/>
            <w:vAlign w:val="center"/>
            <w:hideMark/>
          </w:tcPr>
          <w:p w14:paraId="05D8239B"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Ajuda na obtenção de prazo, taxa e estrutura de financiamento</w:t>
            </w:r>
          </w:p>
        </w:tc>
      </w:tr>
      <w:tr w:rsidR="00A3112D" w:rsidRPr="00B74E01" w14:paraId="7726CBBA" w14:textId="77777777" w:rsidTr="00050088">
        <w:trPr>
          <w:tblCellSpacing w:w="15" w:type="dxa"/>
        </w:trPr>
        <w:tc>
          <w:tcPr>
            <w:tcW w:w="0" w:type="auto"/>
            <w:vAlign w:val="center"/>
            <w:hideMark/>
          </w:tcPr>
          <w:p w14:paraId="11F36491"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lastRenderedPageBreak/>
              <w:t>Governança</w:t>
            </w:r>
          </w:p>
        </w:tc>
        <w:tc>
          <w:tcPr>
            <w:tcW w:w="0" w:type="auto"/>
            <w:vAlign w:val="center"/>
            <w:hideMark/>
          </w:tcPr>
          <w:p w14:paraId="4165BD95"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Cria disciplina de pagamento e recomposição da garantia</w:t>
            </w:r>
          </w:p>
        </w:tc>
      </w:tr>
    </w:tbl>
    <w:p w14:paraId="26628D2B"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Garantia inferior a 3 meses tende a ser frágil para financiamento de longo prazo. Garantia de 12 meses é robusta, mas pode ser fiscalmente mais pesada. Por isso, a garantia de 6 meses é tecnicamente equilibrada.</w:t>
      </w:r>
    </w:p>
    <w:p w14:paraId="61923007" w14:textId="77777777" w:rsidR="00A3112D" w:rsidRPr="00B74E01" w:rsidRDefault="00A3112D" w:rsidP="009018B0">
      <w:pPr>
        <w:pStyle w:val="Ttulo2"/>
        <w:rPr>
          <w:rFonts w:eastAsia="Times New Roman"/>
          <w:lang w:eastAsia="pt-BR"/>
        </w:rPr>
      </w:pPr>
      <w:bookmarkStart w:id="191" w:name="_Toc230204193"/>
      <w:r w:rsidRPr="00B74E01">
        <w:rPr>
          <w:rFonts w:eastAsia="Times New Roman"/>
          <w:lang w:eastAsia="pt-BR"/>
        </w:rPr>
        <w:t>15.6. Instrumentos possíveis de garantia</w:t>
      </w:r>
      <w:bookmarkEnd w:id="191"/>
    </w:p>
    <w:p w14:paraId="404965D1"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garantia poderá ser estruturada por diferentes instrumentos, isolados ou combinados.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856"/>
        <w:gridCol w:w="6205"/>
      </w:tblGrid>
      <w:tr w:rsidR="00A3112D" w:rsidRPr="00B74E01" w14:paraId="55470548" w14:textId="77777777" w:rsidTr="00050088">
        <w:trPr>
          <w:tblHeader/>
          <w:tblCellSpacing w:w="15" w:type="dxa"/>
        </w:trPr>
        <w:tc>
          <w:tcPr>
            <w:tcW w:w="0" w:type="auto"/>
            <w:vAlign w:val="center"/>
            <w:hideMark/>
          </w:tcPr>
          <w:p w14:paraId="5AD3E4A2" w14:textId="77777777" w:rsidR="00A3112D" w:rsidRPr="00B74E01" w:rsidRDefault="00A3112D" w:rsidP="009018B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Instrumento</w:t>
            </w:r>
          </w:p>
        </w:tc>
        <w:tc>
          <w:tcPr>
            <w:tcW w:w="0" w:type="auto"/>
            <w:vAlign w:val="center"/>
            <w:hideMark/>
          </w:tcPr>
          <w:p w14:paraId="0DF6EF4D" w14:textId="77777777" w:rsidR="00A3112D" w:rsidRPr="00B74E01" w:rsidRDefault="00A3112D" w:rsidP="009018B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Característica</w:t>
            </w:r>
          </w:p>
        </w:tc>
      </w:tr>
      <w:tr w:rsidR="00A3112D" w:rsidRPr="00B74E01" w14:paraId="0CC8B7A3" w14:textId="77777777" w:rsidTr="00050088">
        <w:trPr>
          <w:tblCellSpacing w:w="15" w:type="dxa"/>
        </w:trPr>
        <w:tc>
          <w:tcPr>
            <w:tcW w:w="0" w:type="auto"/>
            <w:vAlign w:val="center"/>
            <w:hideMark/>
          </w:tcPr>
          <w:p w14:paraId="20A290B9"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Fundo Garantidor Municipal</w:t>
            </w:r>
          </w:p>
        </w:tc>
        <w:tc>
          <w:tcPr>
            <w:tcW w:w="0" w:type="auto"/>
            <w:vAlign w:val="center"/>
            <w:hideMark/>
          </w:tcPr>
          <w:p w14:paraId="1796BC76"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Estrutura específica para garantir obrigações da PPP</w:t>
            </w:r>
          </w:p>
        </w:tc>
      </w:tr>
      <w:tr w:rsidR="00A3112D" w:rsidRPr="00B74E01" w14:paraId="49CC3C76" w14:textId="77777777" w:rsidTr="00050088">
        <w:trPr>
          <w:tblCellSpacing w:w="15" w:type="dxa"/>
        </w:trPr>
        <w:tc>
          <w:tcPr>
            <w:tcW w:w="0" w:type="auto"/>
            <w:vAlign w:val="center"/>
            <w:hideMark/>
          </w:tcPr>
          <w:p w14:paraId="0B39A79C"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Conta vinculada</w:t>
            </w:r>
          </w:p>
        </w:tc>
        <w:tc>
          <w:tcPr>
            <w:tcW w:w="0" w:type="auto"/>
            <w:vAlign w:val="center"/>
            <w:hideMark/>
          </w:tcPr>
          <w:p w14:paraId="3DDFB269"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Conta com fluxo de receitas destinado ao pagamento da contraprestação</w:t>
            </w:r>
          </w:p>
        </w:tc>
      </w:tr>
      <w:tr w:rsidR="00A3112D" w:rsidRPr="00B74E01" w14:paraId="4AD8A1FE" w14:textId="77777777" w:rsidTr="00050088">
        <w:trPr>
          <w:tblCellSpacing w:w="15" w:type="dxa"/>
        </w:trPr>
        <w:tc>
          <w:tcPr>
            <w:tcW w:w="0" w:type="auto"/>
            <w:vAlign w:val="center"/>
            <w:hideMark/>
          </w:tcPr>
          <w:p w14:paraId="3B385E4C"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Conta reserva</w:t>
            </w:r>
          </w:p>
        </w:tc>
        <w:tc>
          <w:tcPr>
            <w:tcW w:w="0" w:type="auto"/>
            <w:vAlign w:val="center"/>
            <w:hideMark/>
          </w:tcPr>
          <w:p w14:paraId="7C8664DE"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 xml:space="preserve">Reserva financeira equivalente </w:t>
            </w:r>
            <w:proofErr w:type="spellStart"/>
            <w:r w:rsidRPr="00B74E01">
              <w:rPr>
                <w:rFonts w:eastAsia="Times New Roman" w:cs="Arial"/>
                <w:kern w:val="0"/>
                <w:lang w:eastAsia="pt-BR"/>
                <w14:ligatures w14:val="none"/>
              </w:rPr>
              <w:t>a</w:t>
            </w:r>
            <w:proofErr w:type="spellEnd"/>
            <w:r w:rsidRPr="00B74E01">
              <w:rPr>
                <w:rFonts w:eastAsia="Times New Roman" w:cs="Arial"/>
                <w:kern w:val="0"/>
                <w:lang w:eastAsia="pt-BR"/>
                <w14:ligatures w14:val="none"/>
              </w:rPr>
              <w:t xml:space="preserve"> determinado número de meses de receita principal</w:t>
            </w:r>
          </w:p>
        </w:tc>
      </w:tr>
      <w:tr w:rsidR="00A3112D" w:rsidRPr="00B74E01" w14:paraId="38252A7D" w14:textId="77777777" w:rsidTr="00050088">
        <w:trPr>
          <w:tblCellSpacing w:w="15" w:type="dxa"/>
        </w:trPr>
        <w:tc>
          <w:tcPr>
            <w:tcW w:w="0" w:type="auto"/>
            <w:vAlign w:val="center"/>
            <w:hideMark/>
          </w:tcPr>
          <w:p w14:paraId="73CB6529"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 xml:space="preserve">Escrow </w:t>
            </w:r>
            <w:proofErr w:type="spellStart"/>
            <w:r w:rsidRPr="00B74E01">
              <w:rPr>
                <w:rFonts w:eastAsia="Times New Roman" w:cs="Arial"/>
                <w:kern w:val="0"/>
                <w:lang w:eastAsia="pt-BR"/>
                <w14:ligatures w14:val="none"/>
              </w:rPr>
              <w:t>account</w:t>
            </w:r>
            <w:proofErr w:type="spellEnd"/>
          </w:p>
        </w:tc>
        <w:tc>
          <w:tcPr>
            <w:tcW w:w="0" w:type="auto"/>
            <w:vAlign w:val="center"/>
            <w:hideMark/>
          </w:tcPr>
          <w:p w14:paraId="5CF4D891"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Conta controlada com regras objetivas de movimentação</w:t>
            </w:r>
          </w:p>
        </w:tc>
      </w:tr>
      <w:tr w:rsidR="00A3112D" w:rsidRPr="00B74E01" w14:paraId="08B6EB4A" w14:textId="77777777" w:rsidTr="00050088">
        <w:trPr>
          <w:tblCellSpacing w:w="15" w:type="dxa"/>
        </w:trPr>
        <w:tc>
          <w:tcPr>
            <w:tcW w:w="0" w:type="auto"/>
            <w:vAlign w:val="center"/>
            <w:hideMark/>
          </w:tcPr>
          <w:p w14:paraId="04DBC1E6"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Vinculação de receitas permitidas</w:t>
            </w:r>
          </w:p>
        </w:tc>
        <w:tc>
          <w:tcPr>
            <w:tcW w:w="0" w:type="auto"/>
            <w:vAlign w:val="center"/>
            <w:hideMark/>
          </w:tcPr>
          <w:p w14:paraId="7DAA48C7"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Desde que juridicamente admitida e compatível com a legislação</w:t>
            </w:r>
          </w:p>
        </w:tc>
      </w:tr>
      <w:tr w:rsidR="00A3112D" w:rsidRPr="00B74E01" w14:paraId="429CBF12" w14:textId="77777777" w:rsidTr="00050088">
        <w:trPr>
          <w:tblCellSpacing w:w="15" w:type="dxa"/>
        </w:trPr>
        <w:tc>
          <w:tcPr>
            <w:tcW w:w="0" w:type="auto"/>
            <w:vAlign w:val="center"/>
            <w:hideMark/>
          </w:tcPr>
          <w:p w14:paraId="6C6D260F"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Seguro-garantia ou fiança</w:t>
            </w:r>
          </w:p>
        </w:tc>
        <w:tc>
          <w:tcPr>
            <w:tcW w:w="0" w:type="auto"/>
            <w:vAlign w:val="center"/>
            <w:hideMark/>
          </w:tcPr>
          <w:p w14:paraId="325A05C9"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Pode complementar, mas não substitui integralmente fluxo público</w:t>
            </w:r>
          </w:p>
        </w:tc>
      </w:tr>
      <w:tr w:rsidR="00A3112D" w:rsidRPr="00B74E01" w14:paraId="7657EFB2" w14:textId="77777777" w:rsidTr="00050088">
        <w:trPr>
          <w:tblCellSpacing w:w="15" w:type="dxa"/>
        </w:trPr>
        <w:tc>
          <w:tcPr>
            <w:tcW w:w="0" w:type="auto"/>
            <w:vAlign w:val="center"/>
            <w:hideMark/>
          </w:tcPr>
          <w:p w14:paraId="125AE138"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Recebíveis municipais específicos</w:t>
            </w:r>
          </w:p>
        </w:tc>
        <w:tc>
          <w:tcPr>
            <w:tcW w:w="0" w:type="auto"/>
            <w:vAlign w:val="center"/>
            <w:hideMark/>
          </w:tcPr>
          <w:p w14:paraId="437EE65A"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Dependem de avaliação jurídica e orçamentária</w:t>
            </w:r>
          </w:p>
        </w:tc>
      </w:tr>
      <w:tr w:rsidR="00A3112D" w:rsidRPr="00B74E01" w14:paraId="04C8485D" w14:textId="77777777" w:rsidTr="00050088">
        <w:trPr>
          <w:tblCellSpacing w:w="15" w:type="dxa"/>
        </w:trPr>
        <w:tc>
          <w:tcPr>
            <w:tcW w:w="0" w:type="auto"/>
            <w:vAlign w:val="center"/>
            <w:hideMark/>
          </w:tcPr>
          <w:p w14:paraId="26937A2C"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Combinação de mecanismos</w:t>
            </w:r>
          </w:p>
        </w:tc>
        <w:tc>
          <w:tcPr>
            <w:tcW w:w="0" w:type="auto"/>
            <w:vAlign w:val="center"/>
            <w:hideMark/>
          </w:tcPr>
          <w:p w14:paraId="02C2C33A"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Pode aumentar robustez e reduzir risco percebido</w:t>
            </w:r>
          </w:p>
        </w:tc>
      </w:tr>
    </w:tbl>
    <w:p w14:paraId="128CC56C"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escolha do instrumento deverá observar a legislação aplicável, capacidade fiscal municipal, parecer jurídico, disponibilidade orçamentária e exigências dos financiadores.</w:t>
      </w:r>
    </w:p>
    <w:p w14:paraId="386B7455" w14:textId="77777777" w:rsidR="00A3112D" w:rsidRPr="00B74E01" w:rsidRDefault="00A3112D" w:rsidP="009018B0">
      <w:pPr>
        <w:pStyle w:val="Ttulo2"/>
        <w:rPr>
          <w:rFonts w:eastAsia="Times New Roman"/>
          <w:lang w:eastAsia="pt-BR"/>
        </w:rPr>
      </w:pPr>
      <w:bookmarkStart w:id="192" w:name="_Toc230204194"/>
      <w:r w:rsidRPr="00B74E01">
        <w:rPr>
          <w:rFonts w:eastAsia="Times New Roman"/>
          <w:lang w:eastAsia="pt-BR"/>
        </w:rPr>
        <w:lastRenderedPageBreak/>
        <w:t>15.7. Fundo Garantidor</w:t>
      </w:r>
      <w:bookmarkEnd w:id="192"/>
    </w:p>
    <w:p w14:paraId="0D5AA751"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O Fundo Garantidor é uma das alternativas mais adequadas para a PPP, desde que seja formalmente instituído ou autorizado, possua regras claras de composição, movimentação, recomposição e acionamento.</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001"/>
        <w:gridCol w:w="6070"/>
      </w:tblGrid>
      <w:tr w:rsidR="00A3112D" w:rsidRPr="00B74E01" w14:paraId="2A457CAE" w14:textId="77777777">
        <w:trPr>
          <w:tblHeader/>
          <w:tblCellSpacing w:w="15" w:type="dxa"/>
        </w:trPr>
        <w:tc>
          <w:tcPr>
            <w:tcW w:w="0" w:type="auto"/>
            <w:vAlign w:val="center"/>
            <w:hideMark/>
          </w:tcPr>
          <w:p w14:paraId="69D17802" w14:textId="77777777" w:rsidR="00A3112D" w:rsidRPr="00B74E01" w:rsidRDefault="00A3112D" w:rsidP="009018B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Elemento do Fundo Garantidor</w:t>
            </w:r>
          </w:p>
        </w:tc>
        <w:tc>
          <w:tcPr>
            <w:tcW w:w="0" w:type="auto"/>
            <w:vAlign w:val="center"/>
            <w:hideMark/>
          </w:tcPr>
          <w:p w14:paraId="23F5DDAA" w14:textId="77777777" w:rsidR="00A3112D" w:rsidRPr="00B74E01" w:rsidRDefault="00A3112D" w:rsidP="009018B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Diretriz recomendada</w:t>
            </w:r>
          </w:p>
        </w:tc>
      </w:tr>
      <w:tr w:rsidR="00A3112D" w:rsidRPr="00B74E01" w14:paraId="4CFE5C36" w14:textId="77777777">
        <w:trPr>
          <w:tblCellSpacing w:w="15" w:type="dxa"/>
        </w:trPr>
        <w:tc>
          <w:tcPr>
            <w:tcW w:w="0" w:type="auto"/>
            <w:vAlign w:val="center"/>
            <w:hideMark/>
          </w:tcPr>
          <w:p w14:paraId="46CCE259"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Finalidade</w:t>
            </w:r>
          </w:p>
        </w:tc>
        <w:tc>
          <w:tcPr>
            <w:tcW w:w="0" w:type="auto"/>
            <w:vAlign w:val="center"/>
            <w:hideMark/>
          </w:tcPr>
          <w:p w14:paraId="3D144095"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Garantir o pagamento das receitas principais da PPP</w:t>
            </w:r>
          </w:p>
        </w:tc>
      </w:tr>
      <w:tr w:rsidR="00A3112D" w:rsidRPr="00B74E01" w14:paraId="52D0E163" w14:textId="77777777">
        <w:trPr>
          <w:tblCellSpacing w:w="15" w:type="dxa"/>
        </w:trPr>
        <w:tc>
          <w:tcPr>
            <w:tcW w:w="0" w:type="auto"/>
            <w:vAlign w:val="center"/>
            <w:hideMark/>
          </w:tcPr>
          <w:p w14:paraId="5524536A"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Base de cálculo</w:t>
            </w:r>
          </w:p>
        </w:tc>
        <w:tc>
          <w:tcPr>
            <w:tcW w:w="0" w:type="auto"/>
            <w:vAlign w:val="center"/>
            <w:hideMark/>
          </w:tcPr>
          <w:p w14:paraId="6DA0F481"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 principal mensal contratada</w:t>
            </w:r>
          </w:p>
        </w:tc>
      </w:tr>
      <w:tr w:rsidR="00A3112D" w:rsidRPr="00B74E01" w14:paraId="27EDCAC0" w14:textId="77777777">
        <w:trPr>
          <w:tblCellSpacing w:w="15" w:type="dxa"/>
        </w:trPr>
        <w:tc>
          <w:tcPr>
            <w:tcW w:w="0" w:type="auto"/>
            <w:vAlign w:val="center"/>
            <w:hideMark/>
          </w:tcPr>
          <w:p w14:paraId="32637BCA"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Nível recomendado</w:t>
            </w:r>
          </w:p>
        </w:tc>
        <w:tc>
          <w:tcPr>
            <w:tcW w:w="0" w:type="auto"/>
            <w:vAlign w:val="center"/>
            <w:hideMark/>
          </w:tcPr>
          <w:p w14:paraId="2D90D2A5"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6 meses de receita principal</w:t>
            </w:r>
          </w:p>
        </w:tc>
      </w:tr>
      <w:tr w:rsidR="00A3112D" w:rsidRPr="00B74E01" w14:paraId="59373D01" w14:textId="77777777">
        <w:trPr>
          <w:tblCellSpacing w:w="15" w:type="dxa"/>
        </w:trPr>
        <w:tc>
          <w:tcPr>
            <w:tcW w:w="0" w:type="auto"/>
            <w:vAlign w:val="center"/>
            <w:hideMark/>
          </w:tcPr>
          <w:p w14:paraId="6887F42D"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Composição</w:t>
            </w:r>
          </w:p>
        </w:tc>
        <w:tc>
          <w:tcPr>
            <w:tcW w:w="0" w:type="auto"/>
            <w:vAlign w:val="center"/>
            <w:hideMark/>
          </w:tcPr>
          <w:p w14:paraId="42AF46AD"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Recursos orçamentários, receitas vinculáveis, aportes ou ativos permitidos</w:t>
            </w:r>
          </w:p>
        </w:tc>
      </w:tr>
      <w:tr w:rsidR="00A3112D" w:rsidRPr="00B74E01" w14:paraId="5091898B" w14:textId="77777777">
        <w:trPr>
          <w:tblCellSpacing w:w="15" w:type="dxa"/>
        </w:trPr>
        <w:tc>
          <w:tcPr>
            <w:tcW w:w="0" w:type="auto"/>
            <w:vAlign w:val="center"/>
            <w:hideMark/>
          </w:tcPr>
          <w:p w14:paraId="372C2741"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Gestão</w:t>
            </w:r>
          </w:p>
        </w:tc>
        <w:tc>
          <w:tcPr>
            <w:tcW w:w="0" w:type="auto"/>
            <w:vAlign w:val="center"/>
            <w:hideMark/>
          </w:tcPr>
          <w:p w14:paraId="33EAC4ED"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Regras objetivas, transparência e controle</w:t>
            </w:r>
          </w:p>
        </w:tc>
      </w:tr>
      <w:tr w:rsidR="00A3112D" w:rsidRPr="00B74E01" w14:paraId="3A757EA7" w14:textId="77777777">
        <w:trPr>
          <w:tblCellSpacing w:w="15" w:type="dxa"/>
        </w:trPr>
        <w:tc>
          <w:tcPr>
            <w:tcW w:w="0" w:type="auto"/>
            <w:vAlign w:val="center"/>
            <w:hideMark/>
          </w:tcPr>
          <w:p w14:paraId="7A568457"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Acionamento</w:t>
            </w:r>
          </w:p>
        </w:tc>
        <w:tc>
          <w:tcPr>
            <w:tcW w:w="0" w:type="auto"/>
            <w:vAlign w:val="center"/>
            <w:hideMark/>
          </w:tcPr>
          <w:p w14:paraId="641FFE8E"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Procedimento automático ou semiautomático em caso de inadimplemento</w:t>
            </w:r>
          </w:p>
        </w:tc>
      </w:tr>
      <w:tr w:rsidR="00A3112D" w:rsidRPr="00B74E01" w14:paraId="0C858797" w14:textId="77777777">
        <w:trPr>
          <w:tblCellSpacing w:w="15" w:type="dxa"/>
        </w:trPr>
        <w:tc>
          <w:tcPr>
            <w:tcW w:w="0" w:type="auto"/>
            <w:vAlign w:val="center"/>
            <w:hideMark/>
          </w:tcPr>
          <w:p w14:paraId="4888AA2E"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Recomposição</w:t>
            </w:r>
          </w:p>
        </w:tc>
        <w:tc>
          <w:tcPr>
            <w:tcW w:w="0" w:type="auto"/>
            <w:vAlign w:val="center"/>
            <w:hideMark/>
          </w:tcPr>
          <w:p w14:paraId="3DF57490"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Obrigação de recomposição após uso</w:t>
            </w:r>
          </w:p>
        </w:tc>
      </w:tr>
      <w:tr w:rsidR="00A3112D" w:rsidRPr="00B74E01" w14:paraId="681461C5" w14:textId="77777777">
        <w:trPr>
          <w:tblCellSpacing w:w="15" w:type="dxa"/>
        </w:trPr>
        <w:tc>
          <w:tcPr>
            <w:tcW w:w="0" w:type="auto"/>
            <w:vAlign w:val="center"/>
            <w:hideMark/>
          </w:tcPr>
          <w:p w14:paraId="79AF6612"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Fiscalização</w:t>
            </w:r>
          </w:p>
        </w:tc>
        <w:tc>
          <w:tcPr>
            <w:tcW w:w="0" w:type="auto"/>
            <w:vAlign w:val="center"/>
            <w:hideMark/>
          </w:tcPr>
          <w:p w14:paraId="58EBC5E9"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Controle interno, externo e contratual</w:t>
            </w:r>
          </w:p>
        </w:tc>
      </w:tr>
    </w:tbl>
    <w:p w14:paraId="70F7B282"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O Fundo Garantidor deve ser desenhado para proteger o fluxo mínimo da PPP sem criar obrigação ilimitada ou aberta ao Município.</w:t>
      </w:r>
    </w:p>
    <w:p w14:paraId="2373285A" w14:textId="77777777" w:rsidR="00A3112D" w:rsidRPr="00B74E01" w:rsidRDefault="00A3112D" w:rsidP="009018B0">
      <w:pPr>
        <w:pStyle w:val="Ttulo2"/>
        <w:rPr>
          <w:rFonts w:eastAsia="Times New Roman"/>
          <w:lang w:eastAsia="pt-BR"/>
        </w:rPr>
      </w:pPr>
      <w:bookmarkStart w:id="193" w:name="_Toc230204195"/>
      <w:r w:rsidRPr="00B74E01">
        <w:rPr>
          <w:rFonts w:eastAsia="Times New Roman"/>
          <w:lang w:eastAsia="pt-BR"/>
        </w:rPr>
        <w:t>15.8. Conta vinculada e fluxo de pagamento</w:t>
      </w:r>
      <w:bookmarkEnd w:id="193"/>
    </w:p>
    <w:p w14:paraId="13DFD552"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Além do Fundo Garantidor, recomenda-se a adoção de conta vinculada ou conta centralizadora para disciplinar o fluxo de pagamento.</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493"/>
        <w:gridCol w:w="5568"/>
      </w:tblGrid>
      <w:tr w:rsidR="00A3112D" w:rsidRPr="00B74E01" w14:paraId="60A81356" w14:textId="77777777" w:rsidTr="00050088">
        <w:trPr>
          <w:tblHeader/>
          <w:tblCellSpacing w:w="15" w:type="dxa"/>
        </w:trPr>
        <w:tc>
          <w:tcPr>
            <w:tcW w:w="0" w:type="auto"/>
            <w:vAlign w:val="center"/>
            <w:hideMark/>
          </w:tcPr>
          <w:p w14:paraId="0D076F5A" w14:textId="77777777" w:rsidR="00A3112D" w:rsidRPr="00B74E01" w:rsidRDefault="00A3112D" w:rsidP="009018B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Etapa</w:t>
            </w:r>
          </w:p>
        </w:tc>
        <w:tc>
          <w:tcPr>
            <w:tcW w:w="0" w:type="auto"/>
            <w:vAlign w:val="center"/>
            <w:hideMark/>
          </w:tcPr>
          <w:p w14:paraId="71478AE3" w14:textId="77777777" w:rsidR="00A3112D" w:rsidRPr="00B74E01" w:rsidRDefault="00A3112D" w:rsidP="009018B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Funcionamento recomendado</w:t>
            </w:r>
          </w:p>
        </w:tc>
      </w:tr>
      <w:tr w:rsidR="00A3112D" w:rsidRPr="00B74E01" w14:paraId="15FA2A85" w14:textId="77777777" w:rsidTr="00050088">
        <w:trPr>
          <w:tblCellSpacing w:w="15" w:type="dxa"/>
        </w:trPr>
        <w:tc>
          <w:tcPr>
            <w:tcW w:w="0" w:type="auto"/>
            <w:vAlign w:val="center"/>
            <w:hideMark/>
          </w:tcPr>
          <w:p w14:paraId="2AFAA13C"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1. Apuração mensal</w:t>
            </w:r>
          </w:p>
        </w:tc>
        <w:tc>
          <w:tcPr>
            <w:tcW w:w="0" w:type="auto"/>
            <w:vAlign w:val="center"/>
            <w:hideMark/>
          </w:tcPr>
          <w:p w14:paraId="6C085036"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Verificação da receita principal devida</w:t>
            </w:r>
          </w:p>
        </w:tc>
      </w:tr>
      <w:tr w:rsidR="00A3112D" w:rsidRPr="00B74E01" w14:paraId="4243C3E4" w14:textId="77777777" w:rsidTr="00050088">
        <w:trPr>
          <w:tblCellSpacing w:w="15" w:type="dxa"/>
        </w:trPr>
        <w:tc>
          <w:tcPr>
            <w:tcW w:w="0" w:type="auto"/>
            <w:vAlign w:val="center"/>
            <w:hideMark/>
          </w:tcPr>
          <w:p w14:paraId="393DF061"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2. Emissão de documento de cobrança</w:t>
            </w:r>
          </w:p>
        </w:tc>
        <w:tc>
          <w:tcPr>
            <w:tcW w:w="0" w:type="auto"/>
            <w:vAlign w:val="center"/>
            <w:hideMark/>
          </w:tcPr>
          <w:p w14:paraId="183B9EB2"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SPE apresenta medição/fatura</w:t>
            </w:r>
          </w:p>
        </w:tc>
      </w:tr>
      <w:tr w:rsidR="00A3112D" w:rsidRPr="00B74E01" w14:paraId="3106D439" w14:textId="77777777" w:rsidTr="00050088">
        <w:trPr>
          <w:tblCellSpacing w:w="15" w:type="dxa"/>
        </w:trPr>
        <w:tc>
          <w:tcPr>
            <w:tcW w:w="0" w:type="auto"/>
            <w:vAlign w:val="center"/>
            <w:hideMark/>
          </w:tcPr>
          <w:p w14:paraId="3CBEE8A1"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3. Validação</w:t>
            </w:r>
          </w:p>
        </w:tc>
        <w:tc>
          <w:tcPr>
            <w:tcW w:w="0" w:type="auto"/>
            <w:vAlign w:val="center"/>
            <w:hideMark/>
          </w:tcPr>
          <w:p w14:paraId="02EF4A6C"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Município ou verificador independente confirma valores</w:t>
            </w:r>
          </w:p>
        </w:tc>
      </w:tr>
      <w:tr w:rsidR="00A3112D" w:rsidRPr="00B74E01" w14:paraId="6D26957F" w14:textId="77777777" w:rsidTr="00050088">
        <w:trPr>
          <w:tblCellSpacing w:w="15" w:type="dxa"/>
        </w:trPr>
        <w:tc>
          <w:tcPr>
            <w:tcW w:w="0" w:type="auto"/>
            <w:vAlign w:val="center"/>
            <w:hideMark/>
          </w:tcPr>
          <w:p w14:paraId="6E085105"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lastRenderedPageBreak/>
              <w:t>4. Pagamento</w:t>
            </w:r>
          </w:p>
        </w:tc>
        <w:tc>
          <w:tcPr>
            <w:tcW w:w="0" w:type="auto"/>
            <w:vAlign w:val="center"/>
            <w:hideMark/>
          </w:tcPr>
          <w:p w14:paraId="50191424"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Conta vinculada realiza pagamento à SPE</w:t>
            </w:r>
          </w:p>
        </w:tc>
      </w:tr>
      <w:tr w:rsidR="00A3112D" w:rsidRPr="00B74E01" w14:paraId="2BD9D44B" w14:textId="77777777" w:rsidTr="00050088">
        <w:trPr>
          <w:tblCellSpacing w:w="15" w:type="dxa"/>
        </w:trPr>
        <w:tc>
          <w:tcPr>
            <w:tcW w:w="0" w:type="auto"/>
            <w:vAlign w:val="center"/>
            <w:hideMark/>
          </w:tcPr>
          <w:p w14:paraId="7C4222F7"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5. Retenção ou glosa</w:t>
            </w:r>
          </w:p>
        </w:tc>
        <w:tc>
          <w:tcPr>
            <w:tcW w:w="0" w:type="auto"/>
            <w:vAlign w:val="center"/>
            <w:hideMark/>
          </w:tcPr>
          <w:p w14:paraId="10446B6C"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Apenas em hipóteses objetivas previstas no contrato</w:t>
            </w:r>
          </w:p>
        </w:tc>
      </w:tr>
      <w:tr w:rsidR="00A3112D" w:rsidRPr="00B74E01" w14:paraId="33B3E671" w14:textId="77777777" w:rsidTr="00050088">
        <w:trPr>
          <w:tblCellSpacing w:w="15" w:type="dxa"/>
        </w:trPr>
        <w:tc>
          <w:tcPr>
            <w:tcW w:w="0" w:type="auto"/>
            <w:vAlign w:val="center"/>
            <w:hideMark/>
          </w:tcPr>
          <w:p w14:paraId="5EB214B7"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6. Recomposição</w:t>
            </w:r>
          </w:p>
        </w:tc>
        <w:tc>
          <w:tcPr>
            <w:tcW w:w="0" w:type="auto"/>
            <w:vAlign w:val="center"/>
            <w:hideMark/>
          </w:tcPr>
          <w:p w14:paraId="70D197A7"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Caso a garantia seja acionada, Município recompõe saldo mínimo</w:t>
            </w:r>
          </w:p>
        </w:tc>
      </w:tr>
    </w:tbl>
    <w:p w14:paraId="179C51CC"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Essa lógica cria um fluxo mais previsível e reduz risco de atraso administrativo.</w:t>
      </w:r>
    </w:p>
    <w:p w14:paraId="4922F953" w14:textId="77777777" w:rsidR="00A3112D" w:rsidRPr="00B74E01" w:rsidRDefault="00A3112D" w:rsidP="009018B0">
      <w:pPr>
        <w:pStyle w:val="Ttulo2"/>
        <w:rPr>
          <w:rFonts w:eastAsia="Times New Roman"/>
          <w:lang w:eastAsia="pt-BR"/>
        </w:rPr>
      </w:pPr>
      <w:bookmarkStart w:id="194" w:name="_Toc230204196"/>
      <w:r w:rsidRPr="00B74E01">
        <w:rPr>
          <w:rFonts w:eastAsia="Times New Roman"/>
          <w:lang w:eastAsia="pt-BR"/>
        </w:rPr>
        <w:t>15.9. Procedimento de acionamento da garantia</w:t>
      </w:r>
      <w:bookmarkEnd w:id="194"/>
    </w:p>
    <w:p w14:paraId="5DC3C043"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O contrato deverá prever procedimento objetivo de acionamento da garantia.</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233"/>
        <w:gridCol w:w="5828"/>
      </w:tblGrid>
      <w:tr w:rsidR="00A3112D" w:rsidRPr="00B74E01" w14:paraId="23A1BA03" w14:textId="77777777" w:rsidTr="00050088">
        <w:trPr>
          <w:tblHeader/>
          <w:tblCellSpacing w:w="15" w:type="dxa"/>
        </w:trPr>
        <w:tc>
          <w:tcPr>
            <w:tcW w:w="0" w:type="auto"/>
            <w:vAlign w:val="center"/>
            <w:hideMark/>
          </w:tcPr>
          <w:p w14:paraId="39B3C5BF" w14:textId="77777777" w:rsidR="00A3112D" w:rsidRPr="00B74E01" w:rsidRDefault="00A3112D" w:rsidP="009018B0">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Situação</w:t>
            </w:r>
          </w:p>
        </w:tc>
        <w:tc>
          <w:tcPr>
            <w:tcW w:w="0" w:type="auto"/>
            <w:vAlign w:val="center"/>
            <w:hideMark/>
          </w:tcPr>
          <w:p w14:paraId="40B61072" w14:textId="77777777" w:rsidR="00A3112D" w:rsidRPr="00B74E01" w:rsidRDefault="00A3112D" w:rsidP="009018B0">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Tratamento recomendado</w:t>
            </w:r>
          </w:p>
        </w:tc>
      </w:tr>
      <w:tr w:rsidR="00A3112D" w:rsidRPr="00B74E01" w14:paraId="2D75D1AD" w14:textId="77777777" w:rsidTr="00050088">
        <w:trPr>
          <w:tblCellSpacing w:w="15" w:type="dxa"/>
        </w:trPr>
        <w:tc>
          <w:tcPr>
            <w:tcW w:w="0" w:type="auto"/>
            <w:vAlign w:val="center"/>
            <w:hideMark/>
          </w:tcPr>
          <w:p w14:paraId="0E69BB57" w14:textId="77777777" w:rsidR="00A3112D" w:rsidRPr="00B74E01" w:rsidRDefault="00A3112D" w:rsidP="009018B0">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Atraso de pagamento não justificado</w:t>
            </w:r>
          </w:p>
        </w:tc>
        <w:tc>
          <w:tcPr>
            <w:tcW w:w="0" w:type="auto"/>
            <w:vAlign w:val="center"/>
            <w:hideMark/>
          </w:tcPr>
          <w:p w14:paraId="0944BF91" w14:textId="77777777" w:rsidR="00A3112D" w:rsidRPr="00B74E01" w:rsidRDefault="00A3112D" w:rsidP="009018B0">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Acionamento após prazo de cura</w:t>
            </w:r>
          </w:p>
        </w:tc>
      </w:tr>
      <w:tr w:rsidR="00A3112D" w:rsidRPr="00B74E01" w14:paraId="131BFAC9" w14:textId="77777777" w:rsidTr="00050088">
        <w:trPr>
          <w:tblCellSpacing w:w="15" w:type="dxa"/>
        </w:trPr>
        <w:tc>
          <w:tcPr>
            <w:tcW w:w="0" w:type="auto"/>
            <w:vAlign w:val="center"/>
            <w:hideMark/>
          </w:tcPr>
          <w:p w14:paraId="1BF9B5F0" w14:textId="77777777" w:rsidR="00A3112D" w:rsidRPr="00B74E01" w:rsidRDefault="00A3112D" w:rsidP="009018B0">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Glosa controvertida</w:t>
            </w:r>
          </w:p>
        </w:tc>
        <w:tc>
          <w:tcPr>
            <w:tcW w:w="0" w:type="auto"/>
            <w:vAlign w:val="center"/>
            <w:hideMark/>
          </w:tcPr>
          <w:p w14:paraId="55C574BB" w14:textId="77777777" w:rsidR="00A3112D" w:rsidRPr="00B74E01" w:rsidRDefault="00A3112D" w:rsidP="009018B0">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Pagamento da parte incontroversa e tratamento separado da controvérsia</w:t>
            </w:r>
          </w:p>
        </w:tc>
      </w:tr>
      <w:tr w:rsidR="00A3112D" w:rsidRPr="00B74E01" w14:paraId="71186622" w14:textId="77777777" w:rsidTr="00050088">
        <w:trPr>
          <w:tblCellSpacing w:w="15" w:type="dxa"/>
        </w:trPr>
        <w:tc>
          <w:tcPr>
            <w:tcW w:w="0" w:type="auto"/>
            <w:vAlign w:val="center"/>
            <w:hideMark/>
          </w:tcPr>
          <w:p w14:paraId="3370A41F" w14:textId="77777777" w:rsidR="00A3112D" w:rsidRPr="00B74E01" w:rsidRDefault="00A3112D" w:rsidP="009018B0">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Inadimplemento reiterado</w:t>
            </w:r>
          </w:p>
        </w:tc>
        <w:tc>
          <w:tcPr>
            <w:tcW w:w="0" w:type="auto"/>
            <w:vAlign w:val="center"/>
            <w:hideMark/>
          </w:tcPr>
          <w:p w14:paraId="03550E76" w14:textId="77777777" w:rsidR="00A3112D" w:rsidRPr="00B74E01" w:rsidRDefault="00A3112D" w:rsidP="009018B0">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Acionamento da garantia e medidas contratuais</w:t>
            </w:r>
          </w:p>
        </w:tc>
      </w:tr>
      <w:tr w:rsidR="00A3112D" w:rsidRPr="00B74E01" w14:paraId="5C36AC58" w14:textId="77777777" w:rsidTr="00050088">
        <w:trPr>
          <w:tblCellSpacing w:w="15" w:type="dxa"/>
        </w:trPr>
        <w:tc>
          <w:tcPr>
            <w:tcW w:w="0" w:type="auto"/>
            <w:vAlign w:val="center"/>
            <w:hideMark/>
          </w:tcPr>
          <w:p w14:paraId="50131912" w14:textId="77777777" w:rsidR="00A3112D" w:rsidRPr="00B74E01" w:rsidRDefault="00A3112D" w:rsidP="009018B0">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Uso da garantia</w:t>
            </w:r>
          </w:p>
        </w:tc>
        <w:tc>
          <w:tcPr>
            <w:tcW w:w="0" w:type="auto"/>
            <w:vAlign w:val="center"/>
            <w:hideMark/>
          </w:tcPr>
          <w:p w14:paraId="07B5958B" w14:textId="77777777" w:rsidR="00A3112D" w:rsidRPr="00B74E01" w:rsidRDefault="00A3112D" w:rsidP="009018B0">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Obrigação de recomposição pelo Município</w:t>
            </w:r>
          </w:p>
        </w:tc>
      </w:tr>
      <w:tr w:rsidR="00A3112D" w:rsidRPr="00B74E01" w14:paraId="5CE62996" w14:textId="77777777" w:rsidTr="00050088">
        <w:trPr>
          <w:tblCellSpacing w:w="15" w:type="dxa"/>
        </w:trPr>
        <w:tc>
          <w:tcPr>
            <w:tcW w:w="0" w:type="auto"/>
            <w:vAlign w:val="center"/>
            <w:hideMark/>
          </w:tcPr>
          <w:p w14:paraId="387E844F" w14:textId="77777777" w:rsidR="00A3112D" w:rsidRPr="00B74E01" w:rsidRDefault="00A3112D" w:rsidP="009018B0">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Falha de recomposição</w:t>
            </w:r>
          </w:p>
        </w:tc>
        <w:tc>
          <w:tcPr>
            <w:tcW w:w="0" w:type="auto"/>
            <w:vAlign w:val="center"/>
            <w:hideMark/>
          </w:tcPr>
          <w:p w14:paraId="68A6AA75" w14:textId="77777777" w:rsidR="00A3112D" w:rsidRPr="00B74E01" w:rsidRDefault="00A3112D" w:rsidP="009018B0">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Evento de inadimplemento contratual</w:t>
            </w:r>
          </w:p>
        </w:tc>
      </w:tr>
      <w:tr w:rsidR="00A3112D" w:rsidRPr="00B74E01" w14:paraId="6E769F83" w14:textId="77777777" w:rsidTr="00050088">
        <w:trPr>
          <w:tblCellSpacing w:w="15" w:type="dxa"/>
        </w:trPr>
        <w:tc>
          <w:tcPr>
            <w:tcW w:w="0" w:type="auto"/>
            <w:vAlign w:val="center"/>
            <w:hideMark/>
          </w:tcPr>
          <w:p w14:paraId="04D64C97" w14:textId="77777777" w:rsidR="00A3112D" w:rsidRPr="00B74E01" w:rsidRDefault="00A3112D" w:rsidP="009018B0">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Suspensão de serviço</w:t>
            </w:r>
          </w:p>
        </w:tc>
        <w:tc>
          <w:tcPr>
            <w:tcW w:w="0" w:type="auto"/>
            <w:vAlign w:val="center"/>
            <w:hideMark/>
          </w:tcPr>
          <w:p w14:paraId="2C450251" w14:textId="77777777" w:rsidR="00A3112D" w:rsidRPr="00B74E01" w:rsidRDefault="00A3112D" w:rsidP="009018B0">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Apenas nos limites legais e contratuais, preservando serviço essencial</w:t>
            </w:r>
          </w:p>
        </w:tc>
      </w:tr>
    </w:tbl>
    <w:p w14:paraId="57D2465F"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O procedimento deve proteger o interesse público e, ao mesmo tempo, garantir que a SPE não fique exposta a inadimplemento prolongado.</w:t>
      </w:r>
    </w:p>
    <w:p w14:paraId="653B7F85" w14:textId="77777777" w:rsidR="00A3112D" w:rsidRPr="00B74E01" w:rsidRDefault="00A3112D" w:rsidP="009018B0">
      <w:pPr>
        <w:pStyle w:val="Ttulo2"/>
        <w:rPr>
          <w:rFonts w:eastAsia="Times New Roman"/>
          <w:lang w:eastAsia="pt-BR"/>
        </w:rPr>
      </w:pPr>
      <w:bookmarkStart w:id="195" w:name="_Toc230204197"/>
      <w:r w:rsidRPr="00B74E01">
        <w:rPr>
          <w:rFonts w:eastAsia="Times New Roman"/>
          <w:lang w:eastAsia="pt-BR"/>
        </w:rPr>
        <w:t>15.10. Relação entre garantia e financiadores</w:t>
      </w:r>
      <w:bookmarkEnd w:id="195"/>
    </w:p>
    <w:p w14:paraId="36980322"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Financiadores analisam não apenas a rentabilidade do projeto, mas a qualidade e a previsibilidade do fluxo de pagamento.</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154"/>
        <w:gridCol w:w="4907"/>
      </w:tblGrid>
      <w:tr w:rsidR="00A3112D" w:rsidRPr="00B74E01" w14:paraId="68385444" w14:textId="77777777" w:rsidTr="00050088">
        <w:trPr>
          <w:tblHeader/>
          <w:tblCellSpacing w:w="15" w:type="dxa"/>
        </w:trPr>
        <w:tc>
          <w:tcPr>
            <w:tcW w:w="0" w:type="auto"/>
            <w:vAlign w:val="center"/>
            <w:hideMark/>
          </w:tcPr>
          <w:p w14:paraId="00BD05D3" w14:textId="77777777" w:rsidR="00A3112D" w:rsidRPr="00B74E01" w:rsidRDefault="00A3112D" w:rsidP="009018B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lastRenderedPageBreak/>
              <w:t>Elemento analisado pelo financiador</w:t>
            </w:r>
          </w:p>
        </w:tc>
        <w:tc>
          <w:tcPr>
            <w:tcW w:w="0" w:type="auto"/>
            <w:vAlign w:val="center"/>
            <w:hideMark/>
          </w:tcPr>
          <w:p w14:paraId="6E95144A" w14:textId="77777777" w:rsidR="00A3112D" w:rsidRPr="00B74E01" w:rsidRDefault="00A3112D" w:rsidP="009018B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Importância</w:t>
            </w:r>
          </w:p>
        </w:tc>
      </w:tr>
      <w:tr w:rsidR="00A3112D" w:rsidRPr="00B74E01" w14:paraId="2BCD63BE" w14:textId="77777777" w:rsidTr="00050088">
        <w:trPr>
          <w:tblCellSpacing w:w="15" w:type="dxa"/>
        </w:trPr>
        <w:tc>
          <w:tcPr>
            <w:tcW w:w="0" w:type="auto"/>
            <w:vAlign w:val="center"/>
            <w:hideMark/>
          </w:tcPr>
          <w:p w14:paraId="5405A3F9"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 principal contratada</w:t>
            </w:r>
          </w:p>
        </w:tc>
        <w:tc>
          <w:tcPr>
            <w:tcW w:w="0" w:type="auto"/>
            <w:vAlign w:val="center"/>
            <w:hideMark/>
          </w:tcPr>
          <w:p w14:paraId="7770572D"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Base do pagamento da dívida</w:t>
            </w:r>
          </w:p>
        </w:tc>
      </w:tr>
      <w:tr w:rsidR="00A3112D" w:rsidRPr="00B74E01" w14:paraId="392E28D3" w14:textId="77777777" w:rsidTr="00050088">
        <w:trPr>
          <w:tblCellSpacing w:w="15" w:type="dxa"/>
        </w:trPr>
        <w:tc>
          <w:tcPr>
            <w:tcW w:w="0" w:type="auto"/>
            <w:vAlign w:val="center"/>
            <w:hideMark/>
          </w:tcPr>
          <w:p w14:paraId="01783663"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Fundo Garantidor</w:t>
            </w:r>
          </w:p>
        </w:tc>
        <w:tc>
          <w:tcPr>
            <w:tcW w:w="0" w:type="auto"/>
            <w:vAlign w:val="center"/>
            <w:hideMark/>
          </w:tcPr>
          <w:p w14:paraId="7BCB1694"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Reduz risco de inadimplemento</w:t>
            </w:r>
          </w:p>
        </w:tc>
      </w:tr>
      <w:tr w:rsidR="00A3112D" w:rsidRPr="00B74E01" w14:paraId="1DF2CBFC" w14:textId="77777777" w:rsidTr="00050088">
        <w:trPr>
          <w:tblCellSpacing w:w="15" w:type="dxa"/>
        </w:trPr>
        <w:tc>
          <w:tcPr>
            <w:tcW w:w="0" w:type="auto"/>
            <w:vAlign w:val="center"/>
            <w:hideMark/>
          </w:tcPr>
          <w:p w14:paraId="3AE0EBD0"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Conta vinculada</w:t>
            </w:r>
          </w:p>
        </w:tc>
        <w:tc>
          <w:tcPr>
            <w:tcW w:w="0" w:type="auto"/>
            <w:vAlign w:val="center"/>
            <w:hideMark/>
          </w:tcPr>
          <w:p w14:paraId="61C35723"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Melhora controle de fluxo</w:t>
            </w:r>
          </w:p>
        </w:tc>
      </w:tr>
      <w:tr w:rsidR="00A3112D" w:rsidRPr="00B74E01" w14:paraId="6169CF79" w14:textId="77777777" w:rsidTr="00050088">
        <w:trPr>
          <w:tblCellSpacing w:w="15" w:type="dxa"/>
        </w:trPr>
        <w:tc>
          <w:tcPr>
            <w:tcW w:w="0" w:type="auto"/>
            <w:vAlign w:val="center"/>
            <w:hideMark/>
          </w:tcPr>
          <w:p w14:paraId="0688361A"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Reserva de liquidez</w:t>
            </w:r>
          </w:p>
        </w:tc>
        <w:tc>
          <w:tcPr>
            <w:tcW w:w="0" w:type="auto"/>
            <w:vAlign w:val="center"/>
            <w:hideMark/>
          </w:tcPr>
          <w:p w14:paraId="329035B9"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Protege meses críticos</w:t>
            </w:r>
          </w:p>
        </w:tc>
      </w:tr>
      <w:tr w:rsidR="00A3112D" w:rsidRPr="00B74E01" w14:paraId="779CA376" w14:textId="77777777" w:rsidTr="00050088">
        <w:trPr>
          <w:tblCellSpacing w:w="15" w:type="dxa"/>
        </w:trPr>
        <w:tc>
          <w:tcPr>
            <w:tcW w:w="0" w:type="auto"/>
            <w:vAlign w:val="center"/>
            <w:hideMark/>
          </w:tcPr>
          <w:p w14:paraId="334949EC"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Matriz de riscos</w:t>
            </w:r>
          </w:p>
        </w:tc>
        <w:tc>
          <w:tcPr>
            <w:tcW w:w="0" w:type="auto"/>
            <w:vAlign w:val="center"/>
            <w:hideMark/>
          </w:tcPr>
          <w:p w14:paraId="1DA5AAF8"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Define responsabilidade por eventos adversos</w:t>
            </w:r>
          </w:p>
        </w:tc>
      </w:tr>
      <w:tr w:rsidR="00A3112D" w:rsidRPr="00B74E01" w14:paraId="11C273BD" w14:textId="77777777" w:rsidTr="00050088">
        <w:trPr>
          <w:tblCellSpacing w:w="15" w:type="dxa"/>
        </w:trPr>
        <w:tc>
          <w:tcPr>
            <w:tcW w:w="0" w:type="auto"/>
            <w:vAlign w:val="center"/>
            <w:hideMark/>
          </w:tcPr>
          <w:p w14:paraId="4F37EEFC"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Histórico fiscal do Município</w:t>
            </w:r>
          </w:p>
        </w:tc>
        <w:tc>
          <w:tcPr>
            <w:tcW w:w="0" w:type="auto"/>
            <w:vAlign w:val="center"/>
            <w:hideMark/>
          </w:tcPr>
          <w:p w14:paraId="2FD822F9"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Influencia percepção de risco</w:t>
            </w:r>
          </w:p>
        </w:tc>
      </w:tr>
      <w:tr w:rsidR="00A3112D" w:rsidRPr="00B74E01" w14:paraId="6817F445" w14:textId="77777777" w:rsidTr="00050088">
        <w:trPr>
          <w:tblCellSpacing w:w="15" w:type="dxa"/>
        </w:trPr>
        <w:tc>
          <w:tcPr>
            <w:tcW w:w="0" w:type="auto"/>
            <w:vAlign w:val="center"/>
            <w:hideMark/>
          </w:tcPr>
          <w:p w14:paraId="6BDEE5DC"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Regras de glosa</w:t>
            </w:r>
          </w:p>
        </w:tc>
        <w:tc>
          <w:tcPr>
            <w:tcW w:w="0" w:type="auto"/>
            <w:vAlign w:val="center"/>
            <w:hideMark/>
          </w:tcPr>
          <w:p w14:paraId="61251EB5"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Evitam redução arbitrária de receita</w:t>
            </w:r>
          </w:p>
        </w:tc>
      </w:tr>
      <w:tr w:rsidR="00A3112D" w:rsidRPr="00B74E01" w14:paraId="7DE1D19B" w14:textId="77777777" w:rsidTr="00050088">
        <w:trPr>
          <w:tblCellSpacing w:w="15" w:type="dxa"/>
        </w:trPr>
        <w:tc>
          <w:tcPr>
            <w:tcW w:w="0" w:type="auto"/>
            <w:vAlign w:val="center"/>
            <w:hideMark/>
          </w:tcPr>
          <w:p w14:paraId="7A02F832"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Prazo de contrato</w:t>
            </w:r>
          </w:p>
        </w:tc>
        <w:tc>
          <w:tcPr>
            <w:tcW w:w="0" w:type="auto"/>
            <w:vAlign w:val="center"/>
            <w:hideMark/>
          </w:tcPr>
          <w:p w14:paraId="5EF87D0A"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Compatibilidade com amortização</w:t>
            </w:r>
          </w:p>
        </w:tc>
      </w:tr>
    </w:tbl>
    <w:p w14:paraId="5B331381"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Sem garantia adequada, o projeto pode ser visto como financeiramente frágil mesmo que a planilha apresente EBITDA positivo.</w:t>
      </w:r>
    </w:p>
    <w:p w14:paraId="3B76D8EC" w14:textId="77777777" w:rsidR="00A3112D" w:rsidRPr="00B74E01" w:rsidRDefault="00A3112D" w:rsidP="009018B0">
      <w:pPr>
        <w:pStyle w:val="Ttulo2"/>
        <w:rPr>
          <w:rFonts w:eastAsia="Times New Roman"/>
          <w:lang w:eastAsia="pt-BR"/>
        </w:rPr>
      </w:pPr>
      <w:bookmarkStart w:id="196" w:name="_Toc230204198"/>
      <w:r w:rsidRPr="00B74E01">
        <w:rPr>
          <w:rFonts w:eastAsia="Times New Roman"/>
          <w:lang w:eastAsia="pt-BR"/>
        </w:rPr>
        <w:t>15.11. Garantia e responsabilidade fiscal</w:t>
      </w:r>
      <w:bookmarkEnd w:id="196"/>
    </w:p>
    <w:p w14:paraId="596CB305"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garantia deve ser estruturada com atenção à responsabilidade fiscal, planejamento orçamentário e limites legais.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284"/>
        <w:gridCol w:w="5553"/>
      </w:tblGrid>
      <w:tr w:rsidR="00A3112D" w:rsidRPr="00B74E01" w14:paraId="3056EACD" w14:textId="77777777" w:rsidTr="00050088">
        <w:trPr>
          <w:tblHeader/>
          <w:tblCellSpacing w:w="15" w:type="dxa"/>
        </w:trPr>
        <w:tc>
          <w:tcPr>
            <w:tcW w:w="0" w:type="auto"/>
            <w:vAlign w:val="center"/>
            <w:hideMark/>
          </w:tcPr>
          <w:p w14:paraId="3A1CA620" w14:textId="77777777" w:rsidR="00A3112D" w:rsidRPr="00B74E01" w:rsidRDefault="00A3112D" w:rsidP="009018B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Ponto de atenção</w:t>
            </w:r>
          </w:p>
        </w:tc>
        <w:tc>
          <w:tcPr>
            <w:tcW w:w="0" w:type="auto"/>
            <w:vAlign w:val="center"/>
            <w:hideMark/>
          </w:tcPr>
          <w:p w14:paraId="781DF542" w14:textId="77777777" w:rsidR="00A3112D" w:rsidRPr="00B74E01" w:rsidRDefault="00A3112D" w:rsidP="009018B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Diretriz</w:t>
            </w:r>
          </w:p>
        </w:tc>
      </w:tr>
      <w:tr w:rsidR="00A3112D" w:rsidRPr="00B74E01" w14:paraId="0BBDF87E" w14:textId="77777777" w:rsidTr="00050088">
        <w:trPr>
          <w:tblCellSpacing w:w="15" w:type="dxa"/>
        </w:trPr>
        <w:tc>
          <w:tcPr>
            <w:tcW w:w="0" w:type="auto"/>
            <w:vAlign w:val="center"/>
            <w:hideMark/>
          </w:tcPr>
          <w:p w14:paraId="117A7DD6"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Compatibilidade orçamentária</w:t>
            </w:r>
          </w:p>
        </w:tc>
        <w:tc>
          <w:tcPr>
            <w:tcW w:w="0" w:type="auto"/>
            <w:vAlign w:val="center"/>
            <w:hideMark/>
          </w:tcPr>
          <w:p w14:paraId="233A3989"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Prever dotação e impacto de longo prazo</w:t>
            </w:r>
          </w:p>
        </w:tc>
      </w:tr>
      <w:tr w:rsidR="00A3112D" w:rsidRPr="00B74E01" w14:paraId="574B9B22" w14:textId="77777777" w:rsidTr="00050088">
        <w:trPr>
          <w:tblCellSpacing w:w="15" w:type="dxa"/>
        </w:trPr>
        <w:tc>
          <w:tcPr>
            <w:tcW w:w="0" w:type="auto"/>
            <w:vAlign w:val="center"/>
            <w:hideMark/>
          </w:tcPr>
          <w:p w14:paraId="11F2A456"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Limites fiscais</w:t>
            </w:r>
          </w:p>
        </w:tc>
        <w:tc>
          <w:tcPr>
            <w:tcW w:w="0" w:type="auto"/>
            <w:vAlign w:val="center"/>
            <w:hideMark/>
          </w:tcPr>
          <w:p w14:paraId="24973150"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Avaliar capacidade de pagamento e endividamento</w:t>
            </w:r>
          </w:p>
        </w:tc>
      </w:tr>
      <w:tr w:rsidR="00A3112D" w:rsidRPr="00B74E01" w14:paraId="0C383F64" w14:textId="77777777" w:rsidTr="00050088">
        <w:trPr>
          <w:tblCellSpacing w:w="15" w:type="dxa"/>
        </w:trPr>
        <w:tc>
          <w:tcPr>
            <w:tcW w:w="0" w:type="auto"/>
            <w:vAlign w:val="center"/>
            <w:hideMark/>
          </w:tcPr>
          <w:p w14:paraId="0A8B55B9"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Transparência</w:t>
            </w:r>
          </w:p>
        </w:tc>
        <w:tc>
          <w:tcPr>
            <w:tcW w:w="0" w:type="auto"/>
            <w:vAlign w:val="center"/>
            <w:hideMark/>
          </w:tcPr>
          <w:p w14:paraId="1E64630A"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Registrar compromissos e garantias</w:t>
            </w:r>
          </w:p>
        </w:tc>
      </w:tr>
      <w:tr w:rsidR="00A3112D" w:rsidRPr="00B74E01" w14:paraId="21E8E7BC" w14:textId="77777777" w:rsidTr="00050088">
        <w:trPr>
          <w:tblCellSpacing w:w="15" w:type="dxa"/>
        </w:trPr>
        <w:tc>
          <w:tcPr>
            <w:tcW w:w="0" w:type="auto"/>
            <w:vAlign w:val="center"/>
            <w:hideMark/>
          </w:tcPr>
          <w:p w14:paraId="64E4A11D"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Governança</w:t>
            </w:r>
          </w:p>
        </w:tc>
        <w:tc>
          <w:tcPr>
            <w:tcW w:w="0" w:type="auto"/>
            <w:vAlign w:val="center"/>
            <w:hideMark/>
          </w:tcPr>
          <w:p w14:paraId="3205C1CF"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Evitar obrigações abertas ou ilimitadas</w:t>
            </w:r>
          </w:p>
        </w:tc>
      </w:tr>
      <w:tr w:rsidR="00A3112D" w:rsidRPr="00B74E01" w14:paraId="3B1710FF" w14:textId="77777777" w:rsidTr="00050088">
        <w:trPr>
          <w:tblCellSpacing w:w="15" w:type="dxa"/>
        </w:trPr>
        <w:tc>
          <w:tcPr>
            <w:tcW w:w="0" w:type="auto"/>
            <w:vAlign w:val="center"/>
            <w:hideMark/>
          </w:tcPr>
          <w:p w14:paraId="7F0EE059"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Controle externo</w:t>
            </w:r>
          </w:p>
        </w:tc>
        <w:tc>
          <w:tcPr>
            <w:tcW w:w="0" w:type="auto"/>
            <w:vAlign w:val="center"/>
            <w:hideMark/>
          </w:tcPr>
          <w:p w14:paraId="78C1BA5A"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Documentar justificativa e base de cálculo</w:t>
            </w:r>
          </w:p>
        </w:tc>
      </w:tr>
      <w:tr w:rsidR="00A3112D" w:rsidRPr="00B74E01" w14:paraId="5B7565CF" w14:textId="77777777" w:rsidTr="00050088">
        <w:trPr>
          <w:tblCellSpacing w:w="15" w:type="dxa"/>
        </w:trPr>
        <w:tc>
          <w:tcPr>
            <w:tcW w:w="0" w:type="auto"/>
            <w:vAlign w:val="center"/>
            <w:hideMark/>
          </w:tcPr>
          <w:p w14:paraId="7EF3DBAD"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Reposição da garantia</w:t>
            </w:r>
          </w:p>
        </w:tc>
        <w:tc>
          <w:tcPr>
            <w:tcW w:w="0" w:type="auto"/>
            <w:vAlign w:val="center"/>
            <w:hideMark/>
          </w:tcPr>
          <w:p w14:paraId="6C3F8244"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Prever prazo e fonte de recomposição</w:t>
            </w:r>
          </w:p>
        </w:tc>
      </w:tr>
    </w:tbl>
    <w:p w14:paraId="41CFA0D3"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garantia não deve ser apresentada como despesa oculta. Deve ser apresentada como mecanismo formal, transparente e juridicamente controlado de proteção contratual.</w:t>
      </w:r>
    </w:p>
    <w:p w14:paraId="6636AE3B" w14:textId="440902A7" w:rsidR="00A3112D" w:rsidRPr="00B74E01" w:rsidRDefault="00A3112D" w:rsidP="009018B0">
      <w:pPr>
        <w:pStyle w:val="Ttulo2"/>
        <w:rPr>
          <w:rFonts w:eastAsia="Times New Roman"/>
          <w:lang w:eastAsia="pt-BR"/>
        </w:rPr>
      </w:pPr>
      <w:bookmarkStart w:id="197" w:name="_Toc230204199"/>
      <w:r w:rsidRPr="00B74E01">
        <w:rPr>
          <w:rFonts w:eastAsia="Times New Roman"/>
          <w:lang w:eastAsia="pt-BR"/>
        </w:rPr>
        <w:lastRenderedPageBreak/>
        <w:t>15.12. Garantia e matriz de riscos</w:t>
      </w:r>
      <w:bookmarkEnd w:id="197"/>
    </w:p>
    <w:p w14:paraId="5AC70937"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garantia deve dialogar com a matriz de riscos.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203"/>
        <w:gridCol w:w="3858"/>
      </w:tblGrid>
      <w:tr w:rsidR="00A3112D" w:rsidRPr="00B74E01" w14:paraId="3D7A5BD2" w14:textId="77777777" w:rsidTr="00050088">
        <w:trPr>
          <w:tblHeader/>
          <w:tblCellSpacing w:w="15" w:type="dxa"/>
        </w:trPr>
        <w:tc>
          <w:tcPr>
            <w:tcW w:w="0" w:type="auto"/>
            <w:vAlign w:val="center"/>
            <w:hideMark/>
          </w:tcPr>
          <w:p w14:paraId="20B95F85" w14:textId="77777777" w:rsidR="00A3112D" w:rsidRPr="00B74E01" w:rsidRDefault="00A3112D" w:rsidP="009018B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Risco</w:t>
            </w:r>
          </w:p>
        </w:tc>
        <w:tc>
          <w:tcPr>
            <w:tcW w:w="0" w:type="auto"/>
            <w:vAlign w:val="center"/>
            <w:hideMark/>
          </w:tcPr>
          <w:p w14:paraId="0292314F" w14:textId="77777777" w:rsidR="00A3112D" w:rsidRPr="00B74E01" w:rsidRDefault="00A3112D" w:rsidP="009018B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Relação com a garantia</w:t>
            </w:r>
          </w:p>
        </w:tc>
      </w:tr>
      <w:tr w:rsidR="00A3112D" w:rsidRPr="00B74E01" w14:paraId="63B0FC58" w14:textId="77777777" w:rsidTr="00050088">
        <w:trPr>
          <w:tblCellSpacing w:w="15" w:type="dxa"/>
        </w:trPr>
        <w:tc>
          <w:tcPr>
            <w:tcW w:w="0" w:type="auto"/>
            <w:vAlign w:val="center"/>
            <w:hideMark/>
          </w:tcPr>
          <w:p w14:paraId="1A216302"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Inadimplemento do Município</w:t>
            </w:r>
          </w:p>
        </w:tc>
        <w:tc>
          <w:tcPr>
            <w:tcW w:w="0" w:type="auto"/>
            <w:vAlign w:val="center"/>
            <w:hideMark/>
          </w:tcPr>
          <w:p w14:paraId="0DDFF46F"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Coberto pela garantia</w:t>
            </w:r>
          </w:p>
        </w:tc>
      </w:tr>
      <w:tr w:rsidR="00A3112D" w:rsidRPr="00B74E01" w14:paraId="7BE3EB7F" w14:textId="77777777" w:rsidTr="00050088">
        <w:trPr>
          <w:tblCellSpacing w:w="15" w:type="dxa"/>
        </w:trPr>
        <w:tc>
          <w:tcPr>
            <w:tcW w:w="0" w:type="auto"/>
            <w:vAlign w:val="center"/>
            <w:hideMark/>
          </w:tcPr>
          <w:p w14:paraId="17CDBAC0"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Atraso de pagamento</w:t>
            </w:r>
          </w:p>
        </w:tc>
        <w:tc>
          <w:tcPr>
            <w:tcW w:w="0" w:type="auto"/>
            <w:vAlign w:val="center"/>
            <w:hideMark/>
          </w:tcPr>
          <w:p w14:paraId="4A82181D"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Coberto, conforme prazo de cura</w:t>
            </w:r>
          </w:p>
        </w:tc>
      </w:tr>
      <w:tr w:rsidR="00A3112D" w:rsidRPr="00B74E01" w14:paraId="2F576277" w14:textId="77777777" w:rsidTr="00050088">
        <w:trPr>
          <w:tblCellSpacing w:w="15" w:type="dxa"/>
        </w:trPr>
        <w:tc>
          <w:tcPr>
            <w:tcW w:w="0" w:type="auto"/>
            <w:vAlign w:val="center"/>
            <w:hideMark/>
          </w:tcPr>
          <w:p w14:paraId="71CE549B"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Glosa por falha da SPE</w:t>
            </w:r>
          </w:p>
        </w:tc>
        <w:tc>
          <w:tcPr>
            <w:tcW w:w="0" w:type="auto"/>
            <w:vAlign w:val="center"/>
            <w:hideMark/>
          </w:tcPr>
          <w:p w14:paraId="1390A6B0"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Não coberta, se devidamente comprovada</w:t>
            </w:r>
          </w:p>
        </w:tc>
      </w:tr>
      <w:tr w:rsidR="00A3112D" w:rsidRPr="00B74E01" w14:paraId="77875582" w14:textId="77777777" w:rsidTr="00050088">
        <w:trPr>
          <w:tblCellSpacing w:w="15" w:type="dxa"/>
        </w:trPr>
        <w:tc>
          <w:tcPr>
            <w:tcW w:w="0" w:type="auto"/>
            <w:vAlign w:val="center"/>
            <w:hideMark/>
          </w:tcPr>
          <w:p w14:paraId="46692F5E"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Frustração de receita acessória</w:t>
            </w:r>
          </w:p>
        </w:tc>
        <w:tc>
          <w:tcPr>
            <w:tcW w:w="0" w:type="auto"/>
            <w:vAlign w:val="center"/>
            <w:hideMark/>
          </w:tcPr>
          <w:p w14:paraId="4C4B1592"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Não coberta</w:t>
            </w:r>
          </w:p>
        </w:tc>
      </w:tr>
      <w:tr w:rsidR="00A3112D" w:rsidRPr="00B74E01" w14:paraId="19B90DA2" w14:textId="77777777" w:rsidTr="00050088">
        <w:trPr>
          <w:tblCellSpacing w:w="15" w:type="dxa"/>
        </w:trPr>
        <w:tc>
          <w:tcPr>
            <w:tcW w:w="0" w:type="auto"/>
            <w:vAlign w:val="center"/>
            <w:hideMark/>
          </w:tcPr>
          <w:p w14:paraId="1DE84368"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Queda de volume abaixo do mínimo por fato do Município</w:t>
            </w:r>
          </w:p>
        </w:tc>
        <w:tc>
          <w:tcPr>
            <w:tcW w:w="0" w:type="auto"/>
            <w:vAlign w:val="center"/>
            <w:hideMark/>
          </w:tcPr>
          <w:p w14:paraId="726EA4E6"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Coberta pela regra de quantidade mínima</w:t>
            </w:r>
          </w:p>
        </w:tc>
      </w:tr>
      <w:tr w:rsidR="00A3112D" w:rsidRPr="00B74E01" w14:paraId="0353DB9D" w14:textId="77777777" w:rsidTr="00050088">
        <w:trPr>
          <w:tblCellSpacing w:w="15" w:type="dxa"/>
        </w:trPr>
        <w:tc>
          <w:tcPr>
            <w:tcW w:w="0" w:type="auto"/>
            <w:vAlign w:val="center"/>
            <w:hideMark/>
          </w:tcPr>
          <w:p w14:paraId="6B4CBFEA"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Indisponibilidade da planta por culpa da SPE</w:t>
            </w:r>
          </w:p>
        </w:tc>
        <w:tc>
          <w:tcPr>
            <w:tcW w:w="0" w:type="auto"/>
            <w:vAlign w:val="center"/>
            <w:hideMark/>
          </w:tcPr>
          <w:p w14:paraId="7A6B5975"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Pode gerar glosa, sem garantia</w:t>
            </w:r>
          </w:p>
        </w:tc>
      </w:tr>
      <w:tr w:rsidR="00A3112D" w:rsidRPr="00B74E01" w14:paraId="3622B35A" w14:textId="77777777" w:rsidTr="00050088">
        <w:trPr>
          <w:tblCellSpacing w:w="15" w:type="dxa"/>
        </w:trPr>
        <w:tc>
          <w:tcPr>
            <w:tcW w:w="0" w:type="auto"/>
            <w:vAlign w:val="center"/>
            <w:hideMark/>
          </w:tcPr>
          <w:p w14:paraId="431CBE1F"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Evento extraordinário</w:t>
            </w:r>
          </w:p>
        </w:tc>
        <w:tc>
          <w:tcPr>
            <w:tcW w:w="0" w:type="auto"/>
            <w:vAlign w:val="center"/>
            <w:hideMark/>
          </w:tcPr>
          <w:p w14:paraId="40B68BEC"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Tratamento conforme matriz de riscos</w:t>
            </w:r>
          </w:p>
        </w:tc>
      </w:tr>
    </w:tbl>
    <w:p w14:paraId="6C475CA2"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garantia não pode ser usada para blindar a SPE contra falhas próprias. Ela deve proteger apenas obrigações de pagamento regularmente devidas pelo Poder Concedente.</w:t>
      </w:r>
    </w:p>
    <w:p w14:paraId="54D52BE7" w14:textId="77777777" w:rsidR="00A3112D" w:rsidRPr="00B74E01" w:rsidRDefault="00A3112D" w:rsidP="009018B0">
      <w:pPr>
        <w:pStyle w:val="Ttulo2"/>
        <w:rPr>
          <w:rFonts w:eastAsia="Times New Roman"/>
          <w:lang w:eastAsia="pt-BR"/>
        </w:rPr>
      </w:pPr>
      <w:bookmarkStart w:id="198" w:name="_Toc230204200"/>
      <w:r w:rsidRPr="00B74E01">
        <w:rPr>
          <w:rFonts w:eastAsia="Times New Roman"/>
          <w:lang w:eastAsia="pt-BR"/>
        </w:rPr>
        <w:t>15.13. Síntese da estrutura de garantia recomendada</w:t>
      </w:r>
      <w:bookmarkEnd w:id="198"/>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683"/>
        <w:gridCol w:w="5646"/>
      </w:tblGrid>
      <w:tr w:rsidR="00A3112D" w:rsidRPr="00B74E01" w14:paraId="0209A65E" w14:textId="77777777" w:rsidTr="00050088">
        <w:trPr>
          <w:tblHeader/>
          <w:tblCellSpacing w:w="15" w:type="dxa"/>
        </w:trPr>
        <w:tc>
          <w:tcPr>
            <w:tcW w:w="0" w:type="auto"/>
            <w:vAlign w:val="center"/>
            <w:hideMark/>
          </w:tcPr>
          <w:p w14:paraId="11021496" w14:textId="77777777" w:rsidR="00A3112D" w:rsidRPr="00B74E01" w:rsidRDefault="00A3112D" w:rsidP="009018B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Elemento</w:t>
            </w:r>
          </w:p>
        </w:tc>
        <w:tc>
          <w:tcPr>
            <w:tcW w:w="0" w:type="auto"/>
            <w:vAlign w:val="center"/>
            <w:hideMark/>
          </w:tcPr>
          <w:p w14:paraId="17DC85E7" w14:textId="77777777" w:rsidR="00A3112D" w:rsidRPr="00B74E01" w:rsidRDefault="00A3112D" w:rsidP="009018B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Diretriz recomendada</w:t>
            </w:r>
          </w:p>
        </w:tc>
      </w:tr>
      <w:tr w:rsidR="00A3112D" w:rsidRPr="00B74E01" w14:paraId="2B480153" w14:textId="77777777" w:rsidTr="00050088">
        <w:trPr>
          <w:tblCellSpacing w:w="15" w:type="dxa"/>
        </w:trPr>
        <w:tc>
          <w:tcPr>
            <w:tcW w:w="0" w:type="auto"/>
            <w:vAlign w:val="center"/>
            <w:hideMark/>
          </w:tcPr>
          <w:p w14:paraId="47402782"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 xml:space="preserve">Base </w:t>
            </w:r>
            <w:proofErr w:type="spellStart"/>
            <w:r w:rsidRPr="00B74E01">
              <w:rPr>
                <w:rFonts w:eastAsia="Times New Roman" w:cs="Arial"/>
                <w:kern w:val="0"/>
                <w:lang w:eastAsia="pt-BR"/>
                <w14:ligatures w14:val="none"/>
              </w:rPr>
              <w:t>garantível</w:t>
            </w:r>
            <w:proofErr w:type="spellEnd"/>
          </w:p>
        </w:tc>
        <w:tc>
          <w:tcPr>
            <w:tcW w:w="0" w:type="auto"/>
            <w:vAlign w:val="center"/>
            <w:hideMark/>
          </w:tcPr>
          <w:p w14:paraId="03388B63"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Receitas principais da PPP</w:t>
            </w:r>
          </w:p>
        </w:tc>
      </w:tr>
      <w:tr w:rsidR="00A3112D" w:rsidRPr="00B74E01" w14:paraId="007162D8" w14:textId="77777777" w:rsidTr="00050088">
        <w:trPr>
          <w:tblCellSpacing w:w="15" w:type="dxa"/>
        </w:trPr>
        <w:tc>
          <w:tcPr>
            <w:tcW w:w="0" w:type="auto"/>
            <w:vAlign w:val="center"/>
            <w:hideMark/>
          </w:tcPr>
          <w:p w14:paraId="04679504"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Receitas acessórias</w:t>
            </w:r>
          </w:p>
        </w:tc>
        <w:tc>
          <w:tcPr>
            <w:tcW w:w="0" w:type="auto"/>
            <w:vAlign w:val="center"/>
            <w:hideMark/>
          </w:tcPr>
          <w:p w14:paraId="14CC65FD"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 xml:space="preserve">Não </w:t>
            </w:r>
            <w:proofErr w:type="spellStart"/>
            <w:r w:rsidRPr="00B74E01">
              <w:rPr>
                <w:rFonts w:eastAsia="Times New Roman" w:cs="Arial"/>
                <w:kern w:val="0"/>
                <w:lang w:eastAsia="pt-BR"/>
                <w14:ligatures w14:val="none"/>
              </w:rPr>
              <w:t>garantíveis</w:t>
            </w:r>
            <w:proofErr w:type="spellEnd"/>
          </w:p>
        </w:tc>
      </w:tr>
      <w:tr w:rsidR="00A3112D" w:rsidRPr="00B74E01" w14:paraId="219BAE65" w14:textId="77777777" w:rsidTr="00050088">
        <w:trPr>
          <w:tblCellSpacing w:w="15" w:type="dxa"/>
        </w:trPr>
        <w:tc>
          <w:tcPr>
            <w:tcW w:w="0" w:type="auto"/>
            <w:vAlign w:val="center"/>
            <w:hideMark/>
          </w:tcPr>
          <w:p w14:paraId="18E9BA55"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Nível recomendado</w:t>
            </w:r>
          </w:p>
        </w:tc>
        <w:tc>
          <w:tcPr>
            <w:tcW w:w="0" w:type="auto"/>
            <w:vAlign w:val="center"/>
            <w:hideMark/>
          </w:tcPr>
          <w:p w14:paraId="599E1BC1"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6 meses de receita principal</w:t>
            </w:r>
          </w:p>
        </w:tc>
      </w:tr>
      <w:tr w:rsidR="00A3112D" w:rsidRPr="00B74E01" w14:paraId="1689563A" w14:textId="77777777" w:rsidTr="00050088">
        <w:trPr>
          <w:tblCellSpacing w:w="15" w:type="dxa"/>
        </w:trPr>
        <w:tc>
          <w:tcPr>
            <w:tcW w:w="0" w:type="auto"/>
            <w:vAlign w:val="center"/>
            <w:hideMark/>
          </w:tcPr>
          <w:p w14:paraId="6C7E0A71"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Cenário R$ 95/t</w:t>
            </w:r>
          </w:p>
        </w:tc>
        <w:tc>
          <w:tcPr>
            <w:tcW w:w="0" w:type="auto"/>
            <w:vAlign w:val="center"/>
            <w:hideMark/>
          </w:tcPr>
          <w:p w14:paraId="3A638245"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R$ 4.200.462,54</w:t>
            </w:r>
          </w:p>
        </w:tc>
      </w:tr>
      <w:tr w:rsidR="00A3112D" w:rsidRPr="00B74E01" w14:paraId="11531A2C" w14:textId="77777777" w:rsidTr="00050088">
        <w:trPr>
          <w:tblCellSpacing w:w="15" w:type="dxa"/>
        </w:trPr>
        <w:tc>
          <w:tcPr>
            <w:tcW w:w="0" w:type="auto"/>
            <w:vAlign w:val="center"/>
            <w:hideMark/>
          </w:tcPr>
          <w:p w14:paraId="2DBDBBA6"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Cenário R$ 140/t</w:t>
            </w:r>
          </w:p>
        </w:tc>
        <w:tc>
          <w:tcPr>
            <w:tcW w:w="0" w:type="auto"/>
            <w:vAlign w:val="center"/>
            <w:hideMark/>
          </w:tcPr>
          <w:p w14:paraId="62D49B35"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R$ 4.857.462,54</w:t>
            </w:r>
          </w:p>
        </w:tc>
      </w:tr>
      <w:tr w:rsidR="00A3112D" w:rsidRPr="00B74E01" w14:paraId="3E43CE46" w14:textId="77777777" w:rsidTr="00050088">
        <w:trPr>
          <w:tblCellSpacing w:w="15" w:type="dxa"/>
        </w:trPr>
        <w:tc>
          <w:tcPr>
            <w:tcW w:w="0" w:type="auto"/>
            <w:vAlign w:val="center"/>
            <w:hideMark/>
          </w:tcPr>
          <w:p w14:paraId="3C1FBC43"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Instrumento preferencial</w:t>
            </w:r>
          </w:p>
        </w:tc>
        <w:tc>
          <w:tcPr>
            <w:tcW w:w="0" w:type="auto"/>
            <w:vAlign w:val="center"/>
            <w:hideMark/>
          </w:tcPr>
          <w:p w14:paraId="28862B9C"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Fundo Garantidor + conta vinculada</w:t>
            </w:r>
          </w:p>
        </w:tc>
      </w:tr>
      <w:tr w:rsidR="00A3112D" w:rsidRPr="00B74E01" w14:paraId="0BB0D4BF" w14:textId="77777777" w:rsidTr="00050088">
        <w:trPr>
          <w:tblCellSpacing w:w="15" w:type="dxa"/>
        </w:trPr>
        <w:tc>
          <w:tcPr>
            <w:tcW w:w="0" w:type="auto"/>
            <w:vAlign w:val="center"/>
            <w:hideMark/>
          </w:tcPr>
          <w:p w14:paraId="4A4D1BA9"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Acionamento</w:t>
            </w:r>
          </w:p>
        </w:tc>
        <w:tc>
          <w:tcPr>
            <w:tcW w:w="0" w:type="auto"/>
            <w:vAlign w:val="center"/>
            <w:hideMark/>
          </w:tcPr>
          <w:p w14:paraId="0B2B0022"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Objetivo, com prazo de cura</w:t>
            </w:r>
          </w:p>
        </w:tc>
      </w:tr>
      <w:tr w:rsidR="00A3112D" w:rsidRPr="00B74E01" w14:paraId="28141EDF" w14:textId="77777777" w:rsidTr="00050088">
        <w:trPr>
          <w:tblCellSpacing w:w="15" w:type="dxa"/>
        </w:trPr>
        <w:tc>
          <w:tcPr>
            <w:tcW w:w="0" w:type="auto"/>
            <w:vAlign w:val="center"/>
            <w:hideMark/>
          </w:tcPr>
          <w:p w14:paraId="19DE664D"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Recomposição</w:t>
            </w:r>
          </w:p>
        </w:tc>
        <w:tc>
          <w:tcPr>
            <w:tcW w:w="0" w:type="auto"/>
            <w:vAlign w:val="center"/>
            <w:hideMark/>
          </w:tcPr>
          <w:p w14:paraId="04075352"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Obrigatória após utilização</w:t>
            </w:r>
          </w:p>
        </w:tc>
      </w:tr>
      <w:tr w:rsidR="00A3112D" w:rsidRPr="00B74E01" w14:paraId="017C8255" w14:textId="77777777" w:rsidTr="00050088">
        <w:trPr>
          <w:tblCellSpacing w:w="15" w:type="dxa"/>
        </w:trPr>
        <w:tc>
          <w:tcPr>
            <w:tcW w:w="0" w:type="auto"/>
            <w:vAlign w:val="center"/>
            <w:hideMark/>
          </w:tcPr>
          <w:p w14:paraId="26F11FB0"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lastRenderedPageBreak/>
              <w:t>Fiscalização</w:t>
            </w:r>
          </w:p>
        </w:tc>
        <w:tc>
          <w:tcPr>
            <w:tcW w:w="0" w:type="auto"/>
            <w:vAlign w:val="center"/>
            <w:hideMark/>
          </w:tcPr>
          <w:p w14:paraId="0B597224"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Município, controle interno, externo e contrato</w:t>
            </w:r>
          </w:p>
        </w:tc>
      </w:tr>
      <w:tr w:rsidR="00A3112D" w:rsidRPr="00B74E01" w14:paraId="5CBFD344" w14:textId="77777777" w:rsidTr="00050088">
        <w:trPr>
          <w:tblCellSpacing w:w="15" w:type="dxa"/>
        </w:trPr>
        <w:tc>
          <w:tcPr>
            <w:tcW w:w="0" w:type="auto"/>
            <w:vAlign w:val="center"/>
            <w:hideMark/>
          </w:tcPr>
          <w:p w14:paraId="20A0B3A6"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Finalidade</w:t>
            </w:r>
          </w:p>
        </w:tc>
        <w:tc>
          <w:tcPr>
            <w:tcW w:w="0" w:type="auto"/>
            <w:vAlign w:val="center"/>
            <w:hideMark/>
          </w:tcPr>
          <w:p w14:paraId="5018A6B2" w14:textId="77777777" w:rsidR="00A3112D" w:rsidRPr="00B74E01" w:rsidRDefault="00A3112D" w:rsidP="009018B0">
            <w:pPr>
              <w:spacing w:after="0" w:line="360" w:lineRule="auto"/>
              <w:rPr>
                <w:rFonts w:eastAsia="Times New Roman" w:cs="Arial"/>
                <w:kern w:val="0"/>
                <w:lang w:eastAsia="pt-BR"/>
                <w14:ligatures w14:val="none"/>
              </w:rPr>
            </w:pPr>
            <w:proofErr w:type="spellStart"/>
            <w:r w:rsidRPr="00B74E01">
              <w:rPr>
                <w:rFonts w:eastAsia="Times New Roman" w:cs="Arial"/>
                <w:kern w:val="0"/>
                <w:lang w:eastAsia="pt-BR"/>
                <w14:ligatures w14:val="none"/>
              </w:rPr>
              <w:t>Bancabilidade</w:t>
            </w:r>
            <w:proofErr w:type="spellEnd"/>
            <w:r w:rsidRPr="00B74E01">
              <w:rPr>
                <w:rFonts w:eastAsia="Times New Roman" w:cs="Arial"/>
                <w:kern w:val="0"/>
                <w:lang w:eastAsia="pt-BR"/>
                <w14:ligatures w14:val="none"/>
              </w:rPr>
              <w:t>, segurança e continuidade do serviço</w:t>
            </w:r>
          </w:p>
        </w:tc>
      </w:tr>
    </w:tbl>
    <w:p w14:paraId="4618BCB5"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Essa estrutura melhora a defesa do projeto porque demonstra que a PPP possui fluxo contratual protegível, previsível e auditável.</w:t>
      </w:r>
    </w:p>
    <w:p w14:paraId="76FC33B7" w14:textId="77777777" w:rsidR="00A3112D" w:rsidRPr="00B74E01" w:rsidRDefault="00A3112D" w:rsidP="009018B0">
      <w:pPr>
        <w:pStyle w:val="Ttulo2"/>
        <w:rPr>
          <w:rFonts w:eastAsia="Times New Roman"/>
          <w:lang w:eastAsia="pt-BR"/>
        </w:rPr>
      </w:pPr>
      <w:bookmarkStart w:id="199" w:name="_Toc230204201"/>
      <w:r w:rsidRPr="00B74E01">
        <w:rPr>
          <w:rFonts w:eastAsia="Times New Roman"/>
          <w:lang w:eastAsia="pt-BR"/>
        </w:rPr>
        <w:t>15.14. Conclusão do tópico</w:t>
      </w:r>
      <w:bookmarkEnd w:id="199"/>
    </w:p>
    <w:p w14:paraId="4458F987"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estrutura de garantias é indispensável para a viabilidade financeira e institucional da PPP.</w:t>
      </w:r>
    </w:p>
    <w:p w14:paraId="2469883C"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No cenário-base de </w:t>
      </w:r>
      <w:r w:rsidRPr="00B74E01">
        <w:rPr>
          <w:rFonts w:eastAsia="Times New Roman" w:cs="Arial"/>
          <w:b/>
          <w:bCs/>
          <w:kern w:val="0"/>
          <w:lang w:eastAsia="pt-BR"/>
          <w14:ligatures w14:val="none"/>
        </w:rPr>
        <w:t>R$ 95/t</w:t>
      </w:r>
      <w:r w:rsidRPr="00B74E01">
        <w:rPr>
          <w:rFonts w:eastAsia="Times New Roman" w:cs="Arial"/>
          <w:kern w:val="0"/>
          <w:lang w:eastAsia="pt-BR"/>
          <w14:ligatures w14:val="none"/>
        </w:rPr>
        <w:t xml:space="preserve">, a receita principal mensal </w:t>
      </w:r>
      <w:proofErr w:type="spellStart"/>
      <w:r w:rsidRPr="00B74E01">
        <w:rPr>
          <w:rFonts w:eastAsia="Times New Roman" w:cs="Arial"/>
          <w:kern w:val="0"/>
          <w:lang w:eastAsia="pt-BR"/>
          <w14:ligatures w14:val="none"/>
        </w:rPr>
        <w:t>garantível</w:t>
      </w:r>
      <w:proofErr w:type="spellEnd"/>
      <w:r w:rsidRPr="00B74E01">
        <w:rPr>
          <w:rFonts w:eastAsia="Times New Roman" w:cs="Arial"/>
          <w:kern w:val="0"/>
          <w:lang w:eastAsia="pt-BR"/>
          <w14:ligatures w14:val="none"/>
        </w:rPr>
        <w:t xml:space="preserve"> é de </w:t>
      </w:r>
      <w:r w:rsidRPr="00B74E01">
        <w:rPr>
          <w:rFonts w:eastAsia="Times New Roman" w:cs="Arial"/>
          <w:b/>
          <w:bCs/>
          <w:kern w:val="0"/>
          <w:lang w:eastAsia="pt-BR"/>
          <w14:ligatures w14:val="none"/>
        </w:rPr>
        <w:t>R$ 700.077,09</w:t>
      </w:r>
      <w:r w:rsidRPr="00B74E01">
        <w:rPr>
          <w:rFonts w:eastAsia="Times New Roman" w:cs="Arial"/>
          <w:kern w:val="0"/>
          <w:lang w:eastAsia="pt-BR"/>
          <w14:ligatures w14:val="none"/>
        </w:rPr>
        <w:t xml:space="preserve">, sendo recomendada garantia equivalente a </w:t>
      </w:r>
      <w:r w:rsidRPr="00B74E01">
        <w:rPr>
          <w:rFonts w:eastAsia="Times New Roman" w:cs="Arial"/>
          <w:b/>
          <w:bCs/>
          <w:kern w:val="0"/>
          <w:lang w:eastAsia="pt-BR"/>
          <w14:ligatures w14:val="none"/>
        </w:rPr>
        <w:t>6 meses</w:t>
      </w:r>
      <w:r w:rsidRPr="00B74E01">
        <w:rPr>
          <w:rFonts w:eastAsia="Times New Roman" w:cs="Arial"/>
          <w:kern w:val="0"/>
          <w:lang w:eastAsia="pt-BR"/>
          <w14:ligatures w14:val="none"/>
        </w:rPr>
        <w:t xml:space="preserve">, no valor de </w:t>
      </w:r>
      <w:r w:rsidRPr="00B74E01">
        <w:rPr>
          <w:rFonts w:eastAsia="Times New Roman" w:cs="Arial"/>
          <w:b/>
          <w:bCs/>
          <w:kern w:val="0"/>
          <w:lang w:eastAsia="pt-BR"/>
          <w14:ligatures w14:val="none"/>
        </w:rPr>
        <w:t>R$ 4.200.462,54</w:t>
      </w:r>
      <w:r w:rsidRPr="00B74E01">
        <w:rPr>
          <w:rFonts w:eastAsia="Times New Roman" w:cs="Arial"/>
          <w:kern w:val="0"/>
          <w:lang w:eastAsia="pt-BR"/>
          <w14:ligatures w14:val="none"/>
        </w:rPr>
        <w:t xml:space="preserve">. No cenário superior regional de </w:t>
      </w:r>
      <w:r w:rsidRPr="00B74E01">
        <w:rPr>
          <w:rFonts w:eastAsia="Times New Roman" w:cs="Arial"/>
          <w:b/>
          <w:bCs/>
          <w:kern w:val="0"/>
          <w:lang w:eastAsia="pt-BR"/>
          <w14:ligatures w14:val="none"/>
        </w:rPr>
        <w:t>R$ 140/t</w:t>
      </w:r>
      <w:r w:rsidRPr="00B74E01">
        <w:rPr>
          <w:rFonts w:eastAsia="Times New Roman" w:cs="Arial"/>
          <w:kern w:val="0"/>
          <w:lang w:eastAsia="pt-BR"/>
          <w14:ligatures w14:val="none"/>
        </w:rPr>
        <w:t xml:space="preserve">, a receita principal mensal </w:t>
      </w:r>
      <w:proofErr w:type="spellStart"/>
      <w:r w:rsidRPr="00B74E01">
        <w:rPr>
          <w:rFonts w:eastAsia="Times New Roman" w:cs="Arial"/>
          <w:kern w:val="0"/>
          <w:lang w:eastAsia="pt-BR"/>
          <w14:ligatures w14:val="none"/>
        </w:rPr>
        <w:t>garantível</w:t>
      </w:r>
      <w:proofErr w:type="spellEnd"/>
      <w:r w:rsidRPr="00B74E01">
        <w:rPr>
          <w:rFonts w:eastAsia="Times New Roman" w:cs="Arial"/>
          <w:kern w:val="0"/>
          <w:lang w:eastAsia="pt-BR"/>
          <w14:ligatures w14:val="none"/>
        </w:rPr>
        <w:t xml:space="preserve"> passa a </w:t>
      </w:r>
      <w:r w:rsidRPr="00B74E01">
        <w:rPr>
          <w:rFonts w:eastAsia="Times New Roman" w:cs="Arial"/>
          <w:b/>
          <w:bCs/>
          <w:kern w:val="0"/>
          <w:lang w:eastAsia="pt-BR"/>
          <w14:ligatures w14:val="none"/>
        </w:rPr>
        <w:t>R$ 809.577,09</w:t>
      </w:r>
      <w:r w:rsidRPr="00B74E01">
        <w:rPr>
          <w:rFonts w:eastAsia="Times New Roman" w:cs="Arial"/>
          <w:kern w:val="0"/>
          <w:lang w:eastAsia="pt-BR"/>
          <w14:ligatures w14:val="none"/>
        </w:rPr>
        <w:t xml:space="preserve">, com garantia recomendada de </w:t>
      </w:r>
      <w:r w:rsidRPr="00B74E01">
        <w:rPr>
          <w:rFonts w:eastAsia="Times New Roman" w:cs="Arial"/>
          <w:b/>
          <w:bCs/>
          <w:kern w:val="0"/>
          <w:lang w:eastAsia="pt-BR"/>
          <w14:ligatures w14:val="none"/>
        </w:rPr>
        <w:t>R$ 4.857.462,54</w:t>
      </w:r>
      <w:r w:rsidRPr="00B74E01">
        <w:rPr>
          <w:rFonts w:eastAsia="Times New Roman" w:cs="Arial"/>
          <w:kern w:val="0"/>
          <w:lang w:eastAsia="pt-BR"/>
          <w14:ligatures w14:val="none"/>
        </w:rPr>
        <w:t>.</w:t>
      </w:r>
    </w:p>
    <w:p w14:paraId="7F9C379D"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garantia deve proteger apenas as receitas principais contratadas, não abrangendo receitas acessórias, que permanecem como risco empresarial da SPE.</w:t>
      </w:r>
    </w:p>
    <w:p w14:paraId="270E8FBA"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Recomenda-se a estruturação de Fundo Garantidor, conta vinculada, conta reserva ou mecanismo equivalente, com regras claras de apuração, pagamento, acionamento, recomposição e fiscalização.</w:t>
      </w:r>
    </w:p>
    <w:p w14:paraId="74AC98A0"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Sem garantia adequada, o projeto poderá ser questionado por financiadores ou perder atratividade econômica, mesmo apresentando resultado operacional positivo. Com garantia bem desenhada, a PPP ganha </w:t>
      </w:r>
      <w:proofErr w:type="spellStart"/>
      <w:r w:rsidRPr="00B74E01">
        <w:rPr>
          <w:rFonts w:eastAsia="Times New Roman" w:cs="Arial"/>
          <w:kern w:val="0"/>
          <w:lang w:eastAsia="pt-BR"/>
          <w14:ligatures w14:val="none"/>
        </w:rPr>
        <w:t>bancabilidade</w:t>
      </w:r>
      <w:proofErr w:type="spellEnd"/>
      <w:r w:rsidRPr="00B74E01">
        <w:rPr>
          <w:rFonts w:eastAsia="Times New Roman" w:cs="Arial"/>
          <w:kern w:val="0"/>
          <w:lang w:eastAsia="pt-BR"/>
          <w14:ligatures w14:val="none"/>
        </w:rPr>
        <w:t xml:space="preserve">, segurança jurídica, previsibilidade e maior </w:t>
      </w:r>
      <w:proofErr w:type="spellStart"/>
      <w:r w:rsidRPr="00B74E01">
        <w:rPr>
          <w:rFonts w:eastAsia="Times New Roman" w:cs="Arial"/>
          <w:kern w:val="0"/>
          <w:lang w:eastAsia="pt-BR"/>
          <w14:ligatures w14:val="none"/>
        </w:rPr>
        <w:t>defensabilidade</w:t>
      </w:r>
      <w:proofErr w:type="spellEnd"/>
      <w:r w:rsidRPr="00B74E01">
        <w:rPr>
          <w:rFonts w:eastAsia="Times New Roman" w:cs="Arial"/>
          <w:kern w:val="0"/>
          <w:lang w:eastAsia="pt-BR"/>
          <w14:ligatures w14:val="none"/>
        </w:rPr>
        <w:t xml:space="preserve"> perante banca avaliadora, Tribunal de Contas e Ministério Público.</w:t>
      </w:r>
    </w:p>
    <w:p w14:paraId="61F8230F" w14:textId="77777777" w:rsidR="009018B0" w:rsidRDefault="009018B0" w:rsidP="00B74E01">
      <w:pPr>
        <w:spacing w:before="100" w:beforeAutospacing="1" w:after="100" w:afterAutospacing="1" w:line="360" w:lineRule="auto"/>
        <w:ind w:firstLine="709"/>
        <w:jc w:val="both"/>
        <w:outlineLvl w:val="0"/>
        <w:rPr>
          <w:rFonts w:eastAsia="Times New Roman" w:cs="Arial"/>
          <w:b/>
          <w:bCs/>
          <w:kern w:val="36"/>
          <w:lang w:eastAsia="pt-BR"/>
          <w14:ligatures w14:val="none"/>
        </w:rPr>
      </w:pPr>
    </w:p>
    <w:p w14:paraId="636B3D54" w14:textId="4931F078" w:rsidR="00A3112D" w:rsidRPr="00B74E01" w:rsidRDefault="00A3112D" w:rsidP="009018B0">
      <w:pPr>
        <w:pStyle w:val="Ttulo1"/>
        <w:rPr>
          <w:rFonts w:eastAsia="Times New Roman"/>
          <w:lang w:eastAsia="pt-BR"/>
        </w:rPr>
      </w:pPr>
      <w:bookmarkStart w:id="200" w:name="_Toc230204202"/>
      <w:r w:rsidRPr="00B74E01">
        <w:rPr>
          <w:rFonts w:eastAsia="Times New Roman"/>
          <w:lang w:eastAsia="pt-BR"/>
        </w:rPr>
        <w:lastRenderedPageBreak/>
        <w:t>16. Matriz de Riscos Econômico-Financeiros</w:t>
      </w:r>
      <w:bookmarkEnd w:id="200"/>
    </w:p>
    <w:p w14:paraId="241CABDD"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matriz de riscos é instrumento essencial para a segurança jurídica, econômica e operacional da PPP. Sua função é identificar os principais eventos capazes de afetar o equilíbrio econômico-financeiro do contrato, definindo previamente qual parte deverá assumir cada risco: Poder Concedente, SPE ou ambos, conforme a natureza do evento.</w:t>
      </w:r>
    </w:p>
    <w:p w14:paraId="7AFA09C9"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Em projetos de PPP, a matriz de riscos não deve ser tratada como item meramente formal. Ela influencia diretamente a </w:t>
      </w:r>
      <w:proofErr w:type="spellStart"/>
      <w:r w:rsidRPr="00B74E01">
        <w:rPr>
          <w:rFonts w:eastAsia="Times New Roman" w:cs="Arial"/>
          <w:kern w:val="0"/>
          <w:lang w:eastAsia="pt-BR"/>
          <w14:ligatures w14:val="none"/>
        </w:rPr>
        <w:t>bancabilidade</w:t>
      </w:r>
      <w:proofErr w:type="spellEnd"/>
      <w:r w:rsidRPr="00B74E01">
        <w:rPr>
          <w:rFonts w:eastAsia="Times New Roman" w:cs="Arial"/>
          <w:kern w:val="0"/>
          <w:lang w:eastAsia="pt-BR"/>
          <w14:ligatures w14:val="none"/>
        </w:rPr>
        <w:t>, a formação da proposta econômica, a precificação da tarifa, a necessidade de garantias, os mecanismos de reequilíbrio e a análise pelos órgãos de controle.</w:t>
      </w:r>
    </w:p>
    <w:p w14:paraId="65564F51"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boa matriz de riscos reduz disputas futuras, evita pedidos indevidos de reequilíbrio e melhora a previsibilidade da relação contratual.</w:t>
      </w:r>
    </w:p>
    <w:p w14:paraId="6370EB22" w14:textId="77777777" w:rsidR="00A3112D" w:rsidRPr="00B74E01" w:rsidRDefault="00A3112D" w:rsidP="009018B0">
      <w:pPr>
        <w:pStyle w:val="Ttulo2"/>
        <w:rPr>
          <w:rFonts w:eastAsia="Times New Roman"/>
          <w:lang w:eastAsia="pt-BR"/>
        </w:rPr>
      </w:pPr>
      <w:bookmarkStart w:id="201" w:name="_Toc230204203"/>
      <w:r w:rsidRPr="00B74E01">
        <w:rPr>
          <w:rFonts w:eastAsia="Times New Roman"/>
          <w:lang w:eastAsia="pt-BR"/>
        </w:rPr>
        <w:t>16.1. Finalidade da matriz de riscos</w:t>
      </w:r>
      <w:bookmarkEnd w:id="201"/>
    </w:p>
    <w:p w14:paraId="7DF95023"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matriz de riscos tem por finalidade distribuir, de forma objetiva, os riscos do contrato entre as partes, observando quem possui melhores condições de prevenir, controlar, mitigar ou suportar cada evento.</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610"/>
        <w:gridCol w:w="6451"/>
      </w:tblGrid>
      <w:tr w:rsidR="00A3112D" w:rsidRPr="00B74E01" w14:paraId="1CB0B6B9" w14:textId="77777777" w:rsidTr="00050088">
        <w:trPr>
          <w:tblHeader/>
          <w:tblCellSpacing w:w="15" w:type="dxa"/>
        </w:trPr>
        <w:tc>
          <w:tcPr>
            <w:tcW w:w="0" w:type="auto"/>
            <w:vAlign w:val="center"/>
            <w:hideMark/>
          </w:tcPr>
          <w:p w14:paraId="60845848" w14:textId="77777777" w:rsidR="00A3112D" w:rsidRPr="00B74E01" w:rsidRDefault="00A3112D" w:rsidP="009018B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Finalidade</w:t>
            </w:r>
          </w:p>
        </w:tc>
        <w:tc>
          <w:tcPr>
            <w:tcW w:w="0" w:type="auto"/>
            <w:vAlign w:val="center"/>
            <w:hideMark/>
          </w:tcPr>
          <w:p w14:paraId="503BAEE0" w14:textId="77777777" w:rsidR="00A3112D" w:rsidRPr="00B74E01" w:rsidRDefault="00A3112D" w:rsidP="009018B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Descrição</w:t>
            </w:r>
          </w:p>
        </w:tc>
      </w:tr>
      <w:tr w:rsidR="00A3112D" w:rsidRPr="00B74E01" w14:paraId="0A7643DF" w14:textId="77777777" w:rsidTr="00050088">
        <w:trPr>
          <w:tblCellSpacing w:w="15" w:type="dxa"/>
        </w:trPr>
        <w:tc>
          <w:tcPr>
            <w:tcW w:w="0" w:type="auto"/>
            <w:vAlign w:val="center"/>
            <w:hideMark/>
          </w:tcPr>
          <w:p w14:paraId="425E8789"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Alocar responsabilidades</w:t>
            </w:r>
          </w:p>
        </w:tc>
        <w:tc>
          <w:tcPr>
            <w:tcW w:w="0" w:type="auto"/>
            <w:vAlign w:val="center"/>
            <w:hideMark/>
          </w:tcPr>
          <w:p w14:paraId="3F8272AE"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Definir previamente quem suporta cada risco</w:t>
            </w:r>
          </w:p>
        </w:tc>
      </w:tr>
      <w:tr w:rsidR="00A3112D" w:rsidRPr="00B74E01" w14:paraId="0DE5E306" w14:textId="77777777" w:rsidTr="00050088">
        <w:trPr>
          <w:tblCellSpacing w:w="15" w:type="dxa"/>
        </w:trPr>
        <w:tc>
          <w:tcPr>
            <w:tcW w:w="0" w:type="auto"/>
            <w:vAlign w:val="center"/>
            <w:hideMark/>
          </w:tcPr>
          <w:p w14:paraId="76168080"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Reduzir litígios</w:t>
            </w:r>
          </w:p>
        </w:tc>
        <w:tc>
          <w:tcPr>
            <w:tcW w:w="0" w:type="auto"/>
            <w:vAlign w:val="center"/>
            <w:hideMark/>
          </w:tcPr>
          <w:p w14:paraId="584C9B12"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Evitar discussões futuras sobre eventos previsíveis</w:t>
            </w:r>
          </w:p>
        </w:tc>
      </w:tr>
      <w:tr w:rsidR="00A3112D" w:rsidRPr="00B74E01" w14:paraId="5C69412D" w14:textId="77777777" w:rsidTr="00050088">
        <w:trPr>
          <w:tblCellSpacing w:w="15" w:type="dxa"/>
        </w:trPr>
        <w:tc>
          <w:tcPr>
            <w:tcW w:w="0" w:type="auto"/>
            <w:vAlign w:val="center"/>
            <w:hideMark/>
          </w:tcPr>
          <w:p w14:paraId="47431CB8"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Proteger o Município</w:t>
            </w:r>
          </w:p>
        </w:tc>
        <w:tc>
          <w:tcPr>
            <w:tcW w:w="0" w:type="auto"/>
            <w:vAlign w:val="center"/>
            <w:hideMark/>
          </w:tcPr>
          <w:p w14:paraId="74B199E1"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Impedir transferência indevida de riscos empresariais</w:t>
            </w:r>
          </w:p>
        </w:tc>
      </w:tr>
      <w:tr w:rsidR="00A3112D" w:rsidRPr="00B74E01" w14:paraId="75BAA840" w14:textId="77777777" w:rsidTr="00050088">
        <w:trPr>
          <w:tblCellSpacing w:w="15" w:type="dxa"/>
        </w:trPr>
        <w:tc>
          <w:tcPr>
            <w:tcW w:w="0" w:type="auto"/>
            <w:vAlign w:val="center"/>
            <w:hideMark/>
          </w:tcPr>
          <w:p w14:paraId="4CF63FAD"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Proteger a SPE</w:t>
            </w:r>
          </w:p>
        </w:tc>
        <w:tc>
          <w:tcPr>
            <w:tcW w:w="0" w:type="auto"/>
            <w:vAlign w:val="center"/>
            <w:hideMark/>
          </w:tcPr>
          <w:p w14:paraId="1DF5B202"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Garantir reequilíbrio quando houver fato imputável ao Poder Concedente</w:t>
            </w:r>
          </w:p>
        </w:tc>
      </w:tr>
      <w:tr w:rsidR="00A3112D" w:rsidRPr="00B74E01" w14:paraId="5AE70958" w14:textId="77777777" w:rsidTr="00050088">
        <w:trPr>
          <w:tblCellSpacing w:w="15" w:type="dxa"/>
        </w:trPr>
        <w:tc>
          <w:tcPr>
            <w:tcW w:w="0" w:type="auto"/>
            <w:vAlign w:val="center"/>
            <w:hideMark/>
          </w:tcPr>
          <w:p w14:paraId="14D5A1EE"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 xml:space="preserve">Melhorar </w:t>
            </w:r>
            <w:proofErr w:type="spellStart"/>
            <w:r w:rsidRPr="00B74E01">
              <w:rPr>
                <w:rFonts w:eastAsia="Times New Roman" w:cs="Arial"/>
                <w:kern w:val="0"/>
                <w:lang w:eastAsia="pt-BR"/>
                <w14:ligatures w14:val="none"/>
              </w:rPr>
              <w:t>bancabilidade</w:t>
            </w:r>
            <w:proofErr w:type="spellEnd"/>
          </w:p>
        </w:tc>
        <w:tc>
          <w:tcPr>
            <w:tcW w:w="0" w:type="auto"/>
            <w:vAlign w:val="center"/>
            <w:hideMark/>
          </w:tcPr>
          <w:p w14:paraId="62B1D28B"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Dar previsibilidade ao fluxo contratual</w:t>
            </w:r>
          </w:p>
        </w:tc>
      </w:tr>
      <w:tr w:rsidR="00A3112D" w:rsidRPr="00B74E01" w14:paraId="3240634F" w14:textId="77777777" w:rsidTr="00050088">
        <w:trPr>
          <w:tblCellSpacing w:w="15" w:type="dxa"/>
        </w:trPr>
        <w:tc>
          <w:tcPr>
            <w:tcW w:w="0" w:type="auto"/>
            <w:vAlign w:val="center"/>
            <w:hideMark/>
          </w:tcPr>
          <w:p w14:paraId="6C5E4F8E"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Orientar garantias</w:t>
            </w:r>
          </w:p>
        </w:tc>
        <w:tc>
          <w:tcPr>
            <w:tcW w:w="0" w:type="auto"/>
            <w:vAlign w:val="center"/>
            <w:hideMark/>
          </w:tcPr>
          <w:p w14:paraId="791EEB93"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Definir quais receitas devem ser protegidas</w:t>
            </w:r>
          </w:p>
        </w:tc>
      </w:tr>
      <w:tr w:rsidR="00A3112D" w:rsidRPr="00B74E01" w14:paraId="5481F5BF" w14:textId="77777777" w:rsidTr="00050088">
        <w:trPr>
          <w:tblCellSpacing w:w="15" w:type="dxa"/>
        </w:trPr>
        <w:tc>
          <w:tcPr>
            <w:tcW w:w="0" w:type="auto"/>
            <w:vAlign w:val="center"/>
            <w:hideMark/>
          </w:tcPr>
          <w:p w14:paraId="6B2E9FBE"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lastRenderedPageBreak/>
              <w:t>Apoiar fiscalização</w:t>
            </w:r>
          </w:p>
        </w:tc>
        <w:tc>
          <w:tcPr>
            <w:tcW w:w="0" w:type="auto"/>
            <w:vAlign w:val="center"/>
            <w:hideMark/>
          </w:tcPr>
          <w:p w14:paraId="76B33840"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Criar critérios objetivos para glosas, penalidades e recomposição</w:t>
            </w:r>
          </w:p>
        </w:tc>
      </w:tr>
    </w:tbl>
    <w:p w14:paraId="18BD7C07"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matriz deve ser clara, proporcional e compatível com a legislação de PPPs, com o edital, com o contrato, com os indicadores de desempenho e com a modelagem econômico-financeira.</w:t>
      </w:r>
    </w:p>
    <w:p w14:paraId="4FB643CA" w14:textId="77777777" w:rsidR="00A3112D" w:rsidRPr="00B74E01" w:rsidRDefault="00A3112D" w:rsidP="009018B0">
      <w:pPr>
        <w:pStyle w:val="Ttulo2"/>
        <w:rPr>
          <w:rFonts w:eastAsia="Times New Roman"/>
          <w:lang w:eastAsia="pt-BR"/>
        </w:rPr>
      </w:pPr>
      <w:bookmarkStart w:id="202" w:name="_Toc230204204"/>
      <w:r w:rsidRPr="00B74E01">
        <w:rPr>
          <w:rFonts w:eastAsia="Times New Roman"/>
          <w:lang w:eastAsia="pt-BR"/>
        </w:rPr>
        <w:t>16.2. Princípio geral de alocação de riscos</w:t>
      </w:r>
      <w:bookmarkEnd w:id="202"/>
    </w:p>
    <w:p w14:paraId="1E53739A"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diretriz geral recomendada é a seguinte: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881"/>
        <w:gridCol w:w="4180"/>
      </w:tblGrid>
      <w:tr w:rsidR="00A3112D" w:rsidRPr="00B74E01" w14:paraId="4BB71B9E" w14:textId="77777777" w:rsidTr="00050088">
        <w:trPr>
          <w:tblHeade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02869EE9" w14:textId="77777777" w:rsidR="00A3112D" w:rsidRPr="00B74E01" w:rsidRDefault="00A3112D" w:rsidP="009018B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Tipo de risco</w:t>
            </w:r>
          </w:p>
        </w:tc>
        <w:tc>
          <w:tcPr>
            <w:tcW w:w="0" w:type="auto"/>
            <w:tcBorders>
              <w:top w:val="single" w:sz="4" w:space="0" w:color="auto"/>
              <w:left w:val="single" w:sz="4" w:space="0" w:color="auto"/>
              <w:bottom w:val="single" w:sz="4" w:space="0" w:color="auto"/>
              <w:right w:val="single" w:sz="4" w:space="0" w:color="auto"/>
            </w:tcBorders>
            <w:vAlign w:val="center"/>
            <w:hideMark/>
          </w:tcPr>
          <w:p w14:paraId="018AFA75" w14:textId="77777777" w:rsidR="00A3112D" w:rsidRPr="00B74E01" w:rsidRDefault="00A3112D" w:rsidP="009018B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Alocação preferencial</w:t>
            </w:r>
          </w:p>
        </w:tc>
      </w:tr>
      <w:tr w:rsidR="00A3112D" w:rsidRPr="00B74E01" w14:paraId="2BA2DE09" w14:textId="77777777" w:rsidTr="0005008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4AAB6751"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Riscos de implantação, tecnologia, operação, manutenção e desempenho</w:t>
            </w:r>
          </w:p>
        </w:tc>
        <w:tc>
          <w:tcPr>
            <w:tcW w:w="0" w:type="auto"/>
            <w:tcBorders>
              <w:top w:val="single" w:sz="4" w:space="0" w:color="auto"/>
              <w:left w:val="single" w:sz="4" w:space="0" w:color="auto"/>
              <w:bottom w:val="single" w:sz="4" w:space="0" w:color="auto"/>
              <w:right w:val="single" w:sz="4" w:space="0" w:color="auto"/>
            </w:tcBorders>
            <w:vAlign w:val="center"/>
            <w:hideMark/>
          </w:tcPr>
          <w:p w14:paraId="2CA75CE1"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SPE</w:t>
            </w:r>
          </w:p>
        </w:tc>
      </w:tr>
      <w:tr w:rsidR="00A3112D" w:rsidRPr="00B74E01" w14:paraId="0AF3EA21" w14:textId="77777777" w:rsidTr="0005008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222CBEE3"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Riscos de mercado das receitas acessórias</w:t>
            </w:r>
          </w:p>
        </w:tc>
        <w:tc>
          <w:tcPr>
            <w:tcW w:w="0" w:type="auto"/>
            <w:tcBorders>
              <w:top w:val="single" w:sz="4" w:space="0" w:color="auto"/>
              <w:left w:val="single" w:sz="4" w:space="0" w:color="auto"/>
              <w:bottom w:val="single" w:sz="4" w:space="0" w:color="auto"/>
              <w:right w:val="single" w:sz="4" w:space="0" w:color="auto"/>
            </w:tcBorders>
            <w:vAlign w:val="center"/>
            <w:hideMark/>
          </w:tcPr>
          <w:p w14:paraId="29A3C61C"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SPE</w:t>
            </w:r>
          </w:p>
        </w:tc>
      </w:tr>
      <w:tr w:rsidR="00A3112D" w:rsidRPr="00B74E01" w14:paraId="218A0AAD" w14:textId="77777777" w:rsidTr="0005008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4A69B22E"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Riscos de financiamento ordinário</w:t>
            </w:r>
          </w:p>
        </w:tc>
        <w:tc>
          <w:tcPr>
            <w:tcW w:w="0" w:type="auto"/>
            <w:tcBorders>
              <w:top w:val="single" w:sz="4" w:space="0" w:color="auto"/>
              <w:left w:val="single" w:sz="4" w:space="0" w:color="auto"/>
              <w:bottom w:val="single" w:sz="4" w:space="0" w:color="auto"/>
              <w:right w:val="single" w:sz="4" w:space="0" w:color="auto"/>
            </w:tcBorders>
            <w:vAlign w:val="center"/>
            <w:hideMark/>
          </w:tcPr>
          <w:p w14:paraId="53E55F68"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SPE</w:t>
            </w:r>
          </w:p>
        </w:tc>
      </w:tr>
      <w:tr w:rsidR="00A3112D" w:rsidRPr="00B74E01" w14:paraId="5328C1CB" w14:textId="77777777" w:rsidTr="0005008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47C845EB"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Riscos de pagamento das receitas principais devidas</w:t>
            </w:r>
          </w:p>
        </w:tc>
        <w:tc>
          <w:tcPr>
            <w:tcW w:w="0" w:type="auto"/>
            <w:tcBorders>
              <w:top w:val="single" w:sz="4" w:space="0" w:color="auto"/>
              <w:left w:val="single" w:sz="4" w:space="0" w:color="auto"/>
              <w:bottom w:val="single" w:sz="4" w:space="0" w:color="auto"/>
              <w:right w:val="single" w:sz="4" w:space="0" w:color="auto"/>
            </w:tcBorders>
            <w:vAlign w:val="center"/>
            <w:hideMark/>
          </w:tcPr>
          <w:p w14:paraId="692F359D"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Poder Concedente, protegido por garantias</w:t>
            </w:r>
          </w:p>
        </w:tc>
      </w:tr>
      <w:tr w:rsidR="00A3112D" w:rsidRPr="00B74E01" w14:paraId="1D0CDB5B" w14:textId="77777777" w:rsidTr="0005008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5D9F68F4"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Riscos decorrentes de ato do Poder Concedente</w:t>
            </w:r>
          </w:p>
        </w:tc>
        <w:tc>
          <w:tcPr>
            <w:tcW w:w="0" w:type="auto"/>
            <w:tcBorders>
              <w:top w:val="single" w:sz="4" w:space="0" w:color="auto"/>
              <w:left w:val="single" w:sz="4" w:space="0" w:color="auto"/>
              <w:bottom w:val="single" w:sz="4" w:space="0" w:color="auto"/>
              <w:right w:val="single" w:sz="4" w:space="0" w:color="auto"/>
            </w:tcBorders>
            <w:vAlign w:val="center"/>
            <w:hideMark/>
          </w:tcPr>
          <w:p w14:paraId="478A3B2C"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Poder Concedente</w:t>
            </w:r>
          </w:p>
        </w:tc>
      </w:tr>
      <w:tr w:rsidR="00A3112D" w:rsidRPr="00B74E01" w14:paraId="383898EC" w14:textId="77777777" w:rsidTr="0005008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1147F9C5"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Riscos regulatórios ordinários do setor privado</w:t>
            </w:r>
          </w:p>
        </w:tc>
        <w:tc>
          <w:tcPr>
            <w:tcW w:w="0" w:type="auto"/>
            <w:tcBorders>
              <w:top w:val="single" w:sz="4" w:space="0" w:color="auto"/>
              <w:left w:val="single" w:sz="4" w:space="0" w:color="auto"/>
              <w:bottom w:val="single" w:sz="4" w:space="0" w:color="auto"/>
              <w:right w:val="single" w:sz="4" w:space="0" w:color="auto"/>
            </w:tcBorders>
            <w:vAlign w:val="center"/>
            <w:hideMark/>
          </w:tcPr>
          <w:p w14:paraId="1145A787"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SPE</w:t>
            </w:r>
          </w:p>
        </w:tc>
      </w:tr>
      <w:tr w:rsidR="00A3112D" w:rsidRPr="00B74E01" w14:paraId="5174A1A6" w14:textId="77777777" w:rsidTr="0005008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6E4F5605"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Riscos extraordinários, imprevisíveis ou de força maior</w:t>
            </w:r>
          </w:p>
        </w:tc>
        <w:tc>
          <w:tcPr>
            <w:tcW w:w="0" w:type="auto"/>
            <w:tcBorders>
              <w:top w:val="single" w:sz="4" w:space="0" w:color="auto"/>
              <w:left w:val="single" w:sz="4" w:space="0" w:color="auto"/>
              <w:bottom w:val="single" w:sz="4" w:space="0" w:color="auto"/>
              <w:right w:val="single" w:sz="4" w:space="0" w:color="auto"/>
            </w:tcBorders>
            <w:vAlign w:val="center"/>
            <w:hideMark/>
          </w:tcPr>
          <w:p w14:paraId="74A3F82C"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Tratamento conforme contrato</w:t>
            </w:r>
          </w:p>
        </w:tc>
      </w:tr>
      <w:tr w:rsidR="00A3112D" w:rsidRPr="00B74E01" w14:paraId="7D1BCF17" w14:textId="77777777" w:rsidTr="0005008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026A4C47"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Riscos compartilháveis</w:t>
            </w:r>
          </w:p>
        </w:tc>
        <w:tc>
          <w:tcPr>
            <w:tcW w:w="0" w:type="auto"/>
            <w:tcBorders>
              <w:top w:val="single" w:sz="4" w:space="0" w:color="auto"/>
              <w:left w:val="single" w:sz="4" w:space="0" w:color="auto"/>
              <w:bottom w:val="single" w:sz="4" w:space="0" w:color="auto"/>
              <w:right w:val="single" w:sz="4" w:space="0" w:color="auto"/>
            </w:tcBorders>
            <w:vAlign w:val="center"/>
            <w:hideMark/>
          </w:tcPr>
          <w:p w14:paraId="42FCF3A5"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Alocação específica, conforme impacto e capacidade de gestão</w:t>
            </w:r>
          </w:p>
        </w:tc>
      </w:tr>
    </w:tbl>
    <w:p w14:paraId="2EE4A782"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matriz não deve blindar a SPE contra sua própria ineficiência, erro de orçamento, falha operacional, atraso de fornecedor, baixa qualidade dos subprodutos ou frustração de receitas acessórias. Esses são riscos empresariais ordinários.</w:t>
      </w:r>
    </w:p>
    <w:p w14:paraId="14FAED56"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lastRenderedPageBreak/>
        <w:t>Também não deve transferir à SPE riscos que dependam exclusivamente do Poder Concedente, como atraso injustificado de pagamento, não disponibilização da área, alteração unilateral do escopo ou descumprimento de obrigações públicas essenciais.</w:t>
      </w:r>
    </w:p>
    <w:p w14:paraId="4EDFBE8E" w14:textId="77777777" w:rsidR="00A3112D" w:rsidRPr="00B74E01" w:rsidRDefault="00A3112D" w:rsidP="009018B0">
      <w:pPr>
        <w:pStyle w:val="Ttulo2"/>
        <w:rPr>
          <w:rFonts w:eastAsia="Times New Roman"/>
          <w:lang w:eastAsia="pt-BR"/>
        </w:rPr>
      </w:pPr>
      <w:bookmarkStart w:id="203" w:name="_Toc230204205"/>
      <w:r w:rsidRPr="00B74E01">
        <w:rPr>
          <w:rFonts w:eastAsia="Times New Roman"/>
          <w:lang w:eastAsia="pt-BR"/>
        </w:rPr>
        <w:t>16.3. Riscos de CAPEX</w:t>
      </w:r>
      <w:bookmarkEnd w:id="203"/>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559"/>
        <w:gridCol w:w="2062"/>
        <w:gridCol w:w="3440"/>
      </w:tblGrid>
      <w:tr w:rsidR="00A3112D" w:rsidRPr="00B74E01" w14:paraId="0E47433D" w14:textId="77777777" w:rsidTr="00050088">
        <w:trPr>
          <w:tblHeader/>
          <w:tblCellSpacing w:w="15" w:type="dxa"/>
        </w:trPr>
        <w:tc>
          <w:tcPr>
            <w:tcW w:w="0" w:type="auto"/>
            <w:vAlign w:val="center"/>
            <w:hideMark/>
          </w:tcPr>
          <w:p w14:paraId="789E3150" w14:textId="77777777" w:rsidR="00A3112D" w:rsidRPr="00B74E01" w:rsidRDefault="00A3112D" w:rsidP="009018B0">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Risco</w:t>
            </w:r>
          </w:p>
        </w:tc>
        <w:tc>
          <w:tcPr>
            <w:tcW w:w="0" w:type="auto"/>
            <w:vAlign w:val="center"/>
            <w:hideMark/>
          </w:tcPr>
          <w:p w14:paraId="67D6C132" w14:textId="77777777" w:rsidR="00A3112D" w:rsidRPr="00B74E01" w:rsidRDefault="00A3112D" w:rsidP="009018B0">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Alocação recomendada</w:t>
            </w:r>
          </w:p>
        </w:tc>
        <w:tc>
          <w:tcPr>
            <w:tcW w:w="0" w:type="auto"/>
            <w:vAlign w:val="center"/>
            <w:hideMark/>
          </w:tcPr>
          <w:p w14:paraId="34BE942D" w14:textId="77777777" w:rsidR="00A3112D" w:rsidRPr="00B74E01" w:rsidRDefault="00A3112D" w:rsidP="009018B0">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Tratamento</w:t>
            </w:r>
          </w:p>
        </w:tc>
      </w:tr>
      <w:tr w:rsidR="00A3112D" w:rsidRPr="00B74E01" w14:paraId="7D75BC02" w14:textId="77777777" w:rsidTr="00050088">
        <w:trPr>
          <w:tblCellSpacing w:w="15" w:type="dxa"/>
        </w:trPr>
        <w:tc>
          <w:tcPr>
            <w:tcW w:w="0" w:type="auto"/>
            <w:vAlign w:val="center"/>
            <w:hideMark/>
          </w:tcPr>
          <w:p w14:paraId="5EEB3A2C" w14:textId="77777777" w:rsidR="00A3112D" w:rsidRPr="00B74E01" w:rsidRDefault="00A3112D" w:rsidP="009018B0">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Aumento ordinário do custo de equipamentos</w:t>
            </w:r>
          </w:p>
        </w:tc>
        <w:tc>
          <w:tcPr>
            <w:tcW w:w="0" w:type="auto"/>
            <w:vAlign w:val="center"/>
            <w:hideMark/>
          </w:tcPr>
          <w:p w14:paraId="0123A0FA" w14:textId="77777777" w:rsidR="00A3112D" w:rsidRPr="00B74E01" w:rsidRDefault="00A3112D" w:rsidP="009018B0">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SPE</w:t>
            </w:r>
          </w:p>
        </w:tc>
        <w:tc>
          <w:tcPr>
            <w:tcW w:w="0" w:type="auto"/>
            <w:vAlign w:val="center"/>
            <w:hideMark/>
          </w:tcPr>
          <w:p w14:paraId="4EE33504" w14:textId="77777777" w:rsidR="00A3112D" w:rsidRPr="00B74E01" w:rsidRDefault="00A3112D" w:rsidP="009018B0">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Deve ser previsto na proposta</w:t>
            </w:r>
          </w:p>
        </w:tc>
      </w:tr>
      <w:tr w:rsidR="00A3112D" w:rsidRPr="00B74E01" w14:paraId="1FB616BE" w14:textId="77777777" w:rsidTr="00050088">
        <w:trPr>
          <w:tblCellSpacing w:w="15" w:type="dxa"/>
        </w:trPr>
        <w:tc>
          <w:tcPr>
            <w:tcW w:w="0" w:type="auto"/>
            <w:vAlign w:val="center"/>
            <w:hideMark/>
          </w:tcPr>
          <w:p w14:paraId="28BA9110" w14:textId="77777777" w:rsidR="00A3112D" w:rsidRPr="00B74E01" w:rsidRDefault="00A3112D" w:rsidP="009018B0">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Variação cambial de equipamentos importados</w:t>
            </w:r>
          </w:p>
        </w:tc>
        <w:tc>
          <w:tcPr>
            <w:tcW w:w="0" w:type="auto"/>
            <w:vAlign w:val="center"/>
            <w:hideMark/>
          </w:tcPr>
          <w:p w14:paraId="185BE1DD" w14:textId="77777777" w:rsidR="00A3112D" w:rsidRPr="00B74E01" w:rsidRDefault="00A3112D" w:rsidP="009018B0">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SPE</w:t>
            </w:r>
          </w:p>
        </w:tc>
        <w:tc>
          <w:tcPr>
            <w:tcW w:w="0" w:type="auto"/>
            <w:vAlign w:val="center"/>
            <w:hideMark/>
          </w:tcPr>
          <w:p w14:paraId="17F4A6F7" w14:textId="77777777" w:rsidR="00A3112D" w:rsidRPr="00B74E01" w:rsidRDefault="00A3112D" w:rsidP="009018B0">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Deve ser precificada pelo licitante</w:t>
            </w:r>
          </w:p>
        </w:tc>
      </w:tr>
      <w:tr w:rsidR="00A3112D" w:rsidRPr="00B74E01" w14:paraId="082BBE51" w14:textId="77777777" w:rsidTr="00050088">
        <w:trPr>
          <w:tblCellSpacing w:w="15" w:type="dxa"/>
        </w:trPr>
        <w:tc>
          <w:tcPr>
            <w:tcW w:w="0" w:type="auto"/>
            <w:vAlign w:val="center"/>
            <w:hideMark/>
          </w:tcPr>
          <w:p w14:paraId="279335AA" w14:textId="77777777" w:rsidR="00A3112D" w:rsidRPr="00B74E01" w:rsidRDefault="00A3112D" w:rsidP="009018B0">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Erro de orçamento do licitante</w:t>
            </w:r>
          </w:p>
        </w:tc>
        <w:tc>
          <w:tcPr>
            <w:tcW w:w="0" w:type="auto"/>
            <w:vAlign w:val="center"/>
            <w:hideMark/>
          </w:tcPr>
          <w:p w14:paraId="557E8EE7" w14:textId="77777777" w:rsidR="00A3112D" w:rsidRPr="00B74E01" w:rsidRDefault="00A3112D" w:rsidP="009018B0">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SPE</w:t>
            </w:r>
          </w:p>
        </w:tc>
        <w:tc>
          <w:tcPr>
            <w:tcW w:w="0" w:type="auto"/>
            <w:vAlign w:val="center"/>
            <w:hideMark/>
          </w:tcPr>
          <w:p w14:paraId="733D0D14" w14:textId="77777777" w:rsidR="00A3112D" w:rsidRPr="00B74E01" w:rsidRDefault="00A3112D" w:rsidP="009018B0">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Não gera reequilíbrio automático</w:t>
            </w:r>
          </w:p>
        </w:tc>
      </w:tr>
      <w:tr w:rsidR="00A3112D" w:rsidRPr="00B74E01" w14:paraId="768C1FA6" w14:textId="77777777" w:rsidTr="00050088">
        <w:trPr>
          <w:tblCellSpacing w:w="15" w:type="dxa"/>
        </w:trPr>
        <w:tc>
          <w:tcPr>
            <w:tcW w:w="0" w:type="auto"/>
            <w:vAlign w:val="center"/>
            <w:hideMark/>
          </w:tcPr>
          <w:p w14:paraId="1130DB42" w14:textId="77777777" w:rsidR="00A3112D" w:rsidRPr="00B74E01" w:rsidRDefault="00A3112D" w:rsidP="009018B0">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Atraso de fornecedor</w:t>
            </w:r>
          </w:p>
        </w:tc>
        <w:tc>
          <w:tcPr>
            <w:tcW w:w="0" w:type="auto"/>
            <w:vAlign w:val="center"/>
            <w:hideMark/>
          </w:tcPr>
          <w:p w14:paraId="1A581E70" w14:textId="77777777" w:rsidR="00A3112D" w:rsidRPr="00B74E01" w:rsidRDefault="00A3112D" w:rsidP="009018B0">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SPE</w:t>
            </w:r>
          </w:p>
        </w:tc>
        <w:tc>
          <w:tcPr>
            <w:tcW w:w="0" w:type="auto"/>
            <w:vAlign w:val="center"/>
            <w:hideMark/>
          </w:tcPr>
          <w:p w14:paraId="41946FA7" w14:textId="77777777" w:rsidR="00A3112D" w:rsidRPr="00B74E01" w:rsidRDefault="00A3112D" w:rsidP="009018B0">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 xml:space="preserve">Mitigado por contrato </w:t>
            </w:r>
            <w:proofErr w:type="spellStart"/>
            <w:r w:rsidRPr="00B74E01">
              <w:rPr>
                <w:rFonts w:eastAsia="Times New Roman" w:cs="Arial"/>
                <w:kern w:val="0"/>
                <w:lang w:eastAsia="pt-BR"/>
                <w14:ligatures w14:val="none"/>
              </w:rPr>
              <w:t>turnkey</w:t>
            </w:r>
            <w:proofErr w:type="spellEnd"/>
            <w:r w:rsidRPr="00B74E01">
              <w:rPr>
                <w:rFonts w:eastAsia="Times New Roman" w:cs="Arial"/>
                <w:kern w:val="0"/>
                <w:lang w:eastAsia="pt-BR"/>
                <w14:ligatures w14:val="none"/>
              </w:rPr>
              <w:t>, garantias e cronograma</w:t>
            </w:r>
          </w:p>
        </w:tc>
      </w:tr>
      <w:tr w:rsidR="00A3112D" w:rsidRPr="00B74E01" w14:paraId="448E02CF" w14:textId="77777777" w:rsidTr="00050088">
        <w:trPr>
          <w:tblCellSpacing w:w="15" w:type="dxa"/>
        </w:trPr>
        <w:tc>
          <w:tcPr>
            <w:tcW w:w="0" w:type="auto"/>
            <w:vAlign w:val="center"/>
            <w:hideMark/>
          </w:tcPr>
          <w:p w14:paraId="78A7162B" w14:textId="77777777" w:rsidR="00A3112D" w:rsidRPr="00B74E01" w:rsidRDefault="00A3112D" w:rsidP="009018B0">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Falha de integração entre sistemas</w:t>
            </w:r>
          </w:p>
        </w:tc>
        <w:tc>
          <w:tcPr>
            <w:tcW w:w="0" w:type="auto"/>
            <w:vAlign w:val="center"/>
            <w:hideMark/>
          </w:tcPr>
          <w:p w14:paraId="3D0A5AFE" w14:textId="77777777" w:rsidR="00A3112D" w:rsidRPr="00B74E01" w:rsidRDefault="00A3112D" w:rsidP="009018B0">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SPE</w:t>
            </w:r>
          </w:p>
        </w:tc>
        <w:tc>
          <w:tcPr>
            <w:tcW w:w="0" w:type="auto"/>
            <w:vAlign w:val="center"/>
            <w:hideMark/>
          </w:tcPr>
          <w:p w14:paraId="5151A75A" w14:textId="77777777" w:rsidR="00A3112D" w:rsidRPr="00B74E01" w:rsidRDefault="00A3112D" w:rsidP="009018B0">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 xml:space="preserve">Responsabilidade do modelo </w:t>
            </w:r>
            <w:proofErr w:type="spellStart"/>
            <w:r w:rsidRPr="00B74E01">
              <w:rPr>
                <w:rFonts w:eastAsia="Times New Roman" w:cs="Arial"/>
                <w:kern w:val="0"/>
                <w:lang w:eastAsia="pt-BR"/>
                <w14:ligatures w14:val="none"/>
              </w:rPr>
              <w:t>turnkey</w:t>
            </w:r>
            <w:proofErr w:type="spellEnd"/>
          </w:p>
        </w:tc>
      </w:tr>
      <w:tr w:rsidR="00A3112D" w:rsidRPr="00B74E01" w14:paraId="792FFBD1" w14:textId="77777777" w:rsidTr="00050088">
        <w:trPr>
          <w:tblCellSpacing w:w="15" w:type="dxa"/>
        </w:trPr>
        <w:tc>
          <w:tcPr>
            <w:tcW w:w="0" w:type="auto"/>
            <w:vAlign w:val="center"/>
            <w:hideMark/>
          </w:tcPr>
          <w:p w14:paraId="170E943F" w14:textId="77777777" w:rsidR="00A3112D" w:rsidRPr="00B74E01" w:rsidRDefault="00A3112D" w:rsidP="009018B0">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Necessidade ordinária de ajustes de obra ou montagem</w:t>
            </w:r>
          </w:p>
        </w:tc>
        <w:tc>
          <w:tcPr>
            <w:tcW w:w="0" w:type="auto"/>
            <w:vAlign w:val="center"/>
            <w:hideMark/>
          </w:tcPr>
          <w:p w14:paraId="2559EE95" w14:textId="77777777" w:rsidR="00A3112D" w:rsidRPr="00B74E01" w:rsidRDefault="00A3112D" w:rsidP="009018B0">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SPE</w:t>
            </w:r>
          </w:p>
        </w:tc>
        <w:tc>
          <w:tcPr>
            <w:tcW w:w="0" w:type="auto"/>
            <w:vAlign w:val="center"/>
            <w:hideMark/>
          </w:tcPr>
          <w:p w14:paraId="06229EBA" w14:textId="77777777" w:rsidR="00A3112D" w:rsidRPr="00B74E01" w:rsidRDefault="00A3112D" w:rsidP="009018B0">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Coberta pela contingência técnica</w:t>
            </w:r>
          </w:p>
        </w:tc>
      </w:tr>
      <w:tr w:rsidR="00A3112D" w:rsidRPr="00B74E01" w14:paraId="08B8000B" w14:textId="77777777" w:rsidTr="00050088">
        <w:trPr>
          <w:tblCellSpacing w:w="15" w:type="dxa"/>
        </w:trPr>
        <w:tc>
          <w:tcPr>
            <w:tcW w:w="0" w:type="auto"/>
            <w:vAlign w:val="center"/>
            <w:hideMark/>
          </w:tcPr>
          <w:p w14:paraId="40DC6E3F" w14:textId="77777777" w:rsidR="00A3112D" w:rsidRPr="00B74E01" w:rsidRDefault="00A3112D" w:rsidP="009018B0">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Alteração de escopo imposta pelo Poder Concedente</w:t>
            </w:r>
          </w:p>
        </w:tc>
        <w:tc>
          <w:tcPr>
            <w:tcW w:w="0" w:type="auto"/>
            <w:vAlign w:val="center"/>
            <w:hideMark/>
          </w:tcPr>
          <w:p w14:paraId="637E4153" w14:textId="77777777" w:rsidR="00A3112D" w:rsidRPr="00B74E01" w:rsidRDefault="00A3112D" w:rsidP="009018B0">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Poder Concedente</w:t>
            </w:r>
          </w:p>
        </w:tc>
        <w:tc>
          <w:tcPr>
            <w:tcW w:w="0" w:type="auto"/>
            <w:vAlign w:val="center"/>
            <w:hideMark/>
          </w:tcPr>
          <w:p w14:paraId="7D9CF034" w14:textId="77777777" w:rsidR="00A3112D" w:rsidRPr="00B74E01" w:rsidRDefault="00A3112D" w:rsidP="009018B0">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Pode gerar reequilíbrio</w:t>
            </w:r>
          </w:p>
        </w:tc>
      </w:tr>
      <w:tr w:rsidR="00A3112D" w:rsidRPr="00B74E01" w14:paraId="2C52CBD9" w14:textId="77777777" w:rsidTr="00050088">
        <w:trPr>
          <w:tblCellSpacing w:w="15" w:type="dxa"/>
        </w:trPr>
        <w:tc>
          <w:tcPr>
            <w:tcW w:w="0" w:type="auto"/>
            <w:vAlign w:val="center"/>
            <w:hideMark/>
          </w:tcPr>
          <w:p w14:paraId="15E650EF" w14:textId="77777777" w:rsidR="00A3112D" w:rsidRPr="00B74E01" w:rsidRDefault="00A3112D" w:rsidP="009018B0">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Atraso na disponibilização da área pelo Município</w:t>
            </w:r>
          </w:p>
        </w:tc>
        <w:tc>
          <w:tcPr>
            <w:tcW w:w="0" w:type="auto"/>
            <w:vAlign w:val="center"/>
            <w:hideMark/>
          </w:tcPr>
          <w:p w14:paraId="3FBB975F" w14:textId="77777777" w:rsidR="00A3112D" w:rsidRPr="00B74E01" w:rsidRDefault="00A3112D" w:rsidP="009018B0">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Poder Concedente</w:t>
            </w:r>
          </w:p>
        </w:tc>
        <w:tc>
          <w:tcPr>
            <w:tcW w:w="0" w:type="auto"/>
            <w:vAlign w:val="center"/>
            <w:hideMark/>
          </w:tcPr>
          <w:p w14:paraId="1AAAFA58" w14:textId="77777777" w:rsidR="00A3112D" w:rsidRPr="00B74E01" w:rsidRDefault="00A3112D" w:rsidP="009018B0">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Pode gerar recomposição de prazo ou reequilíbrio</w:t>
            </w:r>
          </w:p>
        </w:tc>
      </w:tr>
      <w:tr w:rsidR="00A3112D" w:rsidRPr="00B74E01" w14:paraId="6BF6DA18" w14:textId="77777777" w:rsidTr="00050088">
        <w:trPr>
          <w:tblCellSpacing w:w="15" w:type="dxa"/>
        </w:trPr>
        <w:tc>
          <w:tcPr>
            <w:tcW w:w="0" w:type="auto"/>
            <w:vAlign w:val="center"/>
            <w:hideMark/>
          </w:tcPr>
          <w:p w14:paraId="7F63216A" w14:textId="77777777" w:rsidR="00A3112D" w:rsidRPr="00B74E01" w:rsidRDefault="00A3112D" w:rsidP="009018B0">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Exigência extraordinária superveniente não imputável à SPE</w:t>
            </w:r>
          </w:p>
        </w:tc>
        <w:tc>
          <w:tcPr>
            <w:tcW w:w="0" w:type="auto"/>
            <w:vAlign w:val="center"/>
            <w:hideMark/>
          </w:tcPr>
          <w:p w14:paraId="1905DAB1" w14:textId="77777777" w:rsidR="00A3112D" w:rsidRPr="00B74E01" w:rsidRDefault="00A3112D" w:rsidP="009018B0">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Avaliar caso concreto</w:t>
            </w:r>
          </w:p>
        </w:tc>
        <w:tc>
          <w:tcPr>
            <w:tcW w:w="0" w:type="auto"/>
            <w:vAlign w:val="center"/>
            <w:hideMark/>
          </w:tcPr>
          <w:p w14:paraId="10A38375" w14:textId="77777777" w:rsidR="00A3112D" w:rsidRPr="00B74E01" w:rsidRDefault="00A3112D" w:rsidP="009018B0">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Tratamento conforme matriz e legislação</w:t>
            </w:r>
          </w:p>
        </w:tc>
      </w:tr>
    </w:tbl>
    <w:p w14:paraId="7819CC91"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O CAPEX é, em regra, risco da SPE. A futura concessionária deverá assumir responsabilidade pelo investimento, fornecedores, tecnologia, montagem, integração, comissionamento e entrega da planta em condições operacionais.</w:t>
      </w:r>
    </w:p>
    <w:p w14:paraId="290915B6" w14:textId="77777777" w:rsidR="00A3112D" w:rsidRPr="00B74E01" w:rsidRDefault="00A3112D" w:rsidP="009018B0">
      <w:pPr>
        <w:pStyle w:val="Ttulo2"/>
        <w:rPr>
          <w:rFonts w:eastAsia="Times New Roman"/>
          <w:lang w:eastAsia="pt-BR"/>
        </w:rPr>
      </w:pPr>
      <w:bookmarkStart w:id="204" w:name="_Toc230204206"/>
      <w:r w:rsidRPr="00B74E01">
        <w:rPr>
          <w:rFonts w:eastAsia="Times New Roman"/>
          <w:lang w:eastAsia="pt-BR"/>
        </w:rPr>
        <w:lastRenderedPageBreak/>
        <w:t>16.4. Riscos de OPEX</w:t>
      </w:r>
      <w:bookmarkEnd w:id="204"/>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598"/>
        <w:gridCol w:w="2401"/>
        <w:gridCol w:w="3062"/>
      </w:tblGrid>
      <w:tr w:rsidR="00A3112D" w:rsidRPr="00B74E01" w14:paraId="3AA336F7" w14:textId="77777777" w:rsidTr="00050088">
        <w:trPr>
          <w:tblHeader/>
          <w:tblCellSpacing w:w="15" w:type="dxa"/>
        </w:trPr>
        <w:tc>
          <w:tcPr>
            <w:tcW w:w="0" w:type="auto"/>
            <w:vAlign w:val="center"/>
            <w:hideMark/>
          </w:tcPr>
          <w:p w14:paraId="5C92C06E" w14:textId="77777777" w:rsidR="00A3112D" w:rsidRPr="00B74E01" w:rsidRDefault="00A3112D" w:rsidP="009018B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Risco</w:t>
            </w:r>
          </w:p>
        </w:tc>
        <w:tc>
          <w:tcPr>
            <w:tcW w:w="0" w:type="auto"/>
            <w:vAlign w:val="center"/>
            <w:hideMark/>
          </w:tcPr>
          <w:p w14:paraId="04ED2996" w14:textId="77777777" w:rsidR="00A3112D" w:rsidRPr="00B74E01" w:rsidRDefault="00A3112D" w:rsidP="009018B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Alocação recomendada</w:t>
            </w:r>
          </w:p>
        </w:tc>
        <w:tc>
          <w:tcPr>
            <w:tcW w:w="0" w:type="auto"/>
            <w:vAlign w:val="center"/>
            <w:hideMark/>
          </w:tcPr>
          <w:p w14:paraId="19610901" w14:textId="77777777" w:rsidR="00A3112D" w:rsidRPr="00B74E01" w:rsidRDefault="00A3112D" w:rsidP="009018B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Tratamento</w:t>
            </w:r>
          </w:p>
        </w:tc>
      </w:tr>
      <w:tr w:rsidR="00A3112D" w:rsidRPr="00B74E01" w14:paraId="6597E20A" w14:textId="77777777" w:rsidTr="00050088">
        <w:trPr>
          <w:tblCellSpacing w:w="15" w:type="dxa"/>
        </w:trPr>
        <w:tc>
          <w:tcPr>
            <w:tcW w:w="0" w:type="auto"/>
            <w:vAlign w:val="center"/>
            <w:hideMark/>
          </w:tcPr>
          <w:p w14:paraId="22808623"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Aumento ordinário de salários e encargos</w:t>
            </w:r>
          </w:p>
        </w:tc>
        <w:tc>
          <w:tcPr>
            <w:tcW w:w="0" w:type="auto"/>
            <w:vAlign w:val="center"/>
            <w:hideMark/>
          </w:tcPr>
          <w:p w14:paraId="37A6AF7A"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SPE</w:t>
            </w:r>
          </w:p>
        </w:tc>
        <w:tc>
          <w:tcPr>
            <w:tcW w:w="0" w:type="auto"/>
            <w:vAlign w:val="center"/>
            <w:hideMark/>
          </w:tcPr>
          <w:p w14:paraId="10A6AF18"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Risco ordinário da operação</w:t>
            </w:r>
          </w:p>
        </w:tc>
      </w:tr>
      <w:tr w:rsidR="00A3112D" w:rsidRPr="00B74E01" w14:paraId="573E9C8A" w14:textId="77777777" w:rsidTr="00050088">
        <w:trPr>
          <w:tblCellSpacing w:w="15" w:type="dxa"/>
        </w:trPr>
        <w:tc>
          <w:tcPr>
            <w:tcW w:w="0" w:type="auto"/>
            <w:vAlign w:val="center"/>
            <w:hideMark/>
          </w:tcPr>
          <w:p w14:paraId="0EC78DED"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Falha no dimensionamento de equipe</w:t>
            </w:r>
          </w:p>
        </w:tc>
        <w:tc>
          <w:tcPr>
            <w:tcW w:w="0" w:type="auto"/>
            <w:vAlign w:val="center"/>
            <w:hideMark/>
          </w:tcPr>
          <w:p w14:paraId="189C6CFB"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SPE</w:t>
            </w:r>
          </w:p>
        </w:tc>
        <w:tc>
          <w:tcPr>
            <w:tcW w:w="0" w:type="auto"/>
            <w:vAlign w:val="center"/>
            <w:hideMark/>
          </w:tcPr>
          <w:p w14:paraId="440D8F48"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Não gera reequilíbrio automático</w:t>
            </w:r>
          </w:p>
        </w:tc>
      </w:tr>
      <w:tr w:rsidR="00A3112D" w:rsidRPr="00B74E01" w14:paraId="3B0C6F30" w14:textId="77777777" w:rsidTr="00050088">
        <w:trPr>
          <w:tblCellSpacing w:w="15" w:type="dxa"/>
        </w:trPr>
        <w:tc>
          <w:tcPr>
            <w:tcW w:w="0" w:type="auto"/>
            <w:vAlign w:val="center"/>
            <w:hideMark/>
          </w:tcPr>
          <w:p w14:paraId="18083CBE"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Aumento ordinário de manutenção</w:t>
            </w:r>
          </w:p>
        </w:tc>
        <w:tc>
          <w:tcPr>
            <w:tcW w:w="0" w:type="auto"/>
            <w:vAlign w:val="center"/>
            <w:hideMark/>
          </w:tcPr>
          <w:p w14:paraId="0F0EFA00"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SPE</w:t>
            </w:r>
          </w:p>
        </w:tc>
        <w:tc>
          <w:tcPr>
            <w:tcW w:w="0" w:type="auto"/>
            <w:vAlign w:val="center"/>
            <w:hideMark/>
          </w:tcPr>
          <w:p w14:paraId="4C999596"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Deve ser gerenciado pelo plano de manutenção</w:t>
            </w:r>
          </w:p>
        </w:tc>
      </w:tr>
      <w:tr w:rsidR="00A3112D" w:rsidRPr="00B74E01" w14:paraId="06504FD7" w14:textId="77777777" w:rsidTr="00050088">
        <w:trPr>
          <w:tblCellSpacing w:w="15" w:type="dxa"/>
        </w:trPr>
        <w:tc>
          <w:tcPr>
            <w:tcW w:w="0" w:type="auto"/>
            <w:vAlign w:val="center"/>
            <w:hideMark/>
          </w:tcPr>
          <w:p w14:paraId="67125A27"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Maior consumo de insumos</w:t>
            </w:r>
          </w:p>
        </w:tc>
        <w:tc>
          <w:tcPr>
            <w:tcW w:w="0" w:type="auto"/>
            <w:vAlign w:val="center"/>
            <w:hideMark/>
          </w:tcPr>
          <w:p w14:paraId="46198294"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SPE</w:t>
            </w:r>
          </w:p>
        </w:tc>
        <w:tc>
          <w:tcPr>
            <w:tcW w:w="0" w:type="auto"/>
            <w:vAlign w:val="center"/>
            <w:hideMark/>
          </w:tcPr>
          <w:p w14:paraId="5BB33DA2"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Risco operacional</w:t>
            </w:r>
          </w:p>
        </w:tc>
      </w:tr>
      <w:tr w:rsidR="00A3112D" w:rsidRPr="00B74E01" w14:paraId="5BABAB75" w14:textId="77777777" w:rsidTr="00050088">
        <w:trPr>
          <w:tblCellSpacing w:w="15" w:type="dxa"/>
        </w:trPr>
        <w:tc>
          <w:tcPr>
            <w:tcW w:w="0" w:type="auto"/>
            <w:vAlign w:val="center"/>
            <w:hideMark/>
          </w:tcPr>
          <w:p w14:paraId="5213925E"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Aumento de seguros em padrão ordinário de mercado</w:t>
            </w:r>
          </w:p>
        </w:tc>
        <w:tc>
          <w:tcPr>
            <w:tcW w:w="0" w:type="auto"/>
            <w:vAlign w:val="center"/>
            <w:hideMark/>
          </w:tcPr>
          <w:p w14:paraId="53E300E1"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SPE</w:t>
            </w:r>
          </w:p>
        </w:tc>
        <w:tc>
          <w:tcPr>
            <w:tcW w:w="0" w:type="auto"/>
            <w:vAlign w:val="center"/>
            <w:hideMark/>
          </w:tcPr>
          <w:p w14:paraId="46A5A4AF"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Deve ser previsto na proposta</w:t>
            </w:r>
          </w:p>
        </w:tc>
      </w:tr>
      <w:tr w:rsidR="00A3112D" w:rsidRPr="00B74E01" w14:paraId="0001102B" w14:textId="77777777" w:rsidTr="00050088">
        <w:trPr>
          <w:tblCellSpacing w:w="15" w:type="dxa"/>
        </w:trPr>
        <w:tc>
          <w:tcPr>
            <w:tcW w:w="0" w:type="auto"/>
            <w:vAlign w:val="center"/>
            <w:hideMark/>
          </w:tcPr>
          <w:p w14:paraId="63DD9832"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Custos decorrentes de falha operacional</w:t>
            </w:r>
          </w:p>
        </w:tc>
        <w:tc>
          <w:tcPr>
            <w:tcW w:w="0" w:type="auto"/>
            <w:vAlign w:val="center"/>
            <w:hideMark/>
          </w:tcPr>
          <w:p w14:paraId="47249732"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SPE</w:t>
            </w:r>
          </w:p>
        </w:tc>
        <w:tc>
          <w:tcPr>
            <w:tcW w:w="0" w:type="auto"/>
            <w:vAlign w:val="center"/>
            <w:hideMark/>
          </w:tcPr>
          <w:p w14:paraId="61C93B9E"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Sujeitos a penalidades e glosas</w:t>
            </w:r>
          </w:p>
        </w:tc>
      </w:tr>
      <w:tr w:rsidR="00A3112D" w:rsidRPr="00B74E01" w14:paraId="19C6BF40" w14:textId="77777777" w:rsidTr="00050088">
        <w:trPr>
          <w:tblCellSpacing w:w="15" w:type="dxa"/>
        </w:trPr>
        <w:tc>
          <w:tcPr>
            <w:tcW w:w="0" w:type="auto"/>
            <w:vAlign w:val="center"/>
            <w:hideMark/>
          </w:tcPr>
          <w:p w14:paraId="43D5E716"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Nova exigência pública específica e extraordinária</w:t>
            </w:r>
          </w:p>
        </w:tc>
        <w:tc>
          <w:tcPr>
            <w:tcW w:w="0" w:type="auto"/>
            <w:vAlign w:val="center"/>
            <w:hideMark/>
          </w:tcPr>
          <w:p w14:paraId="000F09F2"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Avaliar caso concreto</w:t>
            </w:r>
          </w:p>
        </w:tc>
        <w:tc>
          <w:tcPr>
            <w:tcW w:w="0" w:type="auto"/>
            <w:vAlign w:val="center"/>
            <w:hideMark/>
          </w:tcPr>
          <w:p w14:paraId="5BFD26CF"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Pode ensejar reequilíbrio se comprovado impacto</w:t>
            </w:r>
          </w:p>
        </w:tc>
      </w:tr>
      <w:tr w:rsidR="00A3112D" w:rsidRPr="00B74E01" w14:paraId="5459CD2C" w14:textId="77777777" w:rsidTr="00050088">
        <w:trPr>
          <w:tblCellSpacing w:w="15" w:type="dxa"/>
        </w:trPr>
        <w:tc>
          <w:tcPr>
            <w:tcW w:w="0" w:type="auto"/>
            <w:vAlign w:val="center"/>
            <w:hideMark/>
          </w:tcPr>
          <w:p w14:paraId="78A3B883"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Alteração legal ou regulatória extraordinária</w:t>
            </w:r>
          </w:p>
        </w:tc>
        <w:tc>
          <w:tcPr>
            <w:tcW w:w="0" w:type="auto"/>
            <w:vAlign w:val="center"/>
            <w:hideMark/>
          </w:tcPr>
          <w:p w14:paraId="3BEA779F"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 xml:space="preserve">Compartilhado ou </w:t>
            </w:r>
            <w:proofErr w:type="spellStart"/>
            <w:r w:rsidRPr="00B74E01">
              <w:rPr>
                <w:rFonts w:eastAsia="Times New Roman" w:cs="Arial"/>
                <w:kern w:val="0"/>
                <w:lang w:eastAsia="pt-BR"/>
                <w14:ligatures w14:val="none"/>
              </w:rPr>
              <w:t>reequilibrável</w:t>
            </w:r>
            <w:proofErr w:type="spellEnd"/>
          </w:p>
        </w:tc>
        <w:tc>
          <w:tcPr>
            <w:tcW w:w="0" w:type="auto"/>
            <w:vAlign w:val="center"/>
            <w:hideMark/>
          </w:tcPr>
          <w:p w14:paraId="2CFBD652"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Conforme matriz de riscos</w:t>
            </w:r>
          </w:p>
        </w:tc>
      </w:tr>
    </w:tbl>
    <w:p w14:paraId="1420F278"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O OPEX deve ser responsabilidade da SPE, salvo eventos extraordinários ou imputáveis ao Poder Concedente. A concessionária deverá operar com eficiência, controlar custos e manter padrões de desempenho.</w:t>
      </w:r>
    </w:p>
    <w:p w14:paraId="3385E464" w14:textId="77777777" w:rsidR="00A3112D" w:rsidRPr="00B74E01" w:rsidRDefault="00A3112D" w:rsidP="009018B0">
      <w:pPr>
        <w:pStyle w:val="Ttulo2"/>
        <w:rPr>
          <w:rFonts w:eastAsia="Times New Roman"/>
          <w:lang w:eastAsia="pt-BR"/>
        </w:rPr>
      </w:pPr>
      <w:bookmarkStart w:id="205" w:name="_Toc230204207"/>
      <w:r w:rsidRPr="00B74E01">
        <w:rPr>
          <w:rFonts w:eastAsia="Times New Roman"/>
          <w:lang w:eastAsia="pt-BR"/>
        </w:rPr>
        <w:t>16.5. Riscos das receitas principais</w:t>
      </w:r>
      <w:bookmarkEnd w:id="205"/>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195"/>
        <w:gridCol w:w="2106"/>
        <w:gridCol w:w="3760"/>
      </w:tblGrid>
      <w:tr w:rsidR="00A3112D" w:rsidRPr="00B74E01" w14:paraId="0FB8F69C" w14:textId="77777777" w:rsidTr="00050088">
        <w:trPr>
          <w:tblHeader/>
          <w:tblCellSpacing w:w="15" w:type="dxa"/>
        </w:trPr>
        <w:tc>
          <w:tcPr>
            <w:tcW w:w="0" w:type="auto"/>
            <w:vAlign w:val="center"/>
            <w:hideMark/>
          </w:tcPr>
          <w:p w14:paraId="32979E68" w14:textId="77777777" w:rsidR="00A3112D" w:rsidRPr="00B74E01" w:rsidRDefault="00A3112D" w:rsidP="009018B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Risco</w:t>
            </w:r>
          </w:p>
        </w:tc>
        <w:tc>
          <w:tcPr>
            <w:tcW w:w="0" w:type="auto"/>
            <w:vAlign w:val="center"/>
            <w:hideMark/>
          </w:tcPr>
          <w:p w14:paraId="7DA4B998" w14:textId="77777777" w:rsidR="00A3112D" w:rsidRPr="00B74E01" w:rsidRDefault="00A3112D" w:rsidP="009018B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Alocação recomendada</w:t>
            </w:r>
          </w:p>
        </w:tc>
        <w:tc>
          <w:tcPr>
            <w:tcW w:w="0" w:type="auto"/>
            <w:vAlign w:val="center"/>
            <w:hideMark/>
          </w:tcPr>
          <w:p w14:paraId="3370F6CD" w14:textId="77777777" w:rsidR="00A3112D" w:rsidRPr="00B74E01" w:rsidRDefault="00A3112D" w:rsidP="009018B0">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Tratamento</w:t>
            </w:r>
          </w:p>
        </w:tc>
      </w:tr>
      <w:tr w:rsidR="00A3112D" w:rsidRPr="00B74E01" w14:paraId="3DC75B02" w14:textId="77777777" w:rsidTr="00050088">
        <w:trPr>
          <w:tblCellSpacing w:w="15" w:type="dxa"/>
        </w:trPr>
        <w:tc>
          <w:tcPr>
            <w:tcW w:w="0" w:type="auto"/>
            <w:vAlign w:val="center"/>
            <w:hideMark/>
          </w:tcPr>
          <w:p w14:paraId="45D973DF"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Inadimplemento do pagamento pelo Município</w:t>
            </w:r>
          </w:p>
        </w:tc>
        <w:tc>
          <w:tcPr>
            <w:tcW w:w="0" w:type="auto"/>
            <w:vAlign w:val="center"/>
            <w:hideMark/>
          </w:tcPr>
          <w:p w14:paraId="423F0A81"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Poder Concedente</w:t>
            </w:r>
          </w:p>
        </w:tc>
        <w:tc>
          <w:tcPr>
            <w:tcW w:w="0" w:type="auto"/>
            <w:vAlign w:val="center"/>
            <w:hideMark/>
          </w:tcPr>
          <w:p w14:paraId="0782BE33"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Acionamento da garantia</w:t>
            </w:r>
          </w:p>
        </w:tc>
      </w:tr>
      <w:tr w:rsidR="00A3112D" w:rsidRPr="00B74E01" w14:paraId="1668CDC2" w14:textId="77777777" w:rsidTr="00050088">
        <w:trPr>
          <w:tblCellSpacing w:w="15" w:type="dxa"/>
        </w:trPr>
        <w:tc>
          <w:tcPr>
            <w:tcW w:w="0" w:type="auto"/>
            <w:vAlign w:val="center"/>
            <w:hideMark/>
          </w:tcPr>
          <w:p w14:paraId="23FB2336"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Atraso de pagamento</w:t>
            </w:r>
          </w:p>
        </w:tc>
        <w:tc>
          <w:tcPr>
            <w:tcW w:w="0" w:type="auto"/>
            <w:vAlign w:val="center"/>
            <w:hideMark/>
          </w:tcPr>
          <w:p w14:paraId="74828D08"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Poder Concedente</w:t>
            </w:r>
          </w:p>
        </w:tc>
        <w:tc>
          <w:tcPr>
            <w:tcW w:w="0" w:type="auto"/>
            <w:vAlign w:val="center"/>
            <w:hideMark/>
          </w:tcPr>
          <w:p w14:paraId="4F695182"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Prazo de cura e garantia</w:t>
            </w:r>
          </w:p>
        </w:tc>
      </w:tr>
      <w:tr w:rsidR="00A3112D" w:rsidRPr="00B74E01" w14:paraId="7E92D323" w14:textId="77777777" w:rsidTr="00050088">
        <w:trPr>
          <w:tblCellSpacing w:w="15" w:type="dxa"/>
        </w:trPr>
        <w:tc>
          <w:tcPr>
            <w:tcW w:w="0" w:type="auto"/>
            <w:vAlign w:val="center"/>
            <w:hideMark/>
          </w:tcPr>
          <w:p w14:paraId="4DAA43AC"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lastRenderedPageBreak/>
              <w:t>Glosa indevida</w:t>
            </w:r>
          </w:p>
        </w:tc>
        <w:tc>
          <w:tcPr>
            <w:tcW w:w="0" w:type="auto"/>
            <w:vAlign w:val="center"/>
            <w:hideMark/>
          </w:tcPr>
          <w:p w14:paraId="17F3002B"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Poder Concedente</w:t>
            </w:r>
          </w:p>
        </w:tc>
        <w:tc>
          <w:tcPr>
            <w:tcW w:w="0" w:type="auto"/>
            <w:vAlign w:val="center"/>
            <w:hideMark/>
          </w:tcPr>
          <w:p w14:paraId="605A2D90"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Pagamento da parcela incontroversa e resolução da divergência</w:t>
            </w:r>
          </w:p>
        </w:tc>
      </w:tr>
      <w:tr w:rsidR="00A3112D" w:rsidRPr="00B74E01" w14:paraId="25BD055C" w14:textId="77777777" w:rsidTr="00050088">
        <w:trPr>
          <w:tblCellSpacing w:w="15" w:type="dxa"/>
        </w:trPr>
        <w:tc>
          <w:tcPr>
            <w:tcW w:w="0" w:type="auto"/>
            <w:vAlign w:val="center"/>
            <w:hideMark/>
          </w:tcPr>
          <w:p w14:paraId="61BAE025"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Glosa por falha comprovada da SPE</w:t>
            </w:r>
          </w:p>
        </w:tc>
        <w:tc>
          <w:tcPr>
            <w:tcW w:w="0" w:type="auto"/>
            <w:vAlign w:val="center"/>
            <w:hideMark/>
          </w:tcPr>
          <w:p w14:paraId="5935E426"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SPE</w:t>
            </w:r>
          </w:p>
        </w:tc>
        <w:tc>
          <w:tcPr>
            <w:tcW w:w="0" w:type="auto"/>
            <w:vAlign w:val="center"/>
            <w:hideMark/>
          </w:tcPr>
          <w:p w14:paraId="037E778D"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Redução legítima da remuneração</w:t>
            </w:r>
          </w:p>
        </w:tc>
      </w:tr>
      <w:tr w:rsidR="00A3112D" w:rsidRPr="00B74E01" w14:paraId="062B0BEB" w14:textId="77777777" w:rsidTr="00050088">
        <w:trPr>
          <w:tblCellSpacing w:w="15" w:type="dxa"/>
        </w:trPr>
        <w:tc>
          <w:tcPr>
            <w:tcW w:w="0" w:type="auto"/>
            <w:vAlign w:val="center"/>
            <w:hideMark/>
          </w:tcPr>
          <w:p w14:paraId="5F83698B"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Entrega inferior a 80 t/dia por fato do Município</w:t>
            </w:r>
          </w:p>
        </w:tc>
        <w:tc>
          <w:tcPr>
            <w:tcW w:w="0" w:type="auto"/>
            <w:vAlign w:val="center"/>
            <w:hideMark/>
          </w:tcPr>
          <w:p w14:paraId="4F74F281"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Poder Concedente</w:t>
            </w:r>
          </w:p>
        </w:tc>
        <w:tc>
          <w:tcPr>
            <w:tcW w:w="0" w:type="auto"/>
            <w:vAlign w:val="center"/>
            <w:hideMark/>
          </w:tcPr>
          <w:p w14:paraId="5488261D"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Mantém faturamento mínimo</w:t>
            </w:r>
          </w:p>
        </w:tc>
      </w:tr>
      <w:tr w:rsidR="00A3112D" w:rsidRPr="00B74E01" w14:paraId="2F57CC0D" w14:textId="77777777" w:rsidTr="00050088">
        <w:trPr>
          <w:tblCellSpacing w:w="15" w:type="dxa"/>
        </w:trPr>
        <w:tc>
          <w:tcPr>
            <w:tcW w:w="0" w:type="auto"/>
            <w:vAlign w:val="center"/>
            <w:hideMark/>
          </w:tcPr>
          <w:p w14:paraId="3C74E0A2"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Entrega inferior por indisponibilidade da planta</w:t>
            </w:r>
          </w:p>
        </w:tc>
        <w:tc>
          <w:tcPr>
            <w:tcW w:w="0" w:type="auto"/>
            <w:vAlign w:val="center"/>
            <w:hideMark/>
          </w:tcPr>
          <w:p w14:paraId="6ADA6B69"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SPE</w:t>
            </w:r>
          </w:p>
        </w:tc>
        <w:tc>
          <w:tcPr>
            <w:tcW w:w="0" w:type="auto"/>
            <w:vAlign w:val="center"/>
            <w:hideMark/>
          </w:tcPr>
          <w:p w14:paraId="58577CB3"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Pode gerar glosa ou penalidade</w:t>
            </w:r>
          </w:p>
        </w:tc>
      </w:tr>
      <w:tr w:rsidR="00A3112D" w:rsidRPr="00B74E01" w14:paraId="0DEAEC68" w14:textId="77777777" w:rsidTr="00050088">
        <w:trPr>
          <w:tblCellSpacing w:w="15" w:type="dxa"/>
        </w:trPr>
        <w:tc>
          <w:tcPr>
            <w:tcW w:w="0" w:type="auto"/>
            <w:vAlign w:val="center"/>
            <w:hideMark/>
          </w:tcPr>
          <w:p w14:paraId="563BCD36"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Alteração unilateral da remuneração</w:t>
            </w:r>
          </w:p>
        </w:tc>
        <w:tc>
          <w:tcPr>
            <w:tcW w:w="0" w:type="auto"/>
            <w:vAlign w:val="center"/>
            <w:hideMark/>
          </w:tcPr>
          <w:p w14:paraId="4F3C7D30"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Poder Concedente</w:t>
            </w:r>
          </w:p>
        </w:tc>
        <w:tc>
          <w:tcPr>
            <w:tcW w:w="0" w:type="auto"/>
            <w:vAlign w:val="center"/>
            <w:hideMark/>
          </w:tcPr>
          <w:p w14:paraId="5E9B7BD8"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Pode gerar reequilíbrio</w:t>
            </w:r>
          </w:p>
        </w:tc>
      </w:tr>
      <w:tr w:rsidR="00A3112D" w:rsidRPr="00B74E01" w14:paraId="3C452449" w14:textId="77777777" w:rsidTr="00050088">
        <w:trPr>
          <w:tblCellSpacing w:w="15" w:type="dxa"/>
        </w:trPr>
        <w:tc>
          <w:tcPr>
            <w:tcW w:w="0" w:type="auto"/>
            <w:vAlign w:val="center"/>
            <w:hideMark/>
          </w:tcPr>
          <w:p w14:paraId="087C0A95"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Mudança no escopo contratual</w:t>
            </w:r>
          </w:p>
        </w:tc>
        <w:tc>
          <w:tcPr>
            <w:tcW w:w="0" w:type="auto"/>
            <w:vAlign w:val="center"/>
            <w:hideMark/>
          </w:tcPr>
          <w:p w14:paraId="19AE9D78"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Poder Concedente</w:t>
            </w:r>
          </w:p>
        </w:tc>
        <w:tc>
          <w:tcPr>
            <w:tcW w:w="0" w:type="auto"/>
            <w:vAlign w:val="center"/>
            <w:hideMark/>
          </w:tcPr>
          <w:p w14:paraId="5ADBC5EE" w14:textId="77777777" w:rsidR="00A3112D" w:rsidRPr="00B74E01" w:rsidRDefault="00A3112D" w:rsidP="009018B0">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Reequilíbrio, se houver impacto</w:t>
            </w:r>
          </w:p>
        </w:tc>
      </w:tr>
    </w:tbl>
    <w:p w14:paraId="438DE2C8"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As receitas principais são a base contratual da PPP e devem ser protegidas por garantia. Contudo, essa proteção não impede glosa legítima quando houver descumprimento de desempenho pela SPE.</w:t>
      </w:r>
    </w:p>
    <w:p w14:paraId="3A4076A8" w14:textId="77777777" w:rsidR="00A3112D" w:rsidRPr="00B74E01" w:rsidRDefault="00A3112D" w:rsidP="009018B0">
      <w:pPr>
        <w:pStyle w:val="Ttulo2"/>
        <w:rPr>
          <w:rFonts w:eastAsia="Times New Roman"/>
          <w:lang w:eastAsia="pt-BR"/>
        </w:rPr>
      </w:pPr>
      <w:bookmarkStart w:id="206" w:name="_Toc230204208"/>
      <w:r w:rsidRPr="00B74E01">
        <w:rPr>
          <w:rFonts w:eastAsia="Times New Roman"/>
          <w:lang w:eastAsia="pt-BR"/>
        </w:rPr>
        <w:t>16.6. Riscos das receitas acessórias</w:t>
      </w:r>
      <w:bookmarkEnd w:id="206"/>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206"/>
        <w:gridCol w:w="2588"/>
        <w:gridCol w:w="3267"/>
      </w:tblGrid>
      <w:tr w:rsidR="00A3112D" w:rsidRPr="00B74E01" w14:paraId="3CECC86B" w14:textId="77777777" w:rsidTr="00050088">
        <w:trPr>
          <w:tblHeader/>
          <w:tblCellSpacing w:w="15" w:type="dxa"/>
        </w:trPr>
        <w:tc>
          <w:tcPr>
            <w:tcW w:w="0" w:type="auto"/>
            <w:vAlign w:val="center"/>
            <w:hideMark/>
          </w:tcPr>
          <w:p w14:paraId="5614EF5C" w14:textId="77777777" w:rsidR="00A3112D" w:rsidRPr="00B74E01" w:rsidRDefault="00A3112D" w:rsidP="00DC662F">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Risco</w:t>
            </w:r>
          </w:p>
        </w:tc>
        <w:tc>
          <w:tcPr>
            <w:tcW w:w="0" w:type="auto"/>
            <w:vAlign w:val="center"/>
            <w:hideMark/>
          </w:tcPr>
          <w:p w14:paraId="7C2F7E93" w14:textId="77777777" w:rsidR="00A3112D" w:rsidRPr="00B74E01" w:rsidRDefault="00A3112D" w:rsidP="00DC662F">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Alocação recomendada</w:t>
            </w:r>
          </w:p>
        </w:tc>
        <w:tc>
          <w:tcPr>
            <w:tcW w:w="0" w:type="auto"/>
            <w:vAlign w:val="center"/>
            <w:hideMark/>
          </w:tcPr>
          <w:p w14:paraId="4517CBA8" w14:textId="77777777" w:rsidR="00A3112D" w:rsidRPr="00B74E01" w:rsidRDefault="00A3112D" w:rsidP="00DC662F">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Tratamento</w:t>
            </w:r>
          </w:p>
        </w:tc>
      </w:tr>
      <w:tr w:rsidR="00A3112D" w:rsidRPr="00B74E01" w14:paraId="15FB2D4E" w14:textId="77777777" w:rsidTr="00050088">
        <w:trPr>
          <w:tblCellSpacing w:w="15" w:type="dxa"/>
        </w:trPr>
        <w:tc>
          <w:tcPr>
            <w:tcW w:w="0" w:type="auto"/>
            <w:vAlign w:val="center"/>
            <w:hideMark/>
          </w:tcPr>
          <w:p w14:paraId="62D18949"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Preço inferior ao estimado</w:t>
            </w:r>
          </w:p>
        </w:tc>
        <w:tc>
          <w:tcPr>
            <w:tcW w:w="0" w:type="auto"/>
            <w:vAlign w:val="center"/>
            <w:hideMark/>
          </w:tcPr>
          <w:p w14:paraId="1B8C9C40"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SPE</w:t>
            </w:r>
          </w:p>
        </w:tc>
        <w:tc>
          <w:tcPr>
            <w:tcW w:w="0" w:type="auto"/>
            <w:vAlign w:val="center"/>
            <w:hideMark/>
          </w:tcPr>
          <w:p w14:paraId="7C52F7D9"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Risco de mercado</w:t>
            </w:r>
          </w:p>
        </w:tc>
      </w:tr>
      <w:tr w:rsidR="00A3112D" w:rsidRPr="00B74E01" w14:paraId="11113301" w14:textId="77777777" w:rsidTr="00050088">
        <w:trPr>
          <w:tblCellSpacing w:w="15" w:type="dxa"/>
        </w:trPr>
        <w:tc>
          <w:tcPr>
            <w:tcW w:w="0" w:type="auto"/>
            <w:vAlign w:val="center"/>
            <w:hideMark/>
          </w:tcPr>
          <w:p w14:paraId="6005CB59"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Ausência de comprador</w:t>
            </w:r>
          </w:p>
        </w:tc>
        <w:tc>
          <w:tcPr>
            <w:tcW w:w="0" w:type="auto"/>
            <w:vAlign w:val="center"/>
            <w:hideMark/>
          </w:tcPr>
          <w:p w14:paraId="5956F025"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SPE</w:t>
            </w:r>
          </w:p>
        </w:tc>
        <w:tc>
          <w:tcPr>
            <w:tcW w:w="0" w:type="auto"/>
            <w:vAlign w:val="center"/>
            <w:hideMark/>
          </w:tcPr>
          <w:p w14:paraId="77479AF9"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Não gera reequilíbrio automático</w:t>
            </w:r>
          </w:p>
        </w:tc>
      </w:tr>
      <w:tr w:rsidR="00A3112D" w:rsidRPr="00B74E01" w14:paraId="20268608" w14:textId="77777777" w:rsidTr="00050088">
        <w:trPr>
          <w:tblCellSpacing w:w="15" w:type="dxa"/>
        </w:trPr>
        <w:tc>
          <w:tcPr>
            <w:tcW w:w="0" w:type="auto"/>
            <w:vAlign w:val="center"/>
            <w:hideMark/>
          </w:tcPr>
          <w:p w14:paraId="5BDE5A3E"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Subproduto sem qualidade comercial</w:t>
            </w:r>
          </w:p>
        </w:tc>
        <w:tc>
          <w:tcPr>
            <w:tcW w:w="0" w:type="auto"/>
            <w:vAlign w:val="center"/>
            <w:hideMark/>
          </w:tcPr>
          <w:p w14:paraId="7C38F528"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SPE</w:t>
            </w:r>
          </w:p>
        </w:tc>
        <w:tc>
          <w:tcPr>
            <w:tcW w:w="0" w:type="auto"/>
            <w:vAlign w:val="center"/>
            <w:hideMark/>
          </w:tcPr>
          <w:p w14:paraId="3021EA4E"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Risco técnico-operacional</w:t>
            </w:r>
          </w:p>
        </w:tc>
      </w:tr>
      <w:tr w:rsidR="00A3112D" w:rsidRPr="00B74E01" w14:paraId="16CDE9AF" w14:textId="77777777" w:rsidTr="00050088">
        <w:trPr>
          <w:tblCellSpacing w:w="15" w:type="dxa"/>
        </w:trPr>
        <w:tc>
          <w:tcPr>
            <w:tcW w:w="0" w:type="auto"/>
            <w:vAlign w:val="center"/>
            <w:hideMark/>
          </w:tcPr>
          <w:p w14:paraId="00F0B6A1"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Contaminação do material produzido</w:t>
            </w:r>
          </w:p>
        </w:tc>
        <w:tc>
          <w:tcPr>
            <w:tcW w:w="0" w:type="auto"/>
            <w:vAlign w:val="center"/>
            <w:hideMark/>
          </w:tcPr>
          <w:p w14:paraId="2D9AEA2C"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SPE</w:t>
            </w:r>
          </w:p>
        </w:tc>
        <w:tc>
          <w:tcPr>
            <w:tcW w:w="0" w:type="auto"/>
            <w:vAlign w:val="center"/>
            <w:hideMark/>
          </w:tcPr>
          <w:p w14:paraId="2B166FDB"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Risco associado à operação e controle de qualidade</w:t>
            </w:r>
          </w:p>
        </w:tc>
      </w:tr>
      <w:tr w:rsidR="00A3112D" w:rsidRPr="00B74E01" w14:paraId="06E7BC41" w14:textId="77777777" w:rsidTr="00050088">
        <w:trPr>
          <w:tblCellSpacing w:w="15" w:type="dxa"/>
        </w:trPr>
        <w:tc>
          <w:tcPr>
            <w:tcW w:w="0" w:type="auto"/>
            <w:vAlign w:val="center"/>
            <w:hideMark/>
          </w:tcPr>
          <w:p w14:paraId="748A947B"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lastRenderedPageBreak/>
              <w:t>Não certificação de créditos de carbono</w:t>
            </w:r>
          </w:p>
        </w:tc>
        <w:tc>
          <w:tcPr>
            <w:tcW w:w="0" w:type="auto"/>
            <w:vAlign w:val="center"/>
            <w:hideMark/>
          </w:tcPr>
          <w:p w14:paraId="036F3A32"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SPE</w:t>
            </w:r>
          </w:p>
        </w:tc>
        <w:tc>
          <w:tcPr>
            <w:tcW w:w="0" w:type="auto"/>
            <w:vAlign w:val="center"/>
            <w:hideMark/>
          </w:tcPr>
          <w:p w14:paraId="5D1843A3"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Risco de metodologia, MRV e certificação</w:t>
            </w:r>
          </w:p>
        </w:tc>
      </w:tr>
      <w:tr w:rsidR="00A3112D" w:rsidRPr="00B74E01" w14:paraId="7BF71AD3" w14:textId="77777777" w:rsidTr="00050088">
        <w:trPr>
          <w:tblCellSpacing w:w="15" w:type="dxa"/>
        </w:trPr>
        <w:tc>
          <w:tcPr>
            <w:tcW w:w="0" w:type="auto"/>
            <w:vAlign w:val="center"/>
            <w:hideMark/>
          </w:tcPr>
          <w:p w14:paraId="032DBCA5"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Custo de certificação superior ao previsto</w:t>
            </w:r>
          </w:p>
        </w:tc>
        <w:tc>
          <w:tcPr>
            <w:tcW w:w="0" w:type="auto"/>
            <w:vAlign w:val="center"/>
            <w:hideMark/>
          </w:tcPr>
          <w:p w14:paraId="0CAAADCF"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SPE</w:t>
            </w:r>
          </w:p>
        </w:tc>
        <w:tc>
          <w:tcPr>
            <w:tcW w:w="0" w:type="auto"/>
            <w:vAlign w:val="center"/>
            <w:hideMark/>
          </w:tcPr>
          <w:p w14:paraId="0ADA8398"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Risco empresarial</w:t>
            </w:r>
          </w:p>
        </w:tc>
      </w:tr>
      <w:tr w:rsidR="00A3112D" w:rsidRPr="00B74E01" w14:paraId="404A1E3E" w14:textId="77777777" w:rsidTr="00050088">
        <w:trPr>
          <w:tblCellSpacing w:w="15" w:type="dxa"/>
        </w:trPr>
        <w:tc>
          <w:tcPr>
            <w:tcW w:w="0" w:type="auto"/>
            <w:vAlign w:val="center"/>
            <w:hideMark/>
          </w:tcPr>
          <w:p w14:paraId="51CCFF93"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Variação ordinária do mercado de carbono</w:t>
            </w:r>
          </w:p>
        </w:tc>
        <w:tc>
          <w:tcPr>
            <w:tcW w:w="0" w:type="auto"/>
            <w:vAlign w:val="center"/>
            <w:hideMark/>
          </w:tcPr>
          <w:p w14:paraId="40758524"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SPE</w:t>
            </w:r>
          </w:p>
        </w:tc>
        <w:tc>
          <w:tcPr>
            <w:tcW w:w="0" w:type="auto"/>
            <w:vAlign w:val="center"/>
            <w:hideMark/>
          </w:tcPr>
          <w:p w14:paraId="77818EA4"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Não gera reequilíbrio automático</w:t>
            </w:r>
          </w:p>
        </w:tc>
      </w:tr>
      <w:tr w:rsidR="00A3112D" w:rsidRPr="00B74E01" w14:paraId="573AA45B" w14:textId="77777777" w:rsidTr="00050088">
        <w:trPr>
          <w:tblCellSpacing w:w="15" w:type="dxa"/>
        </w:trPr>
        <w:tc>
          <w:tcPr>
            <w:tcW w:w="0" w:type="auto"/>
            <w:vAlign w:val="center"/>
            <w:hideMark/>
          </w:tcPr>
          <w:p w14:paraId="76770351"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Restrição causada por ato do Poder Concedente</w:t>
            </w:r>
          </w:p>
        </w:tc>
        <w:tc>
          <w:tcPr>
            <w:tcW w:w="0" w:type="auto"/>
            <w:vAlign w:val="center"/>
            <w:hideMark/>
          </w:tcPr>
          <w:p w14:paraId="4EC72F9D"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Poder Concedente, se comprovado</w:t>
            </w:r>
          </w:p>
        </w:tc>
        <w:tc>
          <w:tcPr>
            <w:tcW w:w="0" w:type="auto"/>
            <w:vAlign w:val="center"/>
            <w:hideMark/>
          </w:tcPr>
          <w:p w14:paraId="4A7A772C"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Pode gerar reequilíbrio</w:t>
            </w:r>
          </w:p>
        </w:tc>
      </w:tr>
      <w:tr w:rsidR="00A3112D" w:rsidRPr="00B74E01" w14:paraId="51A53B43" w14:textId="77777777" w:rsidTr="00050088">
        <w:trPr>
          <w:tblCellSpacing w:w="15" w:type="dxa"/>
        </w:trPr>
        <w:tc>
          <w:tcPr>
            <w:tcW w:w="0" w:type="auto"/>
            <w:vAlign w:val="center"/>
            <w:hideMark/>
          </w:tcPr>
          <w:p w14:paraId="7FC01AEF"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Alteração normativa extraordinária específica</w:t>
            </w:r>
          </w:p>
        </w:tc>
        <w:tc>
          <w:tcPr>
            <w:tcW w:w="0" w:type="auto"/>
            <w:vAlign w:val="center"/>
            <w:hideMark/>
          </w:tcPr>
          <w:p w14:paraId="07D647E7"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Avaliar caso concreto</w:t>
            </w:r>
          </w:p>
        </w:tc>
        <w:tc>
          <w:tcPr>
            <w:tcW w:w="0" w:type="auto"/>
            <w:vAlign w:val="center"/>
            <w:hideMark/>
          </w:tcPr>
          <w:p w14:paraId="42910CCF"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Tratamento conforme matriz</w:t>
            </w:r>
          </w:p>
        </w:tc>
      </w:tr>
    </w:tbl>
    <w:p w14:paraId="4ADF5FEB"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As receitas acessórias devem permanecer como risco empresarial da SPE. O Município não deve garantir </w:t>
      </w:r>
      <w:proofErr w:type="spellStart"/>
      <w:r w:rsidRPr="00B74E01">
        <w:rPr>
          <w:rFonts w:eastAsia="Times New Roman" w:cs="Arial"/>
          <w:kern w:val="0"/>
          <w:lang w:eastAsia="pt-BR"/>
          <w14:ligatures w14:val="none"/>
        </w:rPr>
        <w:t>biochar</w:t>
      </w:r>
      <w:proofErr w:type="spellEnd"/>
      <w:r w:rsidRPr="00B74E01">
        <w:rPr>
          <w:rFonts w:eastAsia="Times New Roman" w:cs="Arial"/>
          <w:kern w:val="0"/>
          <w:lang w:eastAsia="pt-BR"/>
          <w14:ligatures w14:val="none"/>
        </w:rPr>
        <w:t>, óleo, créditos de carbono, recicláveis ou qualquer outro ativo comercial sujeito a mercado.</w:t>
      </w:r>
    </w:p>
    <w:p w14:paraId="2FAA2368" w14:textId="77777777" w:rsidR="00A3112D" w:rsidRPr="00B74E01" w:rsidRDefault="00A3112D" w:rsidP="00DC662F">
      <w:pPr>
        <w:pStyle w:val="Ttulo2"/>
        <w:rPr>
          <w:rFonts w:eastAsia="Times New Roman"/>
          <w:lang w:eastAsia="pt-BR"/>
        </w:rPr>
      </w:pPr>
      <w:bookmarkStart w:id="207" w:name="_Toc230204209"/>
      <w:r w:rsidRPr="00B74E01">
        <w:rPr>
          <w:rFonts w:eastAsia="Times New Roman"/>
          <w:lang w:eastAsia="pt-BR"/>
        </w:rPr>
        <w:t>16.7. Riscos tecnológicos</w:t>
      </w:r>
      <w:bookmarkEnd w:id="207"/>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998"/>
        <w:gridCol w:w="2132"/>
        <w:gridCol w:w="2931"/>
      </w:tblGrid>
      <w:tr w:rsidR="00A3112D" w:rsidRPr="00B74E01" w14:paraId="0D317234" w14:textId="77777777" w:rsidTr="00050088">
        <w:trPr>
          <w:tblHeader/>
          <w:tblCellSpacing w:w="15" w:type="dxa"/>
        </w:trPr>
        <w:tc>
          <w:tcPr>
            <w:tcW w:w="0" w:type="auto"/>
            <w:vAlign w:val="center"/>
            <w:hideMark/>
          </w:tcPr>
          <w:p w14:paraId="2D1D0E0C" w14:textId="77777777" w:rsidR="00A3112D" w:rsidRPr="00B74E01" w:rsidRDefault="00A3112D" w:rsidP="00DC662F">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Risco</w:t>
            </w:r>
          </w:p>
        </w:tc>
        <w:tc>
          <w:tcPr>
            <w:tcW w:w="0" w:type="auto"/>
            <w:vAlign w:val="center"/>
            <w:hideMark/>
          </w:tcPr>
          <w:p w14:paraId="4EB09DDA" w14:textId="77777777" w:rsidR="00A3112D" w:rsidRPr="00B74E01" w:rsidRDefault="00A3112D" w:rsidP="00DC662F">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Alocação recomendada</w:t>
            </w:r>
          </w:p>
        </w:tc>
        <w:tc>
          <w:tcPr>
            <w:tcW w:w="0" w:type="auto"/>
            <w:vAlign w:val="center"/>
            <w:hideMark/>
          </w:tcPr>
          <w:p w14:paraId="68A49693" w14:textId="77777777" w:rsidR="00A3112D" w:rsidRPr="00B74E01" w:rsidRDefault="00A3112D" w:rsidP="00DC662F">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Tratamento</w:t>
            </w:r>
          </w:p>
        </w:tc>
      </w:tr>
      <w:tr w:rsidR="00A3112D" w:rsidRPr="00B74E01" w14:paraId="26A9DAAC" w14:textId="77777777" w:rsidTr="00050088">
        <w:trPr>
          <w:tblCellSpacing w:w="15" w:type="dxa"/>
        </w:trPr>
        <w:tc>
          <w:tcPr>
            <w:tcW w:w="0" w:type="auto"/>
            <w:vAlign w:val="center"/>
            <w:hideMark/>
          </w:tcPr>
          <w:p w14:paraId="3CF6DE7A"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Tecnologia não atingir desempenho prometido</w:t>
            </w:r>
          </w:p>
        </w:tc>
        <w:tc>
          <w:tcPr>
            <w:tcW w:w="0" w:type="auto"/>
            <w:vAlign w:val="center"/>
            <w:hideMark/>
          </w:tcPr>
          <w:p w14:paraId="65C1C0E4"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SPE</w:t>
            </w:r>
          </w:p>
        </w:tc>
        <w:tc>
          <w:tcPr>
            <w:tcW w:w="0" w:type="auto"/>
            <w:vAlign w:val="center"/>
            <w:hideMark/>
          </w:tcPr>
          <w:p w14:paraId="5511CB1C"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Penalidade, glosa ou obrigação de correção</w:t>
            </w:r>
          </w:p>
        </w:tc>
      </w:tr>
      <w:tr w:rsidR="00A3112D" w:rsidRPr="00B74E01" w14:paraId="14D11545" w14:textId="77777777" w:rsidTr="00050088">
        <w:trPr>
          <w:tblCellSpacing w:w="15" w:type="dxa"/>
        </w:trPr>
        <w:tc>
          <w:tcPr>
            <w:tcW w:w="0" w:type="auto"/>
            <w:vAlign w:val="center"/>
            <w:hideMark/>
          </w:tcPr>
          <w:p w14:paraId="5D36C8BB"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Falha de equipamento</w:t>
            </w:r>
          </w:p>
        </w:tc>
        <w:tc>
          <w:tcPr>
            <w:tcW w:w="0" w:type="auto"/>
            <w:vAlign w:val="center"/>
            <w:hideMark/>
          </w:tcPr>
          <w:p w14:paraId="19BF9C61"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SPE</w:t>
            </w:r>
          </w:p>
        </w:tc>
        <w:tc>
          <w:tcPr>
            <w:tcW w:w="0" w:type="auto"/>
            <w:vAlign w:val="center"/>
            <w:hideMark/>
          </w:tcPr>
          <w:p w14:paraId="66DF0509"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Garantia técnica, manutenção e reposição</w:t>
            </w:r>
          </w:p>
        </w:tc>
      </w:tr>
      <w:tr w:rsidR="00A3112D" w:rsidRPr="00B74E01" w14:paraId="5700950E" w14:textId="77777777" w:rsidTr="00050088">
        <w:trPr>
          <w:tblCellSpacing w:w="15" w:type="dxa"/>
        </w:trPr>
        <w:tc>
          <w:tcPr>
            <w:tcW w:w="0" w:type="auto"/>
            <w:vAlign w:val="center"/>
            <w:hideMark/>
          </w:tcPr>
          <w:p w14:paraId="3429BA3B"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Baixa disponibilidade operacional</w:t>
            </w:r>
          </w:p>
        </w:tc>
        <w:tc>
          <w:tcPr>
            <w:tcW w:w="0" w:type="auto"/>
            <w:vAlign w:val="center"/>
            <w:hideMark/>
          </w:tcPr>
          <w:p w14:paraId="3FDA2BD2"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SPE</w:t>
            </w:r>
          </w:p>
        </w:tc>
        <w:tc>
          <w:tcPr>
            <w:tcW w:w="0" w:type="auto"/>
            <w:vAlign w:val="center"/>
            <w:hideMark/>
          </w:tcPr>
          <w:p w14:paraId="2FCFEE95"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Impacto em indicadores e remuneração</w:t>
            </w:r>
          </w:p>
        </w:tc>
      </w:tr>
      <w:tr w:rsidR="00A3112D" w:rsidRPr="00B74E01" w14:paraId="7DCB89BC" w14:textId="77777777" w:rsidTr="00050088">
        <w:trPr>
          <w:tblCellSpacing w:w="15" w:type="dxa"/>
        </w:trPr>
        <w:tc>
          <w:tcPr>
            <w:tcW w:w="0" w:type="auto"/>
            <w:vAlign w:val="center"/>
            <w:hideMark/>
          </w:tcPr>
          <w:p w14:paraId="4C632C80"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Falha no comissionamento</w:t>
            </w:r>
          </w:p>
        </w:tc>
        <w:tc>
          <w:tcPr>
            <w:tcW w:w="0" w:type="auto"/>
            <w:vAlign w:val="center"/>
            <w:hideMark/>
          </w:tcPr>
          <w:p w14:paraId="13AF125B"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SPE</w:t>
            </w:r>
          </w:p>
        </w:tc>
        <w:tc>
          <w:tcPr>
            <w:tcW w:w="0" w:type="auto"/>
            <w:vAlign w:val="center"/>
            <w:hideMark/>
          </w:tcPr>
          <w:p w14:paraId="3E5FD718"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Não autoriza operação plena até correção</w:t>
            </w:r>
          </w:p>
        </w:tc>
      </w:tr>
      <w:tr w:rsidR="00A3112D" w:rsidRPr="00B74E01" w14:paraId="3712EB84" w14:textId="77777777" w:rsidTr="00050088">
        <w:trPr>
          <w:tblCellSpacing w:w="15" w:type="dxa"/>
        </w:trPr>
        <w:tc>
          <w:tcPr>
            <w:tcW w:w="0" w:type="auto"/>
            <w:vAlign w:val="center"/>
            <w:hideMark/>
          </w:tcPr>
          <w:p w14:paraId="046FDF38"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Obsolescência tecnológica ordinária</w:t>
            </w:r>
          </w:p>
        </w:tc>
        <w:tc>
          <w:tcPr>
            <w:tcW w:w="0" w:type="auto"/>
            <w:vAlign w:val="center"/>
            <w:hideMark/>
          </w:tcPr>
          <w:p w14:paraId="52D32CCD"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SPE</w:t>
            </w:r>
          </w:p>
        </w:tc>
        <w:tc>
          <w:tcPr>
            <w:tcW w:w="0" w:type="auto"/>
            <w:vAlign w:val="center"/>
            <w:hideMark/>
          </w:tcPr>
          <w:p w14:paraId="0A6A9CED"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Risco empresarial</w:t>
            </w:r>
          </w:p>
        </w:tc>
      </w:tr>
      <w:tr w:rsidR="00A3112D" w:rsidRPr="00B74E01" w14:paraId="72CC4BB1" w14:textId="77777777" w:rsidTr="00050088">
        <w:trPr>
          <w:tblCellSpacing w:w="15" w:type="dxa"/>
        </w:trPr>
        <w:tc>
          <w:tcPr>
            <w:tcW w:w="0" w:type="auto"/>
            <w:vAlign w:val="center"/>
            <w:hideMark/>
          </w:tcPr>
          <w:p w14:paraId="6BE2025D"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Necessidade de substituição por falha de escolha tecnológica</w:t>
            </w:r>
          </w:p>
        </w:tc>
        <w:tc>
          <w:tcPr>
            <w:tcW w:w="0" w:type="auto"/>
            <w:vAlign w:val="center"/>
            <w:hideMark/>
          </w:tcPr>
          <w:p w14:paraId="58819AB3"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SPE</w:t>
            </w:r>
          </w:p>
        </w:tc>
        <w:tc>
          <w:tcPr>
            <w:tcW w:w="0" w:type="auto"/>
            <w:vAlign w:val="center"/>
            <w:hideMark/>
          </w:tcPr>
          <w:p w14:paraId="7F18BB09"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Sem reequilíbrio automático</w:t>
            </w:r>
          </w:p>
        </w:tc>
      </w:tr>
      <w:tr w:rsidR="00A3112D" w:rsidRPr="00B74E01" w14:paraId="3FC75FA5" w14:textId="77777777" w:rsidTr="00050088">
        <w:trPr>
          <w:tblCellSpacing w:w="15" w:type="dxa"/>
        </w:trPr>
        <w:tc>
          <w:tcPr>
            <w:tcW w:w="0" w:type="auto"/>
            <w:vAlign w:val="center"/>
            <w:hideMark/>
          </w:tcPr>
          <w:p w14:paraId="2280B638"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lastRenderedPageBreak/>
              <w:t>Alteração tecnológica exigida pelo Poder Concedente</w:t>
            </w:r>
          </w:p>
        </w:tc>
        <w:tc>
          <w:tcPr>
            <w:tcW w:w="0" w:type="auto"/>
            <w:vAlign w:val="center"/>
            <w:hideMark/>
          </w:tcPr>
          <w:p w14:paraId="3EDB51FE"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Poder Concedente</w:t>
            </w:r>
          </w:p>
        </w:tc>
        <w:tc>
          <w:tcPr>
            <w:tcW w:w="0" w:type="auto"/>
            <w:vAlign w:val="center"/>
            <w:hideMark/>
          </w:tcPr>
          <w:p w14:paraId="7EE55A55"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Pode gerar reequilíbrio</w:t>
            </w:r>
          </w:p>
        </w:tc>
      </w:tr>
      <w:tr w:rsidR="00A3112D" w:rsidRPr="00B74E01" w14:paraId="02D67409" w14:textId="77777777" w:rsidTr="00050088">
        <w:trPr>
          <w:tblCellSpacing w:w="15" w:type="dxa"/>
        </w:trPr>
        <w:tc>
          <w:tcPr>
            <w:tcW w:w="0" w:type="auto"/>
            <w:vAlign w:val="center"/>
            <w:hideMark/>
          </w:tcPr>
          <w:p w14:paraId="5EAD2504"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Exigência regulatória extraordinária superveniente</w:t>
            </w:r>
          </w:p>
        </w:tc>
        <w:tc>
          <w:tcPr>
            <w:tcW w:w="0" w:type="auto"/>
            <w:vAlign w:val="center"/>
            <w:hideMark/>
          </w:tcPr>
          <w:p w14:paraId="3371EFC2"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Avaliar caso concreto</w:t>
            </w:r>
          </w:p>
        </w:tc>
        <w:tc>
          <w:tcPr>
            <w:tcW w:w="0" w:type="auto"/>
            <w:vAlign w:val="center"/>
            <w:hideMark/>
          </w:tcPr>
          <w:p w14:paraId="3507AF22"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Conforme impacto e matriz</w:t>
            </w:r>
          </w:p>
        </w:tc>
      </w:tr>
    </w:tbl>
    <w:p w14:paraId="782E3816"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O edital deverá exigir comprovação técnica, garantias de desempenho, operação assistida por 1 ano, treinamento, manuais, assistência técnica e responsabilidade pela integração do sistema.</w:t>
      </w:r>
    </w:p>
    <w:p w14:paraId="1C8B7634" w14:textId="77777777" w:rsidR="00A3112D" w:rsidRPr="00B74E01" w:rsidRDefault="00A3112D" w:rsidP="00DC662F">
      <w:pPr>
        <w:pStyle w:val="Ttulo2"/>
        <w:rPr>
          <w:rFonts w:eastAsia="Times New Roman"/>
          <w:lang w:eastAsia="pt-BR"/>
        </w:rPr>
      </w:pPr>
      <w:bookmarkStart w:id="208" w:name="_Toc230204210"/>
      <w:r w:rsidRPr="00B74E01">
        <w:rPr>
          <w:rFonts w:eastAsia="Times New Roman"/>
          <w:lang w:eastAsia="pt-BR"/>
        </w:rPr>
        <w:t>16.8. Riscos ambientais e de licenciamento</w:t>
      </w:r>
      <w:bookmarkEnd w:id="208"/>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386"/>
        <w:gridCol w:w="2347"/>
        <w:gridCol w:w="3328"/>
      </w:tblGrid>
      <w:tr w:rsidR="00A3112D" w:rsidRPr="00B74E01" w14:paraId="0EA0A7B0" w14:textId="77777777" w:rsidTr="00050088">
        <w:trPr>
          <w:tblHeader/>
          <w:tblCellSpacing w:w="15" w:type="dxa"/>
        </w:trPr>
        <w:tc>
          <w:tcPr>
            <w:tcW w:w="0" w:type="auto"/>
            <w:vAlign w:val="center"/>
            <w:hideMark/>
          </w:tcPr>
          <w:p w14:paraId="2D42735F" w14:textId="77777777" w:rsidR="00A3112D" w:rsidRPr="00B74E01" w:rsidRDefault="00A3112D" w:rsidP="00DC662F">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Risco</w:t>
            </w:r>
          </w:p>
        </w:tc>
        <w:tc>
          <w:tcPr>
            <w:tcW w:w="0" w:type="auto"/>
            <w:vAlign w:val="center"/>
            <w:hideMark/>
          </w:tcPr>
          <w:p w14:paraId="6950CC1D" w14:textId="77777777" w:rsidR="00A3112D" w:rsidRPr="00B74E01" w:rsidRDefault="00A3112D" w:rsidP="00DC662F">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Alocação recomendada</w:t>
            </w:r>
          </w:p>
        </w:tc>
        <w:tc>
          <w:tcPr>
            <w:tcW w:w="0" w:type="auto"/>
            <w:vAlign w:val="center"/>
            <w:hideMark/>
          </w:tcPr>
          <w:p w14:paraId="5BB3751C" w14:textId="77777777" w:rsidR="00A3112D" w:rsidRPr="00B74E01" w:rsidRDefault="00A3112D" w:rsidP="00DC662F">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Tratamento</w:t>
            </w:r>
          </w:p>
        </w:tc>
      </w:tr>
      <w:tr w:rsidR="00A3112D" w:rsidRPr="00B74E01" w14:paraId="4BAF2282" w14:textId="77777777" w:rsidTr="00050088">
        <w:trPr>
          <w:tblCellSpacing w:w="15" w:type="dxa"/>
        </w:trPr>
        <w:tc>
          <w:tcPr>
            <w:tcW w:w="0" w:type="auto"/>
            <w:vAlign w:val="center"/>
            <w:hideMark/>
          </w:tcPr>
          <w:p w14:paraId="444DCFB9"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Licenciamento ordinário da planta</w:t>
            </w:r>
          </w:p>
        </w:tc>
        <w:tc>
          <w:tcPr>
            <w:tcW w:w="0" w:type="auto"/>
            <w:vAlign w:val="center"/>
            <w:hideMark/>
          </w:tcPr>
          <w:p w14:paraId="7826BC4D"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SPE</w:t>
            </w:r>
          </w:p>
        </w:tc>
        <w:tc>
          <w:tcPr>
            <w:tcW w:w="0" w:type="auto"/>
            <w:vAlign w:val="center"/>
            <w:hideMark/>
          </w:tcPr>
          <w:p w14:paraId="0112DCD9"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Responsabilidade da concessionária</w:t>
            </w:r>
          </w:p>
        </w:tc>
      </w:tr>
      <w:tr w:rsidR="00A3112D" w:rsidRPr="00B74E01" w14:paraId="444DD49C" w14:textId="77777777" w:rsidTr="00050088">
        <w:trPr>
          <w:tblCellSpacing w:w="15" w:type="dxa"/>
        </w:trPr>
        <w:tc>
          <w:tcPr>
            <w:tcW w:w="0" w:type="auto"/>
            <w:vAlign w:val="center"/>
            <w:hideMark/>
          </w:tcPr>
          <w:p w14:paraId="18CBBF7B"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Cumprimento de condicionantes ambientais</w:t>
            </w:r>
          </w:p>
        </w:tc>
        <w:tc>
          <w:tcPr>
            <w:tcW w:w="0" w:type="auto"/>
            <w:vAlign w:val="center"/>
            <w:hideMark/>
          </w:tcPr>
          <w:p w14:paraId="5B7D7FFD"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SPE</w:t>
            </w:r>
          </w:p>
        </w:tc>
        <w:tc>
          <w:tcPr>
            <w:tcW w:w="0" w:type="auto"/>
            <w:vAlign w:val="center"/>
            <w:hideMark/>
          </w:tcPr>
          <w:p w14:paraId="78A3F07D"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Obrigação operacional</w:t>
            </w:r>
          </w:p>
        </w:tc>
      </w:tr>
      <w:tr w:rsidR="00A3112D" w:rsidRPr="00B74E01" w14:paraId="45014E55" w14:textId="77777777" w:rsidTr="00050088">
        <w:trPr>
          <w:tblCellSpacing w:w="15" w:type="dxa"/>
        </w:trPr>
        <w:tc>
          <w:tcPr>
            <w:tcW w:w="0" w:type="auto"/>
            <w:vAlign w:val="center"/>
            <w:hideMark/>
          </w:tcPr>
          <w:p w14:paraId="78E23F68"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Falha em controle ambiental</w:t>
            </w:r>
          </w:p>
        </w:tc>
        <w:tc>
          <w:tcPr>
            <w:tcW w:w="0" w:type="auto"/>
            <w:vAlign w:val="center"/>
            <w:hideMark/>
          </w:tcPr>
          <w:p w14:paraId="1AA777B6"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SPE</w:t>
            </w:r>
          </w:p>
        </w:tc>
        <w:tc>
          <w:tcPr>
            <w:tcW w:w="0" w:type="auto"/>
            <w:vAlign w:val="center"/>
            <w:hideMark/>
          </w:tcPr>
          <w:p w14:paraId="25A84F92"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Penalidade, correção e possível glosa</w:t>
            </w:r>
          </w:p>
        </w:tc>
      </w:tr>
      <w:tr w:rsidR="00A3112D" w:rsidRPr="00B74E01" w14:paraId="67D25C0A" w14:textId="77777777" w:rsidTr="00050088">
        <w:trPr>
          <w:tblCellSpacing w:w="15" w:type="dxa"/>
        </w:trPr>
        <w:tc>
          <w:tcPr>
            <w:tcW w:w="0" w:type="auto"/>
            <w:vAlign w:val="center"/>
            <w:hideMark/>
          </w:tcPr>
          <w:p w14:paraId="5E26F8DB"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Emissões acima do permitido</w:t>
            </w:r>
          </w:p>
        </w:tc>
        <w:tc>
          <w:tcPr>
            <w:tcW w:w="0" w:type="auto"/>
            <w:vAlign w:val="center"/>
            <w:hideMark/>
          </w:tcPr>
          <w:p w14:paraId="1825CB91"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SPE</w:t>
            </w:r>
          </w:p>
        </w:tc>
        <w:tc>
          <w:tcPr>
            <w:tcW w:w="0" w:type="auto"/>
            <w:vAlign w:val="center"/>
            <w:hideMark/>
          </w:tcPr>
          <w:p w14:paraId="7CFF43A0"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Responsabilidade técnica e ambiental</w:t>
            </w:r>
          </w:p>
        </w:tc>
      </w:tr>
      <w:tr w:rsidR="00A3112D" w:rsidRPr="00B74E01" w14:paraId="70B26E72" w14:textId="77777777" w:rsidTr="00050088">
        <w:trPr>
          <w:tblCellSpacing w:w="15" w:type="dxa"/>
        </w:trPr>
        <w:tc>
          <w:tcPr>
            <w:tcW w:w="0" w:type="auto"/>
            <w:vAlign w:val="center"/>
            <w:hideMark/>
          </w:tcPr>
          <w:p w14:paraId="0C21E2D9"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Multa por falha operacional</w:t>
            </w:r>
          </w:p>
        </w:tc>
        <w:tc>
          <w:tcPr>
            <w:tcW w:w="0" w:type="auto"/>
            <w:vAlign w:val="center"/>
            <w:hideMark/>
          </w:tcPr>
          <w:p w14:paraId="0B0851F0"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SPE</w:t>
            </w:r>
          </w:p>
        </w:tc>
        <w:tc>
          <w:tcPr>
            <w:tcW w:w="0" w:type="auto"/>
            <w:vAlign w:val="center"/>
            <w:hideMark/>
          </w:tcPr>
          <w:p w14:paraId="593C1304"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Risco da concessionária</w:t>
            </w:r>
          </w:p>
        </w:tc>
      </w:tr>
      <w:tr w:rsidR="00A3112D" w:rsidRPr="00B74E01" w14:paraId="406CEB14" w14:textId="77777777" w:rsidTr="00050088">
        <w:trPr>
          <w:tblCellSpacing w:w="15" w:type="dxa"/>
        </w:trPr>
        <w:tc>
          <w:tcPr>
            <w:tcW w:w="0" w:type="auto"/>
            <w:vAlign w:val="center"/>
            <w:hideMark/>
          </w:tcPr>
          <w:p w14:paraId="0843FE22"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Área pública com impedimento oculto anterior</w:t>
            </w:r>
          </w:p>
        </w:tc>
        <w:tc>
          <w:tcPr>
            <w:tcW w:w="0" w:type="auto"/>
            <w:vAlign w:val="center"/>
            <w:hideMark/>
          </w:tcPr>
          <w:p w14:paraId="3379156D"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Poder Concedente</w:t>
            </w:r>
          </w:p>
        </w:tc>
        <w:tc>
          <w:tcPr>
            <w:tcW w:w="0" w:type="auto"/>
            <w:vAlign w:val="center"/>
            <w:hideMark/>
          </w:tcPr>
          <w:p w14:paraId="4737BD7B"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Pode gerar reequilíbrio ou recomposição de prazo</w:t>
            </w:r>
          </w:p>
        </w:tc>
      </w:tr>
      <w:tr w:rsidR="00A3112D" w:rsidRPr="00B74E01" w14:paraId="582A0D5D" w14:textId="77777777" w:rsidTr="00050088">
        <w:trPr>
          <w:tblCellSpacing w:w="15" w:type="dxa"/>
        </w:trPr>
        <w:tc>
          <w:tcPr>
            <w:tcW w:w="0" w:type="auto"/>
            <w:vAlign w:val="center"/>
            <w:hideMark/>
          </w:tcPr>
          <w:p w14:paraId="2D833E7A"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Atraso por ausência de documentos públicos essenciais</w:t>
            </w:r>
          </w:p>
        </w:tc>
        <w:tc>
          <w:tcPr>
            <w:tcW w:w="0" w:type="auto"/>
            <w:vAlign w:val="center"/>
            <w:hideMark/>
          </w:tcPr>
          <w:p w14:paraId="1F008A7D"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Poder Concedente</w:t>
            </w:r>
          </w:p>
        </w:tc>
        <w:tc>
          <w:tcPr>
            <w:tcW w:w="0" w:type="auto"/>
            <w:vAlign w:val="center"/>
            <w:hideMark/>
          </w:tcPr>
          <w:p w14:paraId="72CDB1C7"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Conforme matriz</w:t>
            </w:r>
          </w:p>
        </w:tc>
      </w:tr>
      <w:tr w:rsidR="00A3112D" w:rsidRPr="00B74E01" w14:paraId="6404D749" w14:textId="77777777" w:rsidTr="00050088">
        <w:trPr>
          <w:tblCellSpacing w:w="15" w:type="dxa"/>
        </w:trPr>
        <w:tc>
          <w:tcPr>
            <w:tcW w:w="0" w:type="auto"/>
            <w:vAlign w:val="center"/>
            <w:hideMark/>
          </w:tcPr>
          <w:p w14:paraId="604F7C2E"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Mudança normativa ambiental extraordinária</w:t>
            </w:r>
          </w:p>
        </w:tc>
        <w:tc>
          <w:tcPr>
            <w:tcW w:w="0" w:type="auto"/>
            <w:vAlign w:val="center"/>
            <w:hideMark/>
          </w:tcPr>
          <w:p w14:paraId="645BD0EB"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 xml:space="preserve">Compartilhado ou </w:t>
            </w:r>
            <w:proofErr w:type="spellStart"/>
            <w:r w:rsidRPr="00B74E01">
              <w:rPr>
                <w:rFonts w:eastAsia="Times New Roman" w:cs="Arial"/>
                <w:kern w:val="0"/>
                <w:lang w:eastAsia="pt-BR"/>
                <w14:ligatures w14:val="none"/>
              </w:rPr>
              <w:t>reequilibrável</w:t>
            </w:r>
            <w:proofErr w:type="spellEnd"/>
          </w:p>
        </w:tc>
        <w:tc>
          <w:tcPr>
            <w:tcW w:w="0" w:type="auto"/>
            <w:vAlign w:val="center"/>
            <w:hideMark/>
          </w:tcPr>
          <w:p w14:paraId="316AA9E7"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Avaliar impacto específico</w:t>
            </w:r>
          </w:p>
        </w:tc>
      </w:tr>
    </w:tbl>
    <w:p w14:paraId="28C3F997"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lastRenderedPageBreak/>
        <w:t>O licenciamento deve ser responsabilidade da SPE no que se refere à implantação e operação da planta, mas o Município deve responder pela regularidade da área disponibilizada e pelas informações públicas sob seu controle.</w:t>
      </w:r>
    </w:p>
    <w:p w14:paraId="31E03C97" w14:textId="77777777" w:rsidR="00A3112D" w:rsidRPr="00B74E01" w:rsidRDefault="00A3112D" w:rsidP="00DC662F">
      <w:pPr>
        <w:pStyle w:val="Ttulo2"/>
        <w:rPr>
          <w:rFonts w:eastAsia="Times New Roman"/>
          <w:lang w:eastAsia="pt-BR"/>
        </w:rPr>
      </w:pPr>
      <w:bookmarkStart w:id="209" w:name="_Toc230204211"/>
      <w:r w:rsidRPr="00B74E01">
        <w:rPr>
          <w:rFonts w:eastAsia="Times New Roman"/>
          <w:lang w:eastAsia="pt-BR"/>
        </w:rPr>
        <w:t>16.9. Riscos regulatórios da energia</w:t>
      </w:r>
      <w:bookmarkEnd w:id="209"/>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811"/>
        <w:gridCol w:w="2376"/>
        <w:gridCol w:w="2874"/>
      </w:tblGrid>
      <w:tr w:rsidR="00A3112D" w:rsidRPr="00B74E01" w14:paraId="39366D27" w14:textId="77777777" w:rsidTr="00050088">
        <w:trPr>
          <w:tblHeader/>
          <w:tblCellSpacing w:w="15" w:type="dxa"/>
        </w:trPr>
        <w:tc>
          <w:tcPr>
            <w:tcW w:w="0" w:type="auto"/>
            <w:vAlign w:val="center"/>
            <w:hideMark/>
          </w:tcPr>
          <w:p w14:paraId="02812D26" w14:textId="77777777" w:rsidR="00A3112D" w:rsidRPr="00B74E01" w:rsidRDefault="00A3112D" w:rsidP="00DC662F">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Risco</w:t>
            </w:r>
          </w:p>
        </w:tc>
        <w:tc>
          <w:tcPr>
            <w:tcW w:w="0" w:type="auto"/>
            <w:vAlign w:val="center"/>
            <w:hideMark/>
          </w:tcPr>
          <w:p w14:paraId="30ADC3F0" w14:textId="77777777" w:rsidR="00A3112D" w:rsidRPr="00B74E01" w:rsidRDefault="00A3112D" w:rsidP="00DC662F">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Alocação recomendada</w:t>
            </w:r>
          </w:p>
        </w:tc>
        <w:tc>
          <w:tcPr>
            <w:tcW w:w="0" w:type="auto"/>
            <w:vAlign w:val="center"/>
            <w:hideMark/>
          </w:tcPr>
          <w:p w14:paraId="1542A812" w14:textId="77777777" w:rsidR="00A3112D" w:rsidRPr="00B74E01" w:rsidRDefault="00A3112D" w:rsidP="00DC662F">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Tratamento</w:t>
            </w:r>
          </w:p>
        </w:tc>
      </w:tr>
      <w:tr w:rsidR="00A3112D" w:rsidRPr="00B74E01" w14:paraId="497703E8" w14:textId="77777777" w:rsidTr="00050088">
        <w:trPr>
          <w:tblCellSpacing w:w="15" w:type="dxa"/>
        </w:trPr>
        <w:tc>
          <w:tcPr>
            <w:tcW w:w="0" w:type="auto"/>
            <w:vAlign w:val="center"/>
            <w:hideMark/>
          </w:tcPr>
          <w:p w14:paraId="7806529C"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Enquadramento inadequado da solução energética proposta</w:t>
            </w:r>
          </w:p>
        </w:tc>
        <w:tc>
          <w:tcPr>
            <w:tcW w:w="0" w:type="auto"/>
            <w:vAlign w:val="center"/>
            <w:hideMark/>
          </w:tcPr>
          <w:p w14:paraId="259C2050"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SPE</w:t>
            </w:r>
          </w:p>
        </w:tc>
        <w:tc>
          <w:tcPr>
            <w:tcW w:w="0" w:type="auto"/>
            <w:vAlign w:val="center"/>
            <w:hideMark/>
          </w:tcPr>
          <w:p w14:paraId="7190576E"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Deve ser validado pelo licitante</w:t>
            </w:r>
          </w:p>
        </w:tc>
      </w:tr>
      <w:tr w:rsidR="00A3112D" w:rsidRPr="00B74E01" w14:paraId="4E46484D" w14:textId="77777777" w:rsidTr="00050088">
        <w:trPr>
          <w:tblCellSpacing w:w="15" w:type="dxa"/>
        </w:trPr>
        <w:tc>
          <w:tcPr>
            <w:tcW w:w="0" w:type="auto"/>
            <w:vAlign w:val="center"/>
            <w:hideMark/>
          </w:tcPr>
          <w:p w14:paraId="75DDB950"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Falha na estrutura de medição ou disponibilidade</w:t>
            </w:r>
          </w:p>
        </w:tc>
        <w:tc>
          <w:tcPr>
            <w:tcW w:w="0" w:type="auto"/>
            <w:vAlign w:val="center"/>
            <w:hideMark/>
          </w:tcPr>
          <w:p w14:paraId="561B30B1"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SPE</w:t>
            </w:r>
          </w:p>
        </w:tc>
        <w:tc>
          <w:tcPr>
            <w:tcW w:w="0" w:type="auto"/>
            <w:vAlign w:val="center"/>
            <w:hideMark/>
          </w:tcPr>
          <w:p w14:paraId="6C27CF3D"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Pode gerar glosa</w:t>
            </w:r>
          </w:p>
        </w:tc>
      </w:tr>
      <w:tr w:rsidR="00A3112D" w:rsidRPr="00B74E01" w14:paraId="795D5399" w14:textId="77777777" w:rsidTr="00050088">
        <w:trPr>
          <w:tblCellSpacing w:w="15" w:type="dxa"/>
        </w:trPr>
        <w:tc>
          <w:tcPr>
            <w:tcW w:w="0" w:type="auto"/>
            <w:vAlign w:val="center"/>
            <w:hideMark/>
          </w:tcPr>
          <w:p w14:paraId="79509699"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Indisponibilidade energética por falha da planta</w:t>
            </w:r>
          </w:p>
        </w:tc>
        <w:tc>
          <w:tcPr>
            <w:tcW w:w="0" w:type="auto"/>
            <w:vAlign w:val="center"/>
            <w:hideMark/>
          </w:tcPr>
          <w:p w14:paraId="23AE699D"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SPE</w:t>
            </w:r>
          </w:p>
        </w:tc>
        <w:tc>
          <w:tcPr>
            <w:tcW w:w="0" w:type="auto"/>
            <w:vAlign w:val="center"/>
            <w:hideMark/>
          </w:tcPr>
          <w:p w14:paraId="75167397"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Impacto na remuneração</w:t>
            </w:r>
          </w:p>
        </w:tc>
      </w:tr>
      <w:tr w:rsidR="00A3112D" w:rsidRPr="00B74E01" w14:paraId="1F2DAAA8" w14:textId="77777777" w:rsidTr="00050088">
        <w:trPr>
          <w:tblCellSpacing w:w="15" w:type="dxa"/>
        </w:trPr>
        <w:tc>
          <w:tcPr>
            <w:tcW w:w="0" w:type="auto"/>
            <w:vAlign w:val="center"/>
            <w:hideMark/>
          </w:tcPr>
          <w:p w14:paraId="0C5D1C95"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Alteração regulatória ordinária do setor</w:t>
            </w:r>
          </w:p>
        </w:tc>
        <w:tc>
          <w:tcPr>
            <w:tcW w:w="0" w:type="auto"/>
            <w:vAlign w:val="center"/>
            <w:hideMark/>
          </w:tcPr>
          <w:p w14:paraId="6B1E2750"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SPE</w:t>
            </w:r>
          </w:p>
        </w:tc>
        <w:tc>
          <w:tcPr>
            <w:tcW w:w="0" w:type="auto"/>
            <w:vAlign w:val="center"/>
            <w:hideMark/>
          </w:tcPr>
          <w:p w14:paraId="7ED72830"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Risco empresarial, salvo previsão contratual</w:t>
            </w:r>
          </w:p>
        </w:tc>
      </w:tr>
      <w:tr w:rsidR="00A3112D" w:rsidRPr="00B74E01" w14:paraId="367DE7FE" w14:textId="77777777" w:rsidTr="00050088">
        <w:trPr>
          <w:tblCellSpacing w:w="15" w:type="dxa"/>
        </w:trPr>
        <w:tc>
          <w:tcPr>
            <w:tcW w:w="0" w:type="auto"/>
            <w:vAlign w:val="center"/>
            <w:hideMark/>
          </w:tcPr>
          <w:p w14:paraId="35F8B431"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Alteração regulatória extraordinária e específica</w:t>
            </w:r>
          </w:p>
        </w:tc>
        <w:tc>
          <w:tcPr>
            <w:tcW w:w="0" w:type="auto"/>
            <w:vAlign w:val="center"/>
            <w:hideMark/>
          </w:tcPr>
          <w:p w14:paraId="21258861"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Avaliar caso concreto</w:t>
            </w:r>
          </w:p>
        </w:tc>
        <w:tc>
          <w:tcPr>
            <w:tcW w:w="0" w:type="auto"/>
            <w:vAlign w:val="center"/>
            <w:hideMark/>
          </w:tcPr>
          <w:p w14:paraId="37EDBD24"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Possível reequilíbrio</w:t>
            </w:r>
          </w:p>
        </w:tc>
      </w:tr>
      <w:tr w:rsidR="00A3112D" w:rsidRPr="00B74E01" w14:paraId="46EF09EC" w14:textId="77777777" w:rsidTr="00050088">
        <w:trPr>
          <w:tblCellSpacing w:w="15" w:type="dxa"/>
        </w:trPr>
        <w:tc>
          <w:tcPr>
            <w:tcW w:w="0" w:type="auto"/>
            <w:vAlign w:val="center"/>
            <w:hideMark/>
          </w:tcPr>
          <w:p w14:paraId="1739D3EB"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Impedimento decorrente de ato do Poder Concedente</w:t>
            </w:r>
          </w:p>
        </w:tc>
        <w:tc>
          <w:tcPr>
            <w:tcW w:w="0" w:type="auto"/>
            <w:vAlign w:val="center"/>
            <w:hideMark/>
          </w:tcPr>
          <w:p w14:paraId="20838D47"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Poder Concedente</w:t>
            </w:r>
          </w:p>
        </w:tc>
        <w:tc>
          <w:tcPr>
            <w:tcW w:w="0" w:type="auto"/>
            <w:vAlign w:val="center"/>
            <w:hideMark/>
          </w:tcPr>
          <w:p w14:paraId="71CFAB64"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Pode gerar reequilíbrio</w:t>
            </w:r>
          </w:p>
        </w:tc>
      </w:tr>
      <w:tr w:rsidR="00A3112D" w:rsidRPr="00B74E01" w14:paraId="1CF7CD04" w14:textId="77777777" w:rsidTr="00050088">
        <w:trPr>
          <w:tblCellSpacing w:w="15" w:type="dxa"/>
        </w:trPr>
        <w:tc>
          <w:tcPr>
            <w:tcW w:w="0" w:type="auto"/>
            <w:vAlign w:val="center"/>
            <w:hideMark/>
          </w:tcPr>
          <w:p w14:paraId="5B5C8078"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Questionamento por formulação contratual inadequada</w:t>
            </w:r>
          </w:p>
        </w:tc>
        <w:tc>
          <w:tcPr>
            <w:tcW w:w="0" w:type="auto"/>
            <w:vAlign w:val="center"/>
            <w:hideMark/>
          </w:tcPr>
          <w:p w14:paraId="06B95E5A"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Compartilhado conforme causa</w:t>
            </w:r>
          </w:p>
        </w:tc>
        <w:tc>
          <w:tcPr>
            <w:tcW w:w="0" w:type="auto"/>
            <w:vAlign w:val="center"/>
            <w:hideMark/>
          </w:tcPr>
          <w:p w14:paraId="1065659C"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Exige parecer jurídico-regulatório</w:t>
            </w:r>
          </w:p>
        </w:tc>
      </w:tr>
    </w:tbl>
    <w:p w14:paraId="6980E6E5"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rubrica energética deverá ser redigida como disponibilização de capacidade energética renovável no âmbito da solução integrada da PPP, evitando exposição desnecessária a questionamentos sobre venda direta de energia.</w:t>
      </w:r>
    </w:p>
    <w:p w14:paraId="1CBCBA61" w14:textId="77777777" w:rsidR="00DC662F" w:rsidRDefault="00DC662F" w:rsidP="00B74E01">
      <w:pPr>
        <w:spacing w:before="100" w:beforeAutospacing="1" w:after="100" w:afterAutospacing="1" w:line="360" w:lineRule="auto"/>
        <w:ind w:firstLine="709"/>
        <w:jc w:val="both"/>
        <w:outlineLvl w:val="1"/>
        <w:rPr>
          <w:rFonts w:eastAsia="Times New Roman" w:cs="Arial"/>
          <w:b/>
          <w:bCs/>
          <w:kern w:val="0"/>
          <w:lang w:eastAsia="pt-BR"/>
          <w14:ligatures w14:val="none"/>
        </w:rPr>
      </w:pPr>
    </w:p>
    <w:p w14:paraId="2B2FEBBF" w14:textId="77777777" w:rsidR="00DC662F" w:rsidRDefault="00DC662F" w:rsidP="00B74E01">
      <w:pPr>
        <w:spacing w:before="100" w:beforeAutospacing="1" w:after="100" w:afterAutospacing="1" w:line="360" w:lineRule="auto"/>
        <w:ind w:firstLine="709"/>
        <w:jc w:val="both"/>
        <w:outlineLvl w:val="1"/>
        <w:rPr>
          <w:rFonts w:eastAsia="Times New Roman" w:cs="Arial"/>
          <w:b/>
          <w:bCs/>
          <w:kern w:val="0"/>
          <w:lang w:eastAsia="pt-BR"/>
          <w14:ligatures w14:val="none"/>
        </w:rPr>
      </w:pPr>
    </w:p>
    <w:p w14:paraId="3F439A5B" w14:textId="77777777" w:rsidR="00DC662F" w:rsidRDefault="00DC662F" w:rsidP="00B74E01">
      <w:pPr>
        <w:spacing w:before="100" w:beforeAutospacing="1" w:after="100" w:afterAutospacing="1" w:line="360" w:lineRule="auto"/>
        <w:ind w:firstLine="709"/>
        <w:jc w:val="both"/>
        <w:outlineLvl w:val="1"/>
        <w:rPr>
          <w:rFonts w:eastAsia="Times New Roman" w:cs="Arial"/>
          <w:b/>
          <w:bCs/>
          <w:kern w:val="0"/>
          <w:lang w:eastAsia="pt-BR"/>
          <w14:ligatures w14:val="none"/>
        </w:rPr>
      </w:pPr>
    </w:p>
    <w:p w14:paraId="5B10B557" w14:textId="77777777" w:rsidR="00DC662F" w:rsidRDefault="00DC662F" w:rsidP="00B74E01">
      <w:pPr>
        <w:spacing w:before="100" w:beforeAutospacing="1" w:after="100" w:afterAutospacing="1" w:line="360" w:lineRule="auto"/>
        <w:ind w:firstLine="709"/>
        <w:jc w:val="both"/>
        <w:outlineLvl w:val="1"/>
        <w:rPr>
          <w:rFonts w:eastAsia="Times New Roman" w:cs="Arial"/>
          <w:b/>
          <w:bCs/>
          <w:kern w:val="0"/>
          <w:lang w:eastAsia="pt-BR"/>
          <w14:ligatures w14:val="none"/>
        </w:rPr>
      </w:pPr>
    </w:p>
    <w:p w14:paraId="19A8AAA3" w14:textId="1F856216" w:rsidR="00A3112D" w:rsidRPr="00B74E01" w:rsidRDefault="00A3112D" w:rsidP="00DC662F">
      <w:pPr>
        <w:pStyle w:val="Ttulo2"/>
        <w:rPr>
          <w:rFonts w:eastAsia="Times New Roman"/>
          <w:lang w:eastAsia="pt-BR"/>
        </w:rPr>
      </w:pPr>
      <w:bookmarkStart w:id="210" w:name="_Toc230204212"/>
      <w:r w:rsidRPr="00B74E01">
        <w:rPr>
          <w:rFonts w:eastAsia="Times New Roman"/>
          <w:lang w:eastAsia="pt-BR"/>
        </w:rPr>
        <w:lastRenderedPageBreak/>
        <w:t>16.10. Riscos de demanda e volume de RSU</w:t>
      </w:r>
      <w:bookmarkEnd w:id="210"/>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809"/>
        <w:gridCol w:w="2839"/>
        <w:gridCol w:w="2413"/>
      </w:tblGrid>
      <w:tr w:rsidR="00A3112D" w:rsidRPr="00B74E01" w14:paraId="228AE066" w14:textId="77777777" w:rsidTr="00050088">
        <w:trPr>
          <w:tblHeader/>
          <w:tblCellSpacing w:w="15" w:type="dxa"/>
        </w:trPr>
        <w:tc>
          <w:tcPr>
            <w:tcW w:w="0" w:type="auto"/>
            <w:vAlign w:val="center"/>
            <w:hideMark/>
          </w:tcPr>
          <w:p w14:paraId="76A6E276" w14:textId="77777777" w:rsidR="00A3112D" w:rsidRPr="00B74E01" w:rsidRDefault="00A3112D" w:rsidP="00DC662F">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Risco</w:t>
            </w:r>
          </w:p>
        </w:tc>
        <w:tc>
          <w:tcPr>
            <w:tcW w:w="0" w:type="auto"/>
            <w:vAlign w:val="center"/>
            <w:hideMark/>
          </w:tcPr>
          <w:p w14:paraId="7B4AD25B" w14:textId="77777777" w:rsidR="00A3112D" w:rsidRPr="00B74E01" w:rsidRDefault="00A3112D" w:rsidP="00DC662F">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Alocação recomendada</w:t>
            </w:r>
          </w:p>
        </w:tc>
        <w:tc>
          <w:tcPr>
            <w:tcW w:w="0" w:type="auto"/>
            <w:vAlign w:val="center"/>
            <w:hideMark/>
          </w:tcPr>
          <w:p w14:paraId="0074F941" w14:textId="77777777" w:rsidR="00A3112D" w:rsidRPr="00B74E01" w:rsidRDefault="00A3112D" w:rsidP="00DC662F">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Tratamento</w:t>
            </w:r>
          </w:p>
        </w:tc>
      </w:tr>
      <w:tr w:rsidR="00A3112D" w:rsidRPr="00B74E01" w14:paraId="54276695" w14:textId="77777777" w:rsidTr="00050088">
        <w:trPr>
          <w:tblCellSpacing w:w="15" w:type="dxa"/>
        </w:trPr>
        <w:tc>
          <w:tcPr>
            <w:tcW w:w="0" w:type="auto"/>
            <w:vAlign w:val="center"/>
            <w:hideMark/>
          </w:tcPr>
          <w:p w14:paraId="44CF5BDB"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Volume entregue inferior a 80 t/dia por decisão municipal</w:t>
            </w:r>
          </w:p>
        </w:tc>
        <w:tc>
          <w:tcPr>
            <w:tcW w:w="0" w:type="auto"/>
            <w:vAlign w:val="center"/>
            <w:hideMark/>
          </w:tcPr>
          <w:p w14:paraId="6203CBBE"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Poder Concedente</w:t>
            </w:r>
          </w:p>
        </w:tc>
        <w:tc>
          <w:tcPr>
            <w:tcW w:w="0" w:type="auto"/>
            <w:vAlign w:val="center"/>
            <w:hideMark/>
          </w:tcPr>
          <w:p w14:paraId="46AC1ED3"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Mantém faturamento mínimo</w:t>
            </w:r>
          </w:p>
        </w:tc>
      </w:tr>
      <w:tr w:rsidR="00A3112D" w:rsidRPr="00B74E01" w14:paraId="5618016A" w14:textId="77777777" w:rsidTr="00050088">
        <w:trPr>
          <w:tblCellSpacing w:w="15" w:type="dxa"/>
        </w:trPr>
        <w:tc>
          <w:tcPr>
            <w:tcW w:w="0" w:type="auto"/>
            <w:vAlign w:val="center"/>
            <w:hideMark/>
          </w:tcPr>
          <w:p w14:paraId="06974B7B"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Volume inferior por sazonalidade ordinária</w:t>
            </w:r>
          </w:p>
        </w:tc>
        <w:tc>
          <w:tcPr>
            <w:tcW w:w="0" w:type="auto"/>
            <w:vAlign w:val="center"/>
            <w:hideMark/>
          </w:tcPr>
          <w:p w14:paraId="75376FFE"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Poder Concedente, até o mínimo</w:t>
            </w:r>
          </w:p>
        </w:tc>
        <w:tc>
          <w:tcPr>
            <w:tcW w:w="0" w:type="auto"/>
            <w:vAlign w:val="center"/>
            <w:hideMark/>
          </w:tcPr>
          <w:p w14:paraId="6AD059F5"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Faturamento mínimo preservado</w:t>
            </w:r>
          </w:p>
        </w:tc>
      </w:tr>
      <w:tr w:rsidR="00A3112D" w:rsidRPr="00B74E01" w14:paraId="78D883C6" w14:textId="77777777" w:rsidTr="00050088">
        <w:trPr>
          <w:tblCellSpacing w:w="15" w:type="dxa"/>
        </w:trPr>
        <w:tc>
          <w:tcPr>
            <w:tcW w:w="0" w:type="auto"/>
            <w:vAlign w:val="center"/>
            <w:hideMark/>
          </w:tcPr>
          <w:p w14:paraId="71FB319F"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Volume inferior por indisponibilidade da SPE</w:t>
            </w:r>
          </w:p>
        </w:tc>
        <w:tc>
          <w:tcPr>
            <w:tcW w:w="0" w:type="auto"/>
            <w:vAlign w:val="center"/>
            <w:hideMark/>
          </w:tcPr>
          <w:p w14:paraId="4CAB931A"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SPE</w:t>
            </w:r>
          </w:p>
        </w:tc>
        <w:tc>
          <w:tcPr>
            <w:tcW w:w="0" w:type="auto"/>
            <w:vAlign w:val="center"/>
            <w:hideMark/>
          </w:tcPr>
          <w:p w14:paraId="6D372D7A"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Glosa ou penalidade</w:t>
            </w:r>
          </w:p>
        </w:tc>
      </w:tr>
      <w:tr w:rsidR="00A3112D" w:rsidRPr="00B74E01" w14:paraId="235E23E7" w14:textId="77777777" w:rsidTr="00050088">
        <w:trPr>
          <w:tblCellSpacing w:w="15" w:type="dxa"/>
        </w:trPr>
        <w:tc>
          <w:tcPr>
            <w:tcW w:w="0" w:type="auto"/>
            <w:vAlign w:val="center"/>
            <w:hideMark/>
          </w:tcPr>
          <w:p w14:paraId="254436D9"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Volume superior a 80 t/dia</w:t>
            </w:r>
          </w:p>
        </w:tc>
        <w:tc>
          <w:tcPr>
            <w:tcW w:w="0" w:type="auto"/>
            <w:vAlign w:val="center"/>
            <w:hideMark/>
          </w:tcPr>
          <w:p w14:paraId="44F8D64F"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Conforme contrato</w:t>
            </w:r>
          </w:p>
        </w:tc>
        <w:tc>
          <w:tcPr>
            <w:tcW w:w="0" w:type="auto"/>
            <w:vAlign w:val="center"/>
            <w:hideMark/>
          </w:tcPr>
          <w:p w14:paraId="19426660"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Pode gerar receita adicional</w:t>
            </w:r>
          </w:p>
        </w:tc>
      </w:tr>
      <w:tr w:rsidR="00A3112D" w:rsidRPr="00B74E01" w14:paraId="614E05D4" w14:textId="77777777" w:rsidTr="00050088">
        <w:trPr>
          <w:tblCellSpacing w:w="15" w:type="dxa"/>
        </w:trPr>
        <w:tc>
          <w:tcPr>
            <w:tcW w:w="0" w:type="auto"/>
            <w:vAlign w:val="center"/>
            <w:hideMark/>
          </w:tcPr>
          <w:p w14:paraId="6D942324"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Alteração relevante da política municipal de coleta</w:t>
            </w:r>
          </w:p>
        </w:tc>
        <w:tc>
          <w:tcPr>
            <w:tcW w:w="0" w:type="auto"/>
            <w:vAlign w:val="center"/>
            <w:hideMark/>
          </w:tcPr>
          <w:p w14:paraId="67150E31"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Poder Concedente</w:t>
            </w:r>
          </w:p>
        </w:tc>
        <w:tc>
          <w:tcPr>
            <w:tcW w:w="0" w:type="auto"/>
            <w:vAlign w:val="center"/>
            <w:hideMark/>
          </w:tcPr>
          <w:p w14:paraId="2DCE6038"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Avaliar impacto</w:t>
            </w:r>
          </w:p>
        </w:tc>
      </w:tr>
      <w:tr w:rsidR="00A3112D" w:rsidRPr="00B74E01" w14:paraId="5A6E7125" w14:textId="77777777" w:rsidTr="00050088">
        <w:trPr>
          <w:tblCellSpacing w:w="15" w:type="dxa"/>
        </w:trPr>
        <w:tc>
          <w:tcPr>
            <w:tcW w:w="0" w:type="auto"/>
            <w:vAlign w:val="center"/>
            <w:hideMark/>
          </w:tcPr>
          <w:p w14:paraId="09428CC8"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Receitas acessórias menores por menor volume real</w:t>
            </w:r>
          </w:p>
        </w:tc>
        <w:tc>
          <w:tcPr>
            <w:tcW w:w="0" w:type="auto"/>
            <w:vAlign w:val="center"/>
            <w:hideMark/>
          </w:tcPr>
          <w:p w14:paraId="591F844F"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SPE, salvo culpa do Poder Concedente</w:t>
            </w:r>
          </w:p>
        </w:tc>
        <w:tc>
          <w:tcPr>
            <w:tcW w:w="0" w:type="auto"/>
            <w:vAlign w:val="center"/>
            <w:hideMark/>
          </w:tcPr>
          <w:p w14:paraId="2923B89F"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Risco ordinário da SPE</w:t>
            </w:r>
          </w:p>
        </w:tc>
      </w:tr>
    </w:tbl>
    <w:p w14:paraId="59F779EC"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quantidade mínima contratada de 80 t/dia é elemento de estabilidade da receita principal. Contudo, receitas acessórias dependem do volume real processado e da qualidade do RSU.</w:t>
      </w:r>
    </w:p>
    <w:p w14:paraId="4442A041" w14:textId="77777777" w:rsidR="00A3112D" w:rsidRPr="00B74E01" w:rsidRDefault="00A3112D" w:rsidP="00DC662F">
      <w:pPr>
        <w:pStyle w:val="Ttulo2"/>
        <w:rPr>
          <w:rFonts w:eastAsia="Times New Roman"/>
          <w:lang w:eastAsia="pt-BR"/>
        </w:rPr>
      </w:pPr>
      <w:bookmarkStart w:id="211" w:name="_Toc230204213"/>
      <w:r w:rsidRPr="00B74E01">
        <w:rPr>
          <w:rFonts w:eastAsia="Times New Roman"/>
          <w:lang w:eastAsia="pt-BR"/>
        </w:rPr>
        <w:t>16.11. Riscos de inadimplemento e pagamento</w:t>
      </w:r>
      <w:bookmarkEnd w:id="211"/>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263"/>
        <w:gridCol w:w="2219"/>
        <w:gridCol w:w="3579"/>
      </w:tblGrid>
      <w:tr w:rsidR="00A3112D" w:rsidRPr="00B74E01" w14:paraId="4B844108" w14:textId="77777777" w:rsidTr="00050088">
        <w:trPr>
          <w:tblHeader/>
          <w:tblCellSpacing w:w="15" w:type="dxa"/>
        </w:trPr>
        <w:tc>
          <w:tcPr>
            <w:tcW w:w="0" w:type="auto"/>
            <w:vAlign w:val="center"/>
            <w:hideMark/>
          </w:tcPr>
          <w:p w14:paraId="4B0AABB0" w14:textId="77777777" w:rsidR="00A3112D" w:rsidRPr="00B74E01" w:rsidRDefault="00A3112D" w:rsidP="00DC662F">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Risco</w:t>
            </w:r>
          </w:p>
        </w:tc>
        <w:tc>
          <w:tcPr>
            <w:tcW w:w="0" w:type="auto"/>
            <w:vAlign w:val="center"/>
            <w:hideMark/>
          </w:tcPr>
          <w:p w14:paraId="7369631D" w14:textId="77777777" w:rsidR="00A3112D" w:rsidRPr="00B74E01" w:rsidRDefault="00A3112D" w:rsidP="00DC662F">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Alocação recomendada</w:t>
            </w:r>
          </w:p>
        </w:tc>
        <w:tc>
          <w:tcPr>
            <w:tcW w:w="0" w:type="auto"/>
            <w:vAlign w:val="center"/>
            <w:hideMark/>
          </w:tcPr>
          <w:p w14:paraId="2D0C4A1F" w14:textId="77777777" w:rsidR="00A3112D" w:rsidRPr="00B74E01" w:rsidRDefault="00A3112D" w:rsidP="00DC662F">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Tratamento</w:t>
            </w:r>
          </w:p>
        </w:tc>
      </w:tr>
      <w:tr w:rsidR="00A3112D" w:rsidRPr="00B74E01" w14:paraId="15D0F8FF" w14:textId="77777777" w:rsidTr="00050088">
        <w:trPr>
          <w:tblCellSpacing w:w="15" w:type="dxa"/>
        </w:trPr>
        <w:tc>
          <w:tcPr>
            <w:tcW w:w="0" w:type="auto"/>
            <w:vAlign w:val="center"/>
            <w:hideMark/>
          </w:tcPr>
          <w:p w14:paraId="2BBFAB78"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Atraso no pagamento da receita principal</w:t>
            </w:r>
          </w:p>
        </w:tc>
        <w:tc>
          <w:tcPr>
            <w:tcW w:w="0" w:type="auto"/>
            <w:vAlign w:val="center"/>
            <w:hideMark/>
          </w:tcPr>
          <w:p w14:paraId="7321F315"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Poder Concedente</w:t>
            </w:r>
          </w:p>
        </w:tc>
        <w:tc>
          <w:tcPr>
            <w:tcW w:w="0" w:type="auto"/>
            <w:vAlign w:val="center"/>
            <w:hideMark/>
          </w:tcPr>
          <w:p w14:paraId="78775A52"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Juros, multa e acionamento de garantia</w:t>
            </w:r>
          </w:p>
        </w:tc>
      </w:tr>
      <w:tr w:rsidR="00A3112D" w:rsidRPr="00B74E01" w14:paraId="4E3FE495" w14:textId="77777777" w:rsidTr="00050088">
        <w:trPr>
          <w:tblCellSpacing w:w="15" w:type="dxa"/>
        </w:trPr>
        <w:tc>
          <w:tcPr>
            <w:tcW w:w="0" w:type="auto"/>
            <w:vAlign w:val="center"/>
            <w:hideMark/>
          </w:tcPr>
          <w:p w14:paraId="0CED1632"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Falha de recomposição do Fundo Garantidor</w:t>
            </w:r>
          </w:p>
        </w:tc>
        <w:tc>
          <w:tcPr>
            <w:tcW w:w="0" w:type="auto"/>
            <w:vAlign w:val="center"/>
            <w:hideMark/>
          </w:tcPr>
          <w:p w14:paraId="7E79418B"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Poder Concedente</w:t>
            </w:r>
          </w:p>
        </w:tc>
        <w:tc>
          <w:tcPr>
            <w:tcW w:w="0" w:type="auto"/>
            <w:vAlign w:val="center"/>
            <w:hideMark/>
          </w:tcPr>
          <w:p w14:paraId="0CD47958"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Evento de inadimplemento</w:t>
            </w:r>
          </w:p>
        </w:tc>
      </w:tr>
      <w:tr w:rsidR="00A3112D" w:rsidRPr="00B74E01" w14:paraId="5B922B8B" w14:textId="77777777" w:rsidTr="00050088">
        <w:trPr>
          <w:tblCellSpacing w:w="15" w:type="dxa"/>
        </w:trPr>
        <w:tc>
          <w:tcPr>
            <w:tcW w:w="0" w:type="auto"/>
            <w:vAlign w:val="center"/>
            <w:hideMark/>
          </w:tcPr>
          <w:p w14:paraId="04310A24"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Controvérsia sobre valor devido</w:t>
            </w:r>
          </w:p>
        </w:tc>
        <w:tc>
          <w:tcPr>
            <w:tcW w:w="0" w:type="auto"/>
            <w:vAlign w:val="center"/>
            <w:hideMark/>
          </w:tcPr>
          <w:p w14:paraId="685EAAAB"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Compartilhado</w:t>
            </w:r>
          </w:p>
        </w:tc>
        <w:tc>
          <w:tcPr>
            <w:tcW w:w="0" w:type="auto"/>
            <w:vAlign w:val="center"/>
            <w:hideMark/>
          </w:tcPr>
          <w:p w14:paraId="12C646AE"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Pagamento da parte incontroversa</w:t>
            </w:r>
          </w:p>
        </w:tc>
      </w:tr>
      <w:tr w:rsidR="00A3112D" w:rsidRPr="00B74E01" w14:paraId="7B3D7F5D" w14:textId="77777777" w:rsidTr="00050088">
        <w:trPr>
          <w:tblCellSpacing w:w="15" w:type="dxa"/>
        </w:trPr>
        <w:tc>
          <w:tcPr>
            <w:tcW w:w="0" w:type="auto"/>
            <w:vAlign w:val="center"/>
            <w:hideMark/>
          </w:tcPr>
          <w:p w14:paraId="119D6564"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Glosa arbitrária</w:t>
            </w:r>
          </w:p>
        </w:tc>
        <w:tc>
          <w:tcPr>
            <w:tcW w:w="0" w:type="auto"/>
            <w:vAlign w:val="center"/>
            <w:hideMark/>
          </w:tcPr>
          <w:p w14:paraId="5E476466"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Poder Concedente</w:t>
            </w:r>
          </w:p>
        </w:tc>
        <w:tc>
          <w:tcPr>
            <w:tcW w:w="0" w:type="auto"/>
            <w:vAlign w:val="center"/>
            <w:hideMark/>
          </w:tcPr>
          <w:p w14:paraId="73E38A4C"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Procedimento de contestação</w:t>
            </w:r>
          </w:p>
        </w:tc>
      </w:tr>
      <w:tr w:rsidR="00A3112D" w:rsidRPr="00B74E01" w14:paraId="57EFA955" w14:textId="77777777" w:rsidTr="00050088">
        <w:trPr>
          <w:tblCellSpacing w:w="15" w:type="dxa"/>
        </w:trPr>
        <w:tc>
          <w:tcPr>
            <w:tcW w:w="0" w:type="auto"/>
            <w:vAlign w:val="center"/>
            <w:hideMark/>
          </w:tcPr>
          <w:p w14:paraId="014C196F"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lastRenderedPageBreak/>
              <w:t>Suspensão indevida de pagamento</w:t>
            </w:r>
          </w:p>
        </w:tc>
        <w:tc>
          <w:tcPr>
            <w:tcW w:w="0" w:type="auto"/>
            <w:vAlign w:val="center"/>
            <w:hideMark/>
          </w:tcPr>
          <w:p w14:paraId="5F787A89"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Poder Concedente</w:t>
            </w:r>
          </w:p>
        </w:tc>
        <w:tc>
          <w:tcPr>
            <w:tcW w:w="0" w:type="auto"/>
            <w:vAlign w:val="center"/>
            <w:hideMark/>
          </w:tcPr>
          <w:p w14:paraId="2C01B0FD"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Acionamento de garantias e medidas contratuais</w:t>
            </w:r>
          </w:p>
        </w:tc>
      </w:tr>
      <w:tr w:rsidR="00A3112D" w:rsidRPr="00B74E01" w14:paraId="1B035E29" w14:textId="77777777" w:rsidTr="00050088">
        <w:trPr>
          <w:tblCellSpacing w:w="15" w:type="dxa"/>
        </w:trPr>
        <w:tc>
          <w:tcPr>
            <w:tcW w:w="0" w:type="auto"/>
            <w:vAlign w:val="center"/>
            <w:hideMark/>
          </w:tcPr>
          <w:p w14:paraId="20401067"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Falha da SPE que justifique glosa</w:t>
            </w:r>
          </w:p>
        </w:tc>
        <w:tc>
          <w:tcPr>
            <w:tcW w:w="0" w:type="auto"/>
            <w:vAlign w:val="center"/>
            <w:hideMark/>
          </w:tcPr>
          <w:p w14:paraId="54C1EFD2"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SPE</w:t>
            </w:r>
          </w:p>
        </w:tc>
        <w:tc>
          <w:tcPr>
            <w:tcW w:w="0" w:type="auto"/>
            <w:vAlign w:val="center"/>
            <w:hideMark/>
          </w:tcPr>
          <w:p w14:paraId="2F1A322B"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Redução legítima da remuneração</w:t>
            </w:r>
          </w:p>
        </w:tc>
      </w:tr>
    </w:tbl>
    <w:p w14:paraId="6B4009C2"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garantia deve assegurar o pagamento das receitas principais regularmente devidas, mas não pode impedir aplicação de penalidades quando a SPE descumprir suas obrigações.</w:t>
      </w:r>
    </w:p>
    <w:p w14:paraId="678F47FE" w14:textId="77777777" w:rsidR="00A3112D" w:rsidRPr="00B74E01" w:rsidRDefault="00A3112D" w:rsidP="00DC662F">
      <w:pPr>
        <w:pStyle w:val="Ttulo2"/>
        <w:rPr>
          <w:rFonts w:eastAsia="Times New Roman"/>
          <w:lang w:eastAsia="pt-BR"/>
        </w:rPr>
      </w:pPr>
      <w:bookmarkStart w:id="212" w:name="_Toc230204214"/>
      <w:r w:rsidRPr="00B74E01">
        <w:rPr>
          <w:rFonts w:eastAsia="Times New Roman"/>
          <w:lang w:eastAsia="pt-BR"/>
        </w:rPr>
        <w:t>16.12. Riscos financeiros</w:t>
      </w:r>
      <w:bookmarkEnd w:id="212"/>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791"/>
        <w:gridCol w:w="2622"/>
        <w:gridCol w:w="2648"/>
      </w:tblGrid>
      <w:tr w:rsidR="00A3112D" w:rsidRPr="00B74E01" w14:paraId="20B1B59C" w14:textId="77777777" w:rsidTr="00050088">
        <w:trPr>
          <w:tblHeader/>
          <w:tblCellSpacing w:w="15" w:type="dxa"/>
        </w:trPr>
        <w:tc>
          <w:tcPr>
            <w:tcW w:w="0" w:type="auto"/>
            <w:vAlign w:val="center"/>
            <w:hideMark/>
          </w:tcPr>
          <w:p w14:paraId="7EC9CA04" w14:textId="77777777" w:rsidR="00A3112D" w:rsidRPr="00B74E01" w:rsidRDefault="00A3112D" w:rsidP="00DC662F">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Risco</w:t>
            </w:r>
          </w:p>
        </w:tc>
        <w:tc>
          <w:tcPr>
            <w:tcW w:w="0" w:type="auto"/>
            <w:vAlign w:val="center"/>
            <w:hideMark/>
          </w:tcPr>
          <w:p w14:paraId="1E57E721" w14:textId="77777777" w:rsidR="00A3112D" w:rsidRPr="00B74E01" w:rsidRDefault="00A3112D" w:rsidP="00DC662F">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Alocação recomendada</w:t>
            </w:r>
          </w:p>
        </w:tc>
        <w:tc>
          <w:tcPr>
            <w:tcW w:w="0" w:type="auto"/>
            <w:vAlign w:val="center"/>
            <w:hideMark/>
          </w:tcPr>
          <w:p w14:paraId="2D4A9137" w14:textId="77777777" w:rsidR="00A3112D" w:rsidRPr="00B74E01" w:rsidRDefault="00A3112D" w:rsidP="00DC662F">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Tratamento</w:t>
            </w:r>
          </w:p>
        </w:tc>
      </w:tr>
      <w:tr w:rsidR="00A3112D" w:rsidRPr="00B74E01" w14:paraId="495BB43D" w14:textId="77777777" w:rsidTr="00050088">
        <w:trPr>
          <w:tblCellSpacing w:w="15" w:type="dxa"/>
        </w:trPr>
        <w:tc>
          <w:tcPr>
            <w:tcW w:w="0" w:type="auto"/>
            <w:vAlign w:val="center"/>
            <w:hideMark/>
          </w:tcPr>
          <w:p w14:paraId="5C90F836" w14:textId="77777777" w:rsidR="00A3112D" w:rsidRPr="00B74E01" w:rsidRDefault="00A3112D" w:rsidP="00DC662F">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Taxa de juros superior à estimada</w:t>
            </w:r>
          </w:p>
        </w:tc>
        <w:tc>
          <w:tcPr>
            <w:tcW w:w="0" w:type="auto"/>
            <w:vAlign w:val="center"/>
            <w:hideMark/>
          </w:tcPr>
          <w:p w14:paraId="408F27F4" w14:textId="77777777" w:rsidR="00A3112D" w:rsidRPr="00B74E01" w:rsidRDefault="00A3112D" w:rsidP="00DC662F">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SPE</w:t>
            </w:r>
          </w:p>
        </w:tc>
        <w:tc>
          <w:tcPr>
            <w:tcW w:w="0" w:type="auto"/>
            <w:vAlign w:val="center"/>
            <w:hideMark/>
          </w:tcPr>
          <w:p w14:paraId="4EFC8A8A" w14:textId="77777777" w:rsidR="00A3112D" w:rsidRPr="00B74E01" w:rsidRDefault="00A3112D" w:rsidP="00DC662F">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Risco de financiamento</w:t>
            </w:r>
          </w:p>
        </w:tc>
      </w:tr>
      <w:tr w:rsidR="00A3112D" w:rsidRPr="00B74E01" w14:paraId="0540838A" w14:textId="77777777" w:rsidTr="00050088">
        <w:trPr>
          <w:tblCellSpacing w:w="15" w:type="dxa"/>
        </w:trPr>
        <w:tc>
          <w:tcPr>
            <w:tcW w:w="0" w:type="auto"/>
            <w:vAlign w:val="center"/>
            <w:hideMark/>
          </w:tcPr>
          <w:p w14:paraId="5E1E5569" w14:textId="77777777" w:rsidR="00A3112D" w:rsidRPr="00B74E01" w:rsidRDefault="00A3112D" w:rsidP="00DC662F">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Não obtenção de financiamento</w:t>
            </w:r>
          </w:p>
        </w:tc>
        <w:tc>
          <w:tcPr>
            <w:tcW w:w="0" w:type="auto"/>
            <w:vAlign w:val="center"/>
            <w:hideMark/>
          </w:tcPr>
          <w:p w14:paraId="4CBF8166" w14:textId="77777777" w:rsidR="00A3112D" w:rsidRPr="00B74E01" w:rsidRDefault="00A3112D" w:rsidP="00DC662F">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SPE</w:t>
            </w:r>
          </w:p>
        </w:tc>
        <w:tc>
          <w:tcPr>
            <w:tcW w:w="0" w:type="auto"/>
            <w:vAlign w:val="center"/>
            <w:hideMark/>
          </w:tcPr>
          <w:p w14:paraId="69D4013D" w14:textId="77777777" w:rsidR="00A3112D" w:rsidRPr="00B74E01" w:rsidRDefault="00A3112D" w:rsidP="00DC662F">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 xml:space="preserve">Deve comprovar </w:t>
            </w:r>
            <w:proofErr w:type="spellStart"/>
            <w:r w:rsidRPr="00B74E01">
              <w:rPr>
                <w:rFonts w:eastAsia="Times New Roman" w:cs="Arial"/>
                <w:kern w:val="0"/>
                <w:lang w:eastAsia="pt-BR"/>
                <w14:ligatures w14:val="none"/>
              </w:rPr>
              <w:t>funding</w:t>
            </w:r>
            <w:proofErr w:type="spellEnd"/>
            <w:r w:rsidRPr="00B74E01">
              <w:rPr>
                <w:rFonts w:eastAsia="Times New Roman" w:cs="Arial"/>
                <w:kern w:val="0"/>
                <w:lang w:eastAsia="pt-BR"/>
                <w14:ligatures w14:val="none"/>
              </w:rPr>
              <w:t xml:space="preserve"> na licitação</w:t>
            </w:r>
          </w:p>
        </w:tc>
      </w:tr>
      <w:tr w:rsidR="00A3112D" w:rsidRPr="00B74E01" w14:paraId="3062BC53" w14:textId="77777777" w:rsidTr="00050088">
        <w:trPr>
          <w:tblCellSpacing w:w="15" w:type="dxa"/>
        </w:trPr>
        <w:tc>
          <w:tcPr>
            <w:tcW w:w="0" w:type="auto"/>
            <w:vAlign w:val="center"/>
            <w:hideMark/>
          </w:tcPr>
          <w:p w14:paraId="1702FAB6" w14:textId="77777777" w:rsidR="00A3112D" w:rsidRPr="00B74E01" w:rsidRDefault="00A3112D" w:rsidP="00DC662F">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Alteração ordinária das condições de crédito</w:t>
            </w:r>
          </w:p>
        </w:tc>
        <w:tc>
          <w:tcPr>
            <w:tcW w:w="0" w:type="auto"/>
            <w:vAlign w:val="center"/>
            <w:hideMark/>
          </w:tcPr>
          <w:p w14:paraId="6858C6B8" w14:textId="77777777" w:rsidR="00A3112D" w:rsidRPr="00B74E01" w:rsidRDefault="00A3112D" w:rsidP="00DC662F">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SPE</w:t>
            </w:r>
          </w:p>
        </w:tc>
        <w:tc>
          <w:tcPr>
            <w:tcW w:w="0" w:type="auto"/>
            <w:vAlign w:val="center"/>
            <w:hideMark/>
          </w:tcPr>
          <w:p w14:paraId="30CC804C" w14:textId="77777777" w:rsidR="00A3112D" w:rsidRPr="00B74E01" w:rsidRDefault="00A3112D" w:rsidP="00DC662F">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Risco empresarial</w:t>
            </w:r>
          </w:p>
        </w:tc>
      </w:tr>
      <w:tr w:rsidR="00A3112D" w:rsidRPr="00B74E01" w14:paraId="279DA00D" w14:textId="77777777" w:rsidTr="00050088">
        <w:trPr>
          <w:tblCellSpacing w:w="15" w:type="dxa"/>
        </w:trPr>
        <w:tc>
          <w:tcPr>
            <w:tcW w:w="0" w:type="auto"/>
            <w:vAlign w:val="center"/>
            <w:hideMark/>
          </w:tcPr>
          <w:p w14:paraId="56DF9863" w14:textId="77777777" w:rsidR="00A3112D" w:rsidRPr="00B74E01" w:rsidRDefault="00A3112D" w:rsidP="00DC662F">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 xml:space="preserve">Exigência de maior </w:t>
            </w:r>
            <w:proofErr w:type="spellStart"/>
            <w:r w:rsidRPr="00B74E01">
              <w:rPr>
                <w:rFonts w:eastAsia="Times New Roman" w:cs="Arial"/>
                <w:kern w:val="0"/>
                <w:lang w:eastAsia="pt-BR"/>
                <w14:ligatures w14:val="none"/>
              </w:rPr>
              <w:t>equity</w:t>
            </w:r>
            <w:proofErr w:type="spellEnd"/>
            <w:r w:rsidRPr="00B74E01">
              <w:rPr>
                <w:rFonts w:eastAsia="Times New Roman" w:cs="Arial"/>
                <w:kern w:val="0"/>
                <w:lang w:eastAsia="pt-BR"/>
                <w14:ligatures w14:val="none"/>
              </w:rPr>
              <w:t xml:space="preserve"> pelo financiador</w:t>
            </w:r>
          </w:p>
        </w:tc>
        <w:tc>
          <w:tcPr>
            <w:tcW w:w="0" w:type="auto"/>
            <w:vAlign w:val="center"/>
            <w:hideMark/>
          </w:tcPr>
          <w:p w14:paraId="5AE5FECE" w14:textId="77777777" w:rsidR="00A3112D" w:rsidRPr="00B74E01" w:rsidRDefault="00A3112D" w:rsidP="00DC662F">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SPE</w:t>
            </w:r>
          </w:p>
        </w:tc>
        <w:tc>
          <w:tcPr>
            <w:tcW w:w="0" w:type="auto"/>
            <w:vAlign w:val="center"/>
            <w:hideMark/>
          </w:tcPr>
          <w:p w14:paraId="446D13CE" w14:textId="77777777" w:rsidR="00A3112D" w:rsidRPr="00B74E01" w:rsidRDefault="00A3112D" w:rsidP="00DC662F">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Estrutura de capital do proponente</w:t>
            </w:r>
          </w:p>
        </w:tc>
      </w:tr>
      <w:tr w:rsidR="00A3112D" w:rsidRPr="00B74E01" w14:paraId="08867ADC" w14:textId="77777777" w:rsidTr="00050088">
        <w:trPr>
          <w:tblCellSpacing w:w="15" w:type="dxa"/>
        </w:trPr>
        <w:tc>
          <w:tcPr>
            <w:tcW w:w="0" w:type="auto"/>
            <w:vAlign w:val="center"/>
            <w:hideMark/>
          </w:tcPr>
          <w:p w14:paraId="6511E0DF" w14:textId="77777777" w:rsidR="00A3112D" w:rsidRPr="00B74E01" w:rsidRDefault="00A3112D" w:rsidP="00DC662F">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Aumento do custo financeiro por inadimplemento público</w:t>
            </w:r>
          </w:p>
        </w:tc>
        <w:tc>
          <w:tcPr>
            <w:tcW w:w="0" w:type="auto"/>
            <w:vAlign w:val="center"/>
            <w:hideMark/>
          </w:tcPr>
          <w:p w14:paraId="79ECB628" w14:textId="77777777" w:rsidR="00A3112D" w:rsidRPr="00B74E01" w:rsidRDefault="00A3112D" w:rsidP="00DC662F">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Poder Concedente, se comprovado</w:t>
            </w:r>
          </w:p>
        </w:tc>
        <w:tc>
          <w:tcPr>
            <w:tcW w:w="0" w:type="auto"/>
            <w:vAlign w:val="center"/>
            <w:hideMark/>
          </w:tcPr>
          <w:p w14:paraId="091512FF" w14:textId="77777777" w:rsidR="00A3112D" w:rsidRPr="00B74E01" w:rsidRDefault="00A3112D" w:rsidP="00DC662F">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Pode gerar recomposição</w:t>
            </w:r>
          </w:p>
        </w:tc>
      </w:tr>
      <w:tr w:rsidR="00A3112D" w:rsidRPr="00B74E01" w14:paraId="4D7C7C95" w14:textId="77777777" w:rsidTr="00050088">
        <w:trPr>
          <w:tblCellSpacing w:w="15" w:type="dxa"/>
        </w:trPr>
        <w:tc>
          <w:tcPr>
            <w:tcW w:w="0" w:type="auto"/>
            <w:vAlign w:val="center"/>
            <w:hideMark/>
          </w:tcPr>
          <w:p w14:paraId="2A240292" w14:textId="77777777" w:rsidR="00A3112D" w:rsidRPr="00B74E01" w:rsidRDefault="00A3112D" w:rsidP="00DC662F">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Perda de financiamento por culpa da SPE</w:t>
            </w:r>
          </w:p>
        </w:tc>
        <w:tc>
          <w:tcPr>
            <w:tcW w:w="0" w:type="auto"/>
            <w:vAlign w:val="center"/>
            <w:hideMark/>
          </w:tcPr>
          <w:p w14:paraId="42835ACE" w14:textId="77777777" w:rsidR="00A3112D" w:rsidRPr="00B74E01" w:rsidRDefault="00A3112D" w:rsidP="00DC662F">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SPE</w:t>
            </w:r>
          </w:p>
        </w:tc>
        <w:tc>
          <w:tcPr>
            <w:tcW w:w="0" w:type="auto"/>
            <w:vAlign w:val="center"/>
            <w:hideMark/>
          </w:tcPr>
          <w:p w14:paraId="443F5A6A" w14:textId="77777777" w:rsidR="00A3112D" w:rsidRPr="00B74E01" w:rsidRDefault="00A3112D" w:rsidP="00DC662F">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Risco empresarial</w:t>
            </w:r>
          </w:p>
        </w:tc>
      </w:tr>
      <w:tr w:rsidR="00A3112D" w:rsidRPr="00B74E01" w14:paraId="2E500C9E" w14:textId="77777777" w:rsidTr="00050088">
        <w:trPr>
          <w:tblCellSpacing w:w="15" w:type="dxa"/>
        </w:trPr>
        <w:tc>
          <w:tcPr>
            <w:tcW w:w="0" w:type="auto"/>
            <w:vAlign w:val="center"/>
            <w:hideMark/>
          </w:tcPr>
          <w:p w14:paraId="3BC4456F" w14:textId="77777777" w:rsidR="00A3112D" w:rsidRPr="00B74E01" w:rsidRDefault="00A3112D" w:rsidP="00DC662F">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Mudança macroeconômica extraordinária</w:t>
            </w:r>
          </w:p>
        </w:tc>
        <w:tc>
          <w:tcPr>
            <w:tcW w:w="0" w:type="auto"/>
            <w:vAlign w:val="center"/>
            <w:hideMark/>
          </w:tcPr>
          <w:p w14:paraId="73A87CFA" w14:textId="77777777" w:rsidR="00A3112D" w:rsidRPr="00B74E01" w:rsidRDefault="00A3112D" w:rsidP="00DC662F">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Avaliar caso concreto</w:t>
            </w:r>
          </w:p>
        </w:tc>
        <w:tc>
          <w:tcPr>
            <w:tcW w:w="0" w:type="auto"/>
            <w:vAlign w:val="center"/>
            <w:hideMark/>
          </w:tcPr>
          <w:p w14:paraId="21CF71DE" w14:textId="77777777" w:rsidR="00A3112D" w:rsidRPr="00B74E01" w:rsidRDefault="00A3112D" w:rsidP="00DC662F">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Conforme legislação e matriz</w:t>
            </w:r>
          </w:p>
        </w:tc>
      </w:tr>
    </w:tbl>
    <w:p w14:paraId="5000E15D"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modelagem adota o FNE Verde / Banco do Nordeste como referência, mas a estrutura de financiamento final será responsabilidade dos licitantes ou da futura SPE.</w:t>
      </w:r>
    </w:p>
    <w:p w14:paraId="4CD29011" w14:textId="361B7D84" w:rsidR="00A3112D" w:rsidRDefault="00A3112D" w:rsidP="00B74E01">
      <w:pPr>
        <w:spacing w:after="0" w:line="360" w:lineRule="auto"/>
        <w:ind w:firstLine="709"/>
        <w:jc w:val="both"/>
        <w:rPr>
          <w:rFonts w:eastAsia="Times New Roman" w:cs="Arial"/>
          <w:kern w:val="0"/>
          <w:lang w:eastAsia="pt-BR"/>
          <w14:ligatures w14:val="none"/>
        </w:rPr>
      </w:pPr>
    </w:p>
    <w:p w14:paraId="44EDA980" w14:textId="77777777" w:rsidR="00A3112D" w:rsidRPr="00B74E01" w:rsidRDefault="00A3112D" w:rsidP="00DC662F">
      <w:pPr>
        <w:pStyle w:val="Ttulo2"/>
        <w:rPr>
          <w:rFonts w:eastAsia="Times New Roman"/>
          <w:lang w:eastAsia="pt-BR"/>
        </w:rPr>
      </w:pPr>
      <w:bookmarkStart w:id="213" w:name="_Toc230204215"/>
      <w:r w:rsidRPr="00B74E01">
        <w:rPr>
          <w:rFonts w:eastAsia="Times New Roman"/>
          <w:lang w:eastAsia="pt-BR"/>
        </w:rPr>
        <w:lastRenderedPageBreak/>
        <w:t>16.13. Riscos de força maior e caso fortuito</w:t>
      </w:r>
      <w:bookmarkEnd w:id="213"/>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980"/>
        <w:gridCol w:w="5081"/>
      </w:tblGrid>
      <w:tr w:rsidR="00A3112D" w:rsidRPr="00B74E01" w14:paraId="738897F7" w14:textId="77777777" w:rsidTr="00050088">
        <w:trPr>
          <w:tblHeader/>
          <w:tblCellSpacing w:w="15" w:type="dxa"/>
        </w:trPr>
        <w:tc>
          <w:tcPr>
            <w:tcW w:w="0" w:type="auto"/>
            <w:vAlign w:val="center"/>
            <w:hideMark/>
          </w:tcPr>
          <w:p w14:paraId="6C8C7EB8" w14:textId="77777777" w:rsidR="00A3112D" w:rsidRPr="00B74E01" w:rsidRDefault="00A3112D" w:rsidP="00DC662F">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Evento</w:t>
            </w:r>
          </w:p>
        </w:tc>
        <w:tc>
          <w:tcPr>
            <w:tcW w:w="0" w:type="auto"/>
            <w:vAlign w:val="center"/>
            <w:hideMark/>
          </w:tcPr>
          <w:p w14:paraId="64E65646" w14:textId="77777777" w:rsidR="00A3112D" w:rsidRPr="00B74E01" w:rsidRDefault="00A3112D" w:rsidP="00DC662F">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Tratamento recomendado</w:t>
            </w:r>
          </w:p>
        </w:tc>
      </w:tr>
      <w:tr w:rsidR="00A3112D" w:rsidRPr="00B74E01" w14:paraId="071614FE" w14:textId="77777777" w:rsidTr="00050088">
        <w:trPr>
          <w:tblCellSpacing w:w="15" w:type="dxa"/>
        </w:trPr>
        <w:tc>
          <w:tcPr>
            <w:tcW w:w="0" w:type="auto"/>
            <w:vAlign w:val="center"/>
            <w:hideMark/>
          </w:tcPr>
          <w:p w14:paraId="5A3AC515"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Desastre natural relevante</w:t>
            </w:r>
          </w:p>
        </w:tc>
        <w:tc>
          <w:tcPr>
            <w:tcW w:w="0" w:type="auto"/>
            <w:vAlign w:val="center"/>
            <w:hideMark/>
          </w:tcPr>
          <w:p w14:paraId="1BA79544"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Avaliação conforme impacto e contrato</w:t>
            </w:r>
          </w:p>
        </w:tc>
      </w:tr>
      <w:tr w:rsidR="00A3112D" w:rsidRPr="00B74E01" w14:paraId="52776048" w14:textId="77777777" w:rsidTr="00050088">
        <w:trPr>
          <w:tblCellSpacing w:w="15" w:type="dxa"/>
        </w:trPr>
        <w:tc>
          <w:tcPr>
            <w:tcW w:w="0" w:type="auto"/>
            <w:vAlign w:val="center"/>
            <w:hideMark/>
          </w:tcPr>
          <w:p w14:paraId="75300C18"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Incêndio não causado por falha da SPE</w:t>
            </w:r>
          </w:p>
        </w:tc>
        <w:tc>
          <w:tcPr>
            <w:tcW w:w="0" w:type="auto"/>
            <w:vAlign w:val="center"/>
            <w:hideMark/>
          </w:tcPr>
          <w:p w14:paraId="4F4CDAEC"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Seguro, força maior ou compartilhamento conforme causa</w:t>
            </w:r>
          </w:p>
        </w:tc>
      </w:tr>
      <w:tr w:rsidR="00A3112D" w:rsidRPr="00B74E01" w14:paraId="0C2F4A55" w14:textId="77777777" w:rsidTr="00050088">
        <w:trPr>
          <w:tblCellSpacing w:w="15" w:type="dxa"/>
        </w:trPr>
        <w:tc>
          <w:tcPr>
            <w:tcW w:w="0" w:type="auto"/>
            <w:vAlign w:val="center"/>
            <w:hideMark/>
          </w:tcPr>
          <w:p w14:paraId="48B58E1C"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Pandemia ou evento sanitário extraordinário</w:t>
            </w:r>
          </w:p>
        </w:tc>
        <w:tc>
          <w:tcPr>
            <w:tcW w:w="0" w:type="auto"/>
            <w:vAlign w:val="center"/>
            <w:hideMark/>
          </w:tcPr>
          <w:p w14:paraId="7819ADD9"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Tratamento conforme impacto comprovado</w:t>
            </w:r>
          </w:p>
        </w:tc>
      </w:tr>
      <w:tr w:rsidR="00A3112D" w:rsidRPr="00B74E01" w14:paraId="1E95B473" w14:textId="77777777" w:rsidTr="00050088">
        <w:trPr>
          <w:tblCellSpacing w:w="15" w:type="dxa"/>
        </w:trPr>
        <w:tc>
          <w:tcPr>
            <w:tcW w:w="0" w:type="auto"/>
            <w:vAlign w:val="center"/>
            <w:hideMark/>
          </w:tcPr>
          <w:p w14:paraId="0D4352F5"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Greve geral externa à SPE</w:t>
            </w:r>
          </w:p>
        </w:tc>
        <w:tc>
          <w:tcPr>
            <w:tcW w:w="0" w:type="auto"/>
            <w:vAlign w:val="center"/>
            <w:hideMark/>
          </w:tcPr>
          <w:p w14:paraId="6AD23DB2"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Avaliação contratual</w:t>
            </w:r>
          </w:p>
        </w:tc>
      </w:tr>
      <w:tr w:rsidR="00A3112D" w:rsidRPr="00B74E01" w14:paraId="5B7C8864" w14:textId="77777777" w:rsidTr="00050088">
        <w:trPr>
          <w:tblCellSpacing w:w="15" w:type="dxa"/>
        </w:trPr>
        <w:tc>
          <w:tcPr>
            <w:tcW w:w="0" w:type="auto"/>
            <w:vAlign w:val="center"/>
            <w:hideMark/>
          </w:tcPr>
          <w:p w14:paraId="70387112"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Greve interna de empregados da SPE</w:t>
            </w:r>
          </w:p>
        </w:tc>
        <w:tc>
          <w:tcPr>
            <w:tcW w:w="0" w:type="auto"/>
            <w:vAlign w:val="center"/>
            <w:hideMark/>
          </w:tcPr>
          <w:p w14:paraId="4056C2D0"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Risco da SPE</w:t>
            </w:r>
          </w:p>
        </w:tc>
      </w:tr>
      <w:tr w:rsidR="00A3112D" w:rsidRPr="00B74E01" w14:paraId="44CEC8F2" w14:textId="77777777" w:rsidTr="00050088">
        <w:trPr>
          <w:tblCellSpacing w:w="15" w:type="dxa"/>
        </w:trPr>
        <w:tc>
          <w:tcPr>
            <w:tcW w:w="0" w:type="auto"/>
            <w:vAlign w:val="center"/>
            <w:hideMark/>
          </w:tcPr>
          <w:p w14:paraId="53895492"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Evento climático extremo</w:t>
            </w:r>
          </w:p>
        </w:tc>
        <w:tc>
          <w:tcPr>
            <w:tcW w:w="0" w:type="auto"/>
            <w:vAlign w:val="center"/>
            <w:hideMark/>
          </w:tcPr>
          <w:p w14:paraId="567E42A0"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Tratamento conforme matriz e seguros</w:t>
            </w:r>
          </w:p>
        </w:tc>
      </w:tr>
      <w:tr w:rsidR="00A3112D" w:rsidRPr="00B74E01" w14:paraId="38BC3BD7" w14:textId="77777777" w:rsidTr="00050088">
        <w:trPr>
          <w:tblCellSpacing w:w="15" w:type="dxa"/>
        </w:trPr>
        <w:tc>
          <w:tcPr>
            <w:tcW w:w="0" w:type="auto"/>
            <w:vAlign w:val="center"/>
            <w:hideMark/>
          </w:tcPr>
          <w:p w14:paraId="4BFFB711"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Interrupção prolongada por ato de autoridade</w:t>
            </w:r>
          </w:p>
        </w:tc>
        <w:tc>
          <w:tcPr>
            <w:tcW w:w="0" w:type="auto"/>
            <w:vAlign w:val="center"/>
            <w:hideMark/>
          </w:tcPr>
          <w:p w14:paraId="2C1EE822"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Avaliação conforme causa e impacto</w:t>
            </w:r>
          </w:p>
        </w:tc>
      </w:tr>
    </w:tbl>
    <w:p w14:paraId="285078A1"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matriz deve distinguir eventos seguráveis, eventos gerenciáveis pela SPE e eventos extraordinários que justifiquem recomposição de prazo, suspensão de obrigações ou reequilíbrio.</w:t>
      </w:r>
    </w:p>
    <w:p w14:paraId="0A428B06" w14:textId="77777777" w:rsidR="00A3112D" w:rsidRPr="00B74E01" w:rsidRDefault="00A3112D" w:rsidP="00DC662F">
      <w:pPr>
        <w:pStyle w:val="Ttulo2"/>
        <w:rPr>
          <w:rFonts w:eastAsia="Times New Roman"/>
          <w:lang w:eastAsia="pt-BR"/>
        </w:rPr>
      </w:pPr>
      <w:bookmarkStart w:id="214" w:name="_Toc230204216"/>
      <w:r w:rsidRPr="00B74E01">
        <w:rPr>
          <w:rFonts w:eastAsia="Times New Roman"/>
          <w:lang w:eastAsia="pt-BR"/>
        </w:rPr>
        <w:t>16.14. Síntese da matriz de riscos</w:t>
      </w:r>
      <w:bookmarkEnd w:id="214"/>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764"/>
        <w:gridCol w:w="4924"/>
      </w:tblGrid>
      <w:tr w:rsidR="00A3112D" w:rsidRPr="00B74E01" w14:paraId="00BA0A6F" w14:textId="77777777" w:rsidTr="00050088">
        <w:trPr>
          <w:tblHeade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35DC09D2" w14:textId="77777777" w:rsidR="00A3112D" w:rsidRPr="00B74E01" w:rsidRDefault="00A3112D" w:rsidP="00DC662F">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Grupo de risco</w:t>
            </w:r>
          </w:p>
        </w:tc>
        <w:tc>
          <w:tcPr>
            <w:tcW w:w="0" w:type="auto"/>
            <w:tcBorders>
              <w:top w:val="single" w:sz="4" w:space="0" w:color="auto"/>
              <w:left w:val="single" w:sz="4" w:space="0" w:color="auto"/>
              <w:bottom w:val="single" w:sz="4" w:space="0" w:color="auto"/>
              <w:right w:val="single" w:sz="4" w:space="0" w:color="auto"/>
            </w:tcBorders>
            <w:vAlign w:val="center"/>
            <w:hideMark/>
          </w:tcPr>
          <w:p w14:paraId="5571904F" w14:textId="77777777" w:rsidR="00A3112D" w:rsidRPr="00B74E01" w:rsidRDefault="00A3112D" w:rsidP="00DC662F">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Alocação predominante</w:t>
            </w:r>
          </w:p>
        </w:tc>
      </w:tr>
      <w:tr w:rsidR="00A3112D" w:rsidRPr="00B74E01" w14:paraId="475274AD" w14:textId="77777777" w:rsidTr="0005008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7C2EEEBB"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CAPEX</w:t>
            </w:r>
          </w:p>
        </w:tc>
        <w:tc>
          <w:tcPr>
            <w:tcW w:w="0" w:type="auto"/>
            <w:tcBorders>
              <w:top w:val="single" w:sz="4" w:space="0" w:color="auto"/>
              <w:left w:val="single" w:sz="4" w:space="0" w:color="auto"/>
              <w:bottom w:val="single" w:sz="4" w:space="0" w:color="auto"/>
              <w:right w:val="single" w:sz="4" w:space="0" w:color="auto"/>
            </w:tcBorders>
            <w:vAlign w:val="center"/>
            <w:hideMark/>
          </w:tcPr>
          <w:p w14:paraId="2F8974CC"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SPE</w:t>
            </w:r>
          </w:p>
        </w:tc>
      </w:tr>
      <w:tr w:rsidR="00A3112D" w:rsidRPr="00B74E01" w14:paraId="1406D98B" w14:textId="77777777" w:rsidTr="0005008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4152DE06"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OPEX</w:t>
            </w:r>
          </w:p>
        </w:tc>
        <w:tc>
          <w:tcPr>
            <w:tcW w:w="0" w:type="auto"/>
            <w:tcBorders>
              <w:top w:val="single" w:sz="4" w:space="0" w:color="auto"/>
              <w:left w:val="single" w:sz="4" w:space="0" w:color="auto"/>
              <w:bottom w:val="single" w:sz="4" w:space="0" w:color="auto"/>
              <w:right w:val="single" w:sz="4" w:space="0" w:color="auto"/>
            </w:tcBorders>
            <w:vAlign w:val="center"/>
            <w:hideMark/>
          </w:tcPr>
          <w:p w14:paraId="231C6978"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SPE</w:t>
            </w:r>
          </w:p>
        </w:tc>
      </w:tr>
      <w:tr w:rsidR="00A3112D" w:rsidRPr="00B74E01" w14:paraId="23964EC1" w14:textId="77777777" w:rsidTr="0005008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65D45EC5"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Tecnologia e desempenho</w:t>
            </w:r>
          </w:p>
        </w:tc>
        <w:tc>
          <w:tcPr>
            <w:tcW w:w="0" w:type="auto"/>
            <w:tcBorders>
              <w:top w:val="single" w:sz="4" w:space="0" w:color="auto"/>
              <w:left w:val="single" w:sz="4" w:space="0" w:color="auto"/>
              <w:bottom w:val="single" w:sz="4" w:space="0" w:color="auto"/>
              <w:right w:val="single" w:sz="4" w:space="0" w:color="auto"/>
            </w:tcBorders>
            <w:vAlign w:val="center"/>
            <w:hideMark/>
          </w:tcPr>
          <w:p w14:paraId="1F448B07"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SPE</w:t>
            </w:r>
          </w:p>
        </w:tc>
      </w:tr>
      <w:tr w:rsidR="00A3112D" w:rsidRPr="00B74E01" w14:paraId="4B112947" w14:textId="77777777" w:rsidTr="0005008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58581954"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Operação e manutenção</w:t>
            </w:r>
          </w:p>
        </w:tc>
        <w:tc>
          <w:tcPr>
            <w:tcW w:w="0" w:type="auto"/>
            <w:tcBorders>
              <w:top w:val="single" w:sz="4" w:space="0" w:color="auto"/>
              <w:left w:val="single" w:sz="4" w:space="0" w:color="auto"/>
              <w:bottom w:val="single" w:sz="4" w:space="0" w:color="auto"/>
              <w:right w:val="single" w:sz="4" w:space="0" w:color="auto"/>
            </w:tcBorders>
            <w:vAlign w:val="center"/>
            <w:hideMark/>
          </w:tcPr>
          <w:p w14:paraId="46D095D7"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SPE</w:t>
            </w:r>
          </w:p>
        </w:tc>
      </w:tr>
      <w:tr w:rsidR="00A3112D" w:rsidRPr="00B74E01" w14:paraId="6951E02B" w14:textId="77777777" w:rsidTr="0005008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6C697044"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Receitas acessórias</w:t>
            </w:r>
          </w:p>
        </w:tc>
        <w:tc>
          <w:tcPr>
            <w:tcW w:w="0" w:type="auto"/>
            <w:tcBorders>
              <w:top w:val="single" w:sz="4" w:space="0" w:color="auto"/>
              <w:left w:val="single" w:sz="4" w:space="0" w:color="auto"/>
              <w:bottom w:val="single" w:sz="4" w:space="0" w:color="auto"/>
              <w:right w:val="single" w:sz="4" w:space="0" w:color="auto"/>
            </w:tcBorders>
            <w:vAlign w:val="center"/>
            <w:hideMark/>
          </w:tcPr>
          <w:p w14:paraId="2404DAFD"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SPE</w:t>
            </w:r>
          </w:p>
        </w:tc>
      </w:tr>
      <w:tr w:rsidR="00A3112D" w:rsidRPr="00B74E01" w14:paraId="442ACDF4" w14:textId="77777777" w:rsidTr="0005008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0511BDAC"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Financiamento ordinário</w:t>
            </w:r>
          </w:p>
        </w:tc>
        <w:tc>
          <w:tcPr>
            <w:tcW w:w="0" w:type="auto"/>
            <w:tcBorders>
              <w:top w:val="single" w:sz="4" w:space="0" w:color="auto"/>
              <w:left w:val="single" w:sz="4" w:space="0" w:color="auto"/>
              <w:bottom w:val="single" w:sz="4" w:space="0" w:color="auto"/>
              <w:right w:val="single" w:sz="4" w:space="0" w:color="auto"/>
            </w:tcBorders>
            <w:vAlign w:val="center"/>
            <w:hideMark/>
          </w:tcPr>
          <w:p w14:paraId="14A6201E"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SPE</w:t>
            </w:r>
          </w:p>
        </w:tc>
      </w:tr>
      <w:tr w:rsidR="00A3112D" w:rsidRPr="00B74E01" w14:paraId="41E7DB83" w14:textId="77777777" w:rsidTr="0005008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392BE62E"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Pagamento das receitas principais</w:t>
            </w:r>
          </w:p>
        </w:tc>
        <w:tc>
          <w:tcPr>
            <w:tcW w:w="0" w:type="auto"/>
            <w:tcBorders>
              <w:top w:val="single" w:sz="4" w:space="0" w:color="auto"/>
              <w:left w:val="single" w:sz="4" w:space="0" w:color="auto"/>
              <w:bottom w:val="single" w:sz="4" w:space="0" w:color="auto"/>
              <w:right w:val="single" w:sz="4" w:space="0" w:color="auto"/>
            </w:tcBorders>
            <w:vAlign w:val="center"/>
            <w:hideMark/>
          </w:tcPr>
          <w:p w14:paraId="642A32B3"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Poder Concedente</w:t>
            </w:r>
          </w:p>
        </w:tc>
      </w:tr>
      <w:tr w:rsidR="00A3112D" w:rsidRPr="00B74E01" w14:paraId="0D074A96" w14:textId="77777777" w:rsidTr="0005008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76DD0C4D"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Disponibilização da área</w:t>
            </w:r>
          </w:p>
        </w:tc>
        <w:tc>
          <w:tcPr>
            <w:tcW w:w="0" w:type="auto"/>
            <w:tcBorders>
              <w:top w:val="single" w:sz="4" w:space="0" w:color="auto"/>
              <w:left w:val="single" w:sz="4" w:space="0" w:color="auto"/>
              <w:bottom w:val="single" w:sz="4" w:space="0" w:color="auto"/>
              <w:right w:val="single" w:sz="4" w:space="0" w:color="auto"/>
            </w:tcBorders>
            <w:vAlign w:val="center"/>
            <w:hideMark/>
          </w:tcPr>
          <w:p w14:paraId="192DCC67"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Poder Concedente</w:t>
            </w:r>
          </w:p>
        </w:tc>
      </w:tr>
      <w:tr w:rsidR="00A3112D" w:rsidRPr="00B74E01" w14:paraId="55B43DC7" w14:textId="77777777" w:rsidTr="0005008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6BC514B0"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Alteração unilateral do escopo</w:t>
            </w:r>
          </w:p>
        </w:tc>
        <w:tc>
          <w:tcPr>
            <w:tcW w:w="0" w:type="auto"/>
            <w:tcBorders>
              <w:top w:val="single" w:sz="4" w:space="0" w:color="auto"/>
              <w:left w:val="single" w:sz="4" w:space="0" w:color="auto"/>
              <w:bottom w:val="single" w:sz="4" w:space="0" w:color="auto"/>
              <w:right w:val="single" w:sz="4" w:space="0" w:color="auto"/>
            </w:tcBorders>
            <w:vAlign w:val="center"/>
            <w:hideMark/>
          </w:tcPr>
          <w:p w14:paraId="02B7869F"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Poder Concedente</w:t>
            </w:r>
          </w:p>
        </w:tc>
      </w:tr>
      <w:tr w:rsidR="00A3112D" w:rsidRPr="00B74E01" w14:paraId="04FF1D5C" w14:textId="77777777" w:rsidTr="0005008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7EB2E816"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lastRenderedPageBreak/>
              <w:t>Licenciamento operacional</w:t>
            </w:r>
          </w:p>
        </w:tc>
        <w:tc>
          <w:tcPr>
            <w:tcW w:w="0" w:type="auto"/>
            <w:tcBorders>
              <w:top w:val="single" w:sz="4" w:space="0" w:color="auto"/>
              <w:left w:val="single" w:sz="4" w:space="0" w:color="auto"/>
              <w:bottom w:val="single" w:sz="4" w:space="0" w:color="auto"/>
              <w:right w:val="single" w:sz="4" w:space="0" w:color="auto"/>
            </w:tcBorders>
            <w:vAlign w:val="center"/>
            <w:hideMark/>
          </w:tcPr>
          <w:p w14:paraId="307EA14F"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SPE</w:t>
            </w:r>
          </w:p>
        </w:tc>
      </w:tr>
      <w:tr w:rsidR="00A3112D" w:rsidRPr="00B74E01" w14:paraId="03174380" w14:textId="77777777" w:rsidTr="0005008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4A15F4BD"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Regularidade da área pública</w:t>
            </w:r>
          </w:p>
        </w:tc>
        <w:tc>
          <w:tcPr>
            <w:tcW w:w="0" w:type="auto"/>
            <w:tcBorders>
              <w:top w:val="single" w:sz="4" w:space="0" w:color="auto"/>
              <w:left w:val="single" w:sz="4" w:space="0" w:color="auto"/>
              <w:bottom w:val="single" w:sz="4" w:space="0" w:color="auto"/>
              <w:right w:val="single" w:sz="4" w:space="0" w:color="auto"/>
            </w:tcBorders>
            <w:vAlign w:val="center"/>
            <w:hideMark/>
          </w:tcPr>
          <w:p w14:paraId="475AD7D8"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Poder Concedente</w:t>
            </w:r>
          </w:p>
        </w:tc>
      </w:tr>
      <w:tr w:rsidR="00A3112D" w:rsidRPr="00B74E01" w14:paraId="44EE905D" w14:textId="77777777" w:rsidTr="0005008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2E854AA9"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Eventos extraordinários</w:t>
            </w:r>
          </w:p>
        </w:tc>
        <w:tc>
          <w:tcPr>
            <w:tcW w:w="0" w:type="auto"/>
            <w:tcBorders>
              <w:top w:val="single" w:sz="4" w:space="0" w:color="auto"/>
              <w:left w:val="single" w:sz="4" w:space="0" w:color="auto"/>
              <w:bottom w:val="single" w:sz="4" w:space="0" w:color="auto"/>
              <w:right w:val="single" w:sz="4" w:space="0" w:color="auto"/>
            </w:tcBorders>
            <w:vAlign w:val="center"/>
            <w:hideMark/>
          </w:tcPr>
          <w:p w14:paraId="4A8E01F9"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Conforme causa, impacto e contrato</w:t>
            </w:r>
          </w:p>
        </w:tc>
      </w:tr>
      <w:tr w:rsidR="00A3112D" w:rsidRPr="00B74E01" w14:paraId="2B3F289F" w14:textId="77777777" w:rsidTr="0005008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0F2510A3"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Força maior</w:t>
            </w:r>
          </w:p>
        </w:tc>
        <w:tc>
          <w:tcPr>
            <w:tcW w:w="0" w:type="auto"/>
            <w:tcBorders>
              <w:top w:val="single" w:sz="4" w:space="0" w:color="auto"/>
              <w:left w:val="single" w:sz="4" w:space="0" w:color="auto"/>
              <w:bottom w:val="single" w:sz="4" w:space="0" w:color="auto"/>
              <w:right w:val="single" w:sz="4" w:space="0" w:color="auto"/>
            </w:tcBorders>
            <w:vAlign w:val="center"/>
            <w:hideMark/>
          </w:tcPr>
          <w:p w14:paraId="1BFBF052"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Compartilhado ou conforme matriz específica</w:t>
            </w:r>
          </w:p>
        </w:tc>
      </w:tr>
    </w:tbl>
    <w:p w14:paraId="31062365"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Essa síntese demonstra que a matriz preserva o princípio de eficiência: cada risco é alocado à parte que possui melhores condições de controlá-lo ou suportá-lo.</w:t>
      </w:r>
    </w:p>
    <w:p w14:paraId="3C56D15B" w14:textId="77777777" w:rsidR="00A3112D" w:rsidRPr="00B74E01" w:rsidRDefault="00A3112D" w:rsidP="00DC662F">
      <w:pPr>
        <w:pStyle w:val="Ttulo2"/>
        <w:rPr>
          <w:rFonts w:eastAsia="Times New Roman"/>
          <w:lang w:eastAsia="pt-BR"/>
        </w:rPr>
      </w:pPr>
      <w:bookmarkStart w:id="215" w:name="_Toc230204217"/>
      <w:r w:rsidRPr="00B74E01">
        <w:rPr>
          <w:rFonts w:eastAsia="Times New Roman"/>
          <w:lang w:eastAsia="pt-BR"/>
        </w:rPr>
        <w:t>16.15. Relação entre matriz de riscos e reequilíbrio</w:t>
      </w:r>
      <w:bookmarkEnd w:id="215"/>
    </w:p>
    <w:p w14:paraId="69AA7655"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Nem todo risco materializado gera direito a reequilíbrio econômico-financeiro. Somente eventos alocados ao Poder Concedente, compartilhados ou expressamente previstos no contrato poderão ensejar reequilíbrio, desde que haja comprovação de impacto.</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517"/>
        <w:gridCol w:w="4544"/>
      </w:tblGrid>
      <w:tr w:rsidR="00A3112D" w:rsidRPr="00B74E01" w14:paraId="3D4AFEC1" w14:textId="77777777" w:rsidTr="00050088">
        <w:trPr>
          <w:tblHeader/>
          <w:tblCellSpacing w:w="15" w:type="dxa"/>
        </w:trPr>
        <w:tc>
          <w:tcPr>
            <w:tcW w:w="0" w:type="auto"/>
            <w:vAlign w:val="center"/>
            <w:hideMark/>
          </w:tcPr>
          <w:p w14:paraId="4B8A98C2" w14:textId="77777777" w:rsidR="00A3112D" w:rsidRPr="00B74E01" w:rsidRDefault="00A3112D" w:rsidP="00DC662F">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Situação</w:t>
            </w:r>
          </w:p>
        </w:tc>
        <w:tc>
          <w:tcPr>
            <w:tcW w:w="0" w:type="auto"/>
            <w:vAlign w:val="center"/>
            <w:hideMark/>
          </w:tcPr>
          <w:p w14:paraId="1F132A50" w14:textId="77777777" w:rsidR="00A3112D" w:rsidRPr="00B74E01" w:rsidRDefault="00A3112D" w:rsidP="00DC662F">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Direito automático a reequilíbrio?</w:t>
            </w:r>
          </w:p>
        </w:tc>
      </w:tr>
      <w:tr w:rsidR="00A3112D" w:rsidRPr="00B74E01" w14:paraId="0F74D95A" w14:textId="77777777" w:rsidTr="00050088">
        <w:trPr>
          <w:tblCellSpacing w:w="15" w:type="dxa"/>
        </w:trPr>
        <w:tc>
          <w:tcPr>
            <w:tcW w:w="0" w:type="auto"/>
            <w:vAlign w:val="center"/>
            <w:hideMark/>
          </w:tcPr>
          <w:p w14:paraId="011BF4BB"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Aumento ordinário de CAPEX</w:t>
            </w:r>
          </w:p>
        </w:tc>
        <w:tc>
          <w:tcPr>
            <w:tcW w:w="0" w:type="auto"/>
            <w:vAlign w:val="center"/>
            <w:hideMark/>
          </w:tcPr>
          <w:p w14:paraId="28884968"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Não</w:t>
            </w:r>
          </w:p>
        </w:tc>
      </w:tr>
      <w:tr w:rsidR="00A3112D" w:rsidRPr="00B74E01" w14:paraId="0455AF1F" w14:textId="77777777" w:rsidTr="00050088">
        <w:trPr>
          <w:tblCellSpacing w:w="15" w:type="dxa"/>
        </w:trPr>
        <w:tc>
          <w:tcPr>
            <w:tcW w:w="0" w:type="auto"/>
            <w:vAlign w:val="center"/>
            <w:hideMark/>
          </w:tcPr>
          <w:p w14:paraId="10C30403"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Aumento ordinário de OPEX</w:t>
            </w:r>
          </w:p>
        </w:tc>
        <w:tc>
          <w:tcPr>
            <w:tcW w:w="0" w:type="auto"/>
            <w:vAlign w:val="center"/>
            <w:hideMark/>
          </w:tcPr>
          <w:p w14:paraId="247DACAA"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Não</w:t>
            </w:r>
          </w:p>
        </w:tc>
      </w:tr>
      <w:tr w:rsidR="00A3112D" w:rsidRPr="00B74E01" w14:paraId="676B01A6" w14:textId="77777777" w:rsidTr="00050088">
        <w:trPr>
          <w:tblCellSpacing w:w="15" w:type="dxa"/>
        </w:trPr>
        <w:tc>
          <w:tcPr>
            <w:tcW w:w="0" w:type="auto"/>
            <w:vAlign w:val="center"/>
            <w:hideMark/>
          </w:tcPr>
          <w:p w14:paraId="662BDA51"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Falha tecnológica da SPE</w:t>
            </w:r>
          </w:p>
        </w:tc>
        <w:tc>
          <w:tcPr>
            <w:tcW w:w="0" w:type="auto"/>
            <w:vAlign w:val="center"/>
            <w:hideMark/>
          </w:tcPr>
          <w:p w14:paraId="3B633167"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Não</w:t>
            </w:r>
          </w:p>
        </w:tc>
      </w:tr>
      <w:tr w:rsidR="00A3112D" w:rsidRPr="00B74E01" w14:paraId="6A141320" w14:textId="77777777" w:rsidTr="00050088">
        <w:trPr>
          <w:tblCellSpacing w:w="15" w:type="dxa"/>
        </w:trPr>
        <w:tc>
          <w:tcPr>
            <w:tcW w:w="0" w:type="auto"/>
            <w:vAlign w:val="center"/>
            <w:hideMark/>
          </w:tcPr>
          <w:p w14:paraId="0F2B3737"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Frustração de receitas acessórias</w:t>
            </w:r>
          </w:p>
        </w:tc>
        <w:tc>
          <w:tcPr>
            <w:tcW w:w="0" w:type="auto"/>
            <w:vAlign w:val="center"/>
            <w:hideMark/>
          </w:tcPr>
          <w:p w14:paraId="07F200C4"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Não</w:t>
            </w:r>
          </w:p>
        </w:tc>
      </w:tr>
      <w:tr w:rsidR="00A3112D" w:rsidRPr="00B74E01" w14:paraId="385D6A37" w14:textId="77777777" w:rsidTr="00050088">
        <w:trPr>
          <w:tblCellSpacing w:w="15" w:type="dxa"/>
        </w:trPr>
        <w:tc>
          <w:tcPr>
            <w:tcW w:w="0" w:type="auto"/>
            <w:vAlign w:val="center"/>
            <w:hideMark/>
          </w:tcPr>
          <w:p w14:paraId="1F2EAE1C"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Não obtenção de comprador para subprodutos</w:t>
            </w:r>
          </w:p>
        </w:tc>
        <w:tc>
          <w:tcPr>
            <w:tcW w:w="0" w:type="auto"/>
            <w:vAlign w:val="center"/>
            <w:hideMark/>
          </w:tcPr>
          <w:p w14:paraId="5CDA28D5"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Não</w:t>
            </w:r>
          </w:p>
        </w:tc>
      </w:tr>
      <w:tr w:rsidR="00A3112D" w:rsidRPr="00B74E01" w14:paraId="15D8BC2B" w14:textId="77777777" w:rsidTr="00050088">
        <w:trPr>
          <w:tblCellSpacing w:w="15" w:type="dxa"/>
        </w:trPr>
        <w:tc>
          <w:tcPr>
            <w:tcW w:w="0" w:type="auto"/>
            <w:vAlign w:val="center"/>
            <w:hideMark/>
          </w:tcPr>
          <w:p w14:paraId="72C09CF7"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Atraso de pagamento pelo Município</w:t>
            </w:r>
          </w:p>
        </w:tc>
        <w:tc>
          <w:tcPr>
            <w:tcW w:w="0" w:type="auto"/>
            <w:vAlign w:val="center"/>
            <w:hideMark/>
          </w:tcPr>
          <w:p w14:paraId="62529987"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Pode gerar encargos, garantia e recomposição</w:t>
            </w:r>
          </w:p>
        </w:tc>
      </w:tr>
      <w:tr w:rsidR="00A3112D" w:rsidRPr="00B74E01" w14:paraId="4A238E7D" w14:textId="77777777" w:rsidTr="00050088">
        <w:trPr>
          <w:tblCellSpacing w:w="15" w:type="dxa"/>
        </w:trPr>
        <w:tc>
          <w:tcPr>
            <w:tcW w:w="0" w:type="auto"/>
            <w:vAlign w:val="center"/>
            <w:hideMark/>
          </w:tcPr>
          <w:p w14:paraId="36B77538"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Alteração unilateral de escopo pelo Município</w:t>
            </w:r>
          </w:p>
        </w:tc>
        <w:tc>
          <w:tcPr>
            <w:tcW w:w="0" w:type="auto"/>
            <w:vAlign w:val="center"/>
            <w:hideMark/>
          </w:tcPr>
          <w:p w14:paraId="3718B6A4"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Sim, se houver impacto</w:t>
            </w:r>
          </w:p>
        </w:tc>
      </w:tr>
      <w:tr w:rsidR="00A3112D" w:rsidRPr="00B74E01" w14:paraId="02346502" w14:textId="77777777" w:rsidTr="00050088">
        <w:trPr>
          <w:tblCellSpacing w:w="15" w:type="dxa"/>
        </w:trPr>
        <w:tc>
          <w:tcPr>
            <w:tcW w:w="0" w:type="auto"/>
            <w:vAlign w:val="center"/>
            <w:hideMark/>
          </w:tcPr>
          <w:p w14:paraId="511E343D"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Atraso na entrega da área pelo Município</w:t>
            </w:r>
          </w:p>
        </w:tc>
        <w:tc>
          <w:tcPr>
            <w:tcW w:w="0" w:type="auto"/>
            <w:vAlign w:val="center"/>
            <w:hideMark/>
          </w:tcPr>
          <w:p w14:paraId="0EC6F868"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Sim, se houver impacto</w:t>
            </w:r>
          </w:p>
        </w:tc>
      </w:tr>
      <w:tr w:rsidR="00A3112D" w:rsidRPr="00B74E01" w14:paraId="337C7308" w14:textId="77777777" w:rsidTr="00050088">
        <w:trPr>
          <w:tblCellSpacing w:w="15" w:type="dxa"/>
        </w:trPr>
        <w:tc>
          <w:tcPr>
            <w:tcW w:w="0" w:type="auto"/>
            <w:vAlign w:val="center"/>
            <w:hideMark/>
          </w:tcPr>
          <w:p w14:paraId="2F13AC2F"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Mudança normativa extraordinária específica</w:t>
            </w:r>
          </w:p>
        </w:tc>
        <w:tc>
          <w:tcPr>
            <w:tcW w:w="0" w:type="auto"/>
            <w:vAlign w:val="center"/>
            <w:hideMark/>
          </w:tcPr>
          <w:p w14:paraId="20C1523B"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Avaliar caso concreto</w:t>
            </w:r>
          </w:p>
        </w:tc>
      </w:tr>
      <w:tr w:rsidR="00A3112D" w:rsidRPr="00B74E01" w14:paraId="0FD1DDAB" w14:textId="77777777" w:rsidTr="00050088">
        <w:trPr>
          <w:tblCellSpacing w:w="15" w:type="dxa"/>
        </w:trPr>
        <w:tc>
          <w:tcPr>
            <w:tcW w:w="0" w:type="auto"/>
            <w:vAlign w:val="center"/>
            <w:hideMark/>
          </w:tcPr>
          <w:p w14:paraId="4855CC54"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Força maior</w:t>
            </w:r>
          </w:p>
        </w:tc>
        <w:tc>
          <w:tcPr>
            <w:tcW w:w="0" w:type="auto"/>
            <w:vAlign w:val="center"/>
            <w:hideMark/>
          </w:tcPr>
          <w:p w14:paraId="1E8C84DD"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Conforme contrato</w:t>
            </w:r>
          </w:p>
        </w:tc>
      </w:tr>
    </w:tbl>
    <w:p w14:paraId="01319243"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lastRenderedPageBreak/>
        <w:t xml:space="preserve">Esse ponto é fundamental para proteger o Município contra pleitos indevidos e, ao mesmo tempo, assegurar à SPE direito de recomposição quando houver evento legitimamente </w:t>
      </w:r>
      <w:proofErr w:type="spellStart"/>
      <w:r w:rsidRPr="00B74E01">
        <w:rPr>
          <w:rFonts w:eastAsia="Times New Roman" w:cs="Arial"/>
          <w:kern w:val="0"/>
          <w:lang w:eastAsia="pt-BR"/>
          <w14:ligatures w14:val="none"/>
        </w:rPr>
        <w:t>reequilibrável</w:t>
      </w:r>
      <w:proofErr w:type="spellEnd"/>
      <w:r w:rsidRPr="00B74E01">
        <w:rPr>
          <w:rFonts w:eastAsia="Times New Roman" w:cs="Arial"/>
          <w:kern w:val="0"/>
          <w:lang w:eastAsia="pt-BR"/>
          <w14:ligatures w14:val="none"/>
        </w:rPr>
        <w:t>.</w:t>
      </w:r>
    </w:p>
    <w:p w14:paraId="47976118" w14:textId="77777777" w:rsidR="00A3112D" w:rsidRPr="00B74E01" w:rsidRDefault="00A3112D" w:rsidP="00DC662F">
      <w:pPr>
        <w:pStyle w:val="Ttulo2"/>
        <w:rPr>
          <w:rFonts w:eastAsia="Times New Roman"/>
          <w:lang w:eastAsia="pt-BR"/>
        </w:rPr>
      </w:pPr>
      <w:bookmarkStart w:id="216" w:name="_Toc230204218"/>
      <w:r w:rsidRPr="00B74E01">
        <w:rPr>
          <w:rFonts w:eastAsia="Times New Roman"/>
          <w:lang w:eastAsia="pt-BR"/>
        </w:rPr>
        <w:t>16.16. Cláusula recomendada de interpretação da matriz</w:t>
      </w:r>
      <w:bookmarkEnd w:id="216"/>
    </w:p>
    <w:p w14:paraId="1574A213"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Recomenda-se inserir no contrato diretriz semelhante </w:t>
      </w:r>
      <w:proofErr w:type="gramStart"/>
      <w:r w:rsidRPr="00B74E01">
        <w:rPr>
          <w:rFonts w:eastAsia="Times New Roman" w:cs="Arial"/>
          <w:kern w:val="0"/>
          <w:lang w:eastAsia="pt-BR"/>
          <w14:ligatures w14:val="none"/>
        </w:rPr>
        <w:t>à</w:t>
      </w:r>
      <w:proofErr w:type="gramEnd"/>
      <w:r w:rsidRPr="00B74E01">
        <w:rPr>
          <w:rFonts w:eastAsia="Times New Roman" w:cs="Arial"/>
          <w:kern w:val="0"/>
          <w:lang w:eastAsia="pt-BR"/>
          <w14:ligatures w14:val="none"/>
        </w:rPr>
        <w:t xml:space="preserve"> seguinte:</w:t>
      </w:r>
    </w:p>
    <w:p w14:paraId="367A69E7"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materialização de risco expressamente alocado à SPE não ensejará direito automático ao reequilíbrio econômico-financeiro do contrato, ainda que produza impacto econômico relevante, por se tratar de risco ordinário assumido pela concessionária. Somente poderão ensejar recomposição os eventos alocados ao Poder Concedente, eventos compartilhados ou hipóteses expressamente previstas nesta matriz de riscos, desde que comprovado o nexo causal, o impacto efetivo e a impossibilidade de absorção ordinária pela parte responsável.</w:t>
      </w:r>
    </w:p>
    <w:p w14:paraId="113D82D6"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Essa cláusula dá segurança ao contrato e reduz espaço para interpretações oportunistas.</w:t>
      </w:r>
    </w:p>
    <w:p w14:paraId="0F82BD07" w14:textId="77777777" w:rsidR="00A3112D" w:rsidRPr="00B74E01" w:rsidRDefault="00A3112D" w:rsidP="00DC662F">
      <w:pPr>
        <w:pStyle w:val="Ttulo2"/>
        <w:rPr>
          <w:rFonts w:eastAsia="Times New Roman"/>
          <w:lang w:eastAsia="pt-BR"/>
        </w:rPr>
      </w:pPr>
      <w:bookmarkStart w:id="217" w:name="_Toc230204219"/>
      <w:r w:rsidRPr="00B74E01">
        <w:rPr>
          <w:rFonts w:eastAsia="Times New Roman"/>
          <w:lang w:eastAsia="pt-BR"/>
        </w:rPr>
        <w:t>16.17. Conclusão do tópico</w:t>
      </w:r>
      <w:bookmarkEnd w:id="217"/>
    </w:p>
    <w:p w14:paraId="259A754F"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 matriz de riscos econômico-financeiros é indispensável para a robustez da PPP. Ela organiza a alocação dos principais riscos do projeto, protege o Município </w:t>
      </w:r>
      <w:proofErr w:type="gramStart"/>
      <w:r w:rsidRPr="00B74E01">
        <w:rPr>
          <w:rFonts w:eastAsia="Times New Roman" w:cs="Arial"/>
          <w:kern w:val="0"/>
          <w:lang w:eastAsia="pt-BR"/>
          <w14:ligatures w14:val="none"/>
        </w:rPr>
        <w:t>contra transferência</w:t>
      </w:r>
      <w:proofErr w:type="gramEnd"/>
      <w:r w:rsidRPr="00B74E01">
        <w:rPr>
          <w:rFonts w:eastAsia="Times New Roman" w:cs="Arial"/>
          <w:kern w:val="0"/>
          <w:lang w:eastAsia="pt-BR"/>
          <w14:ligatures w14:val="none"/>
        </w:rPr>
        <w:t xml:space="preserve"> indevida de riscos empresariais e assegura à SPE tratamento adequado quando houver eventos imputáveis ao Poder Concedente ou eventos extraordinários previstos contratualmente.</w:t>
      </w:r>
    </w:p>
    <w:p w14:paraId="31932148"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diretriz central é clara: riscos de CAPEX, OPEX, tecnologia, operação, manutenção, financiamento ordinário e receitas acessórias devem ser predominantemente alocados à SPE. Já os riscos de pagamento das receitas principais, disponibilização da área, alteração unilateral do escopo e inadimplemento público devem ser alocados ao Poder Concedente, com proteção por garantias adequadas.</w:t>
      </w:r>
    </w:p>
    <w:p w14:paraId="747088DE"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lastRenderedPageBreak/>
        <w:t xml:space="preserve">A correta alocação de riscos melhora a </w:t>
      </w:r>
      <w:proofErr w:type="spellStart"/>
      <w:r w:rsidRPr="00B74E01">
        <w:rPr>
          <w:rFonts w:eastAsia="Times New Roman" w:cs="Arial"/>
          <w:kern w:val="0"/>
          <w:lang w:eastAsia="pt-BR"/>
          <w14:ligatures w14:val="none"/>
        </w:rPr>
        <w:t>bancabilidade</w:t>
      </w:r>
      <w:proofErr w:type="spellEnd"/>
      <w:r w:rsidRPr="00B74E01">
        <w:rPr>
          <w:rFonts w:eastAsia="Times New Roman" w:cs="Arial"/>
          <w:kern w:val="0"/>
          <w:lang w:eastAsia="pt-BR"/>
          <w14:ligatures w14:val="none"/>
        </w:rPr>
        <w:t>, reduz disputas futuras, orienta a formação das propostas e fortalece a defesa do projeto perante banca avaliadora, financiadores, Tribunal de Contas e Ministério Público.</w:t>
      </w:r>
    </w:p>
    <w:p w14:paraId="14537A20" w14:textId="77777777" w:rsidR="00DC662F" w:rsidRDefault="00DC662F" w:rsidP="00B74E01">
      <w:pPr>
        <w:spacing w:before="100" w:beforeAutospacing="1" w:after="100" w:afterAutospacing="1" w:line="360" w:lineRule="auto"/>
        <w:ind w:firstLine="709"/>
        <w:jc w:val="both"/>
        <w:outlineLvl w:val="0"/>
        <w:rPr>
          <w:rFonts w:eastAsia="Times New Roman" w:cs="Arial"/>
          <w:b/>
          <w:bCs/>
          <w:kern w:val="36"/>
          <w:lang w:eastAsia="pt-BR"/>
          <w14:ligatures w14:val="none"/>
        </w:rPr>
      </w:pPr>
    </w:p>
    <w:p w14:paraId="29693B83" w14:textId="77777777" w:rsidR="00DC662F" w:rsidRDefault="00DC662F" w:rsidP="00B74E01">
      <w:pPr>
        <w:spacing w:before="100" w:beforeAutospacing="1" w:after="100" w:afterAutospacing="1" w:line="360" w:lineRule="auto"/>
        <w:ind w:firstLine="709"/>
        <w:jc w:val="both"/>
        <w:outlineLvl w:val="0"/>
        <w:rPr>
          <w:rFonts w:eastAsia="Times New Roman" w:cs="Arial"/>
          <w:b/>
          <w:bCs/>
          <w:kern w:val="36"/>
          <w:lang w:eastAsia="pt-BR"/>
          <w14:ligatures w14:val="none"/>
        </w:rPr>
      </w:pPr>
    </w:p>
    <w:p w14:paraId="7D1600C6" w14:textId="77777777" w:rsidR="00DC662F" w:rsidRDefault="00DC662F" w:rsidP="00B74E01">
      <w:pPr>
        <w:spacing w:before="100" w:beforeAutospacing="1" w:after="100" w:afterAutospacing="1" w:line="360" w:lineRule="auto"/>
        <w:ind w:firstLine="709"/>
        <w:jc w:val="both"/>
        <w:outlineLvl w:val="0"/>
        <w:rPr>
          <w:rFonts w:eastAsia="Times New Roman" w:cs="Arial"/>
          <w:b/>
          <w:bCs/>
          <w:kern w:val="36"/>
          <w:lang w:eastAsia="pt-BR"/>
          <w14:ligatures w14:val="none"/>
        </w:rPr>
      </w:pPr>
    </w:p>
    <w:p w14:paraId="4246B2C6" w14:textId="77777777" w:rsidR="00DC662F" w:rsidRDefault="00DC662F" w:rsidP="00B74E01">
      <w:pPr>
        <w:spacing w:before="100" w:beforeAutospacing="1" w:after="100" w:afterAutospacing="1" w:line="360" w:lineRule="auto"/>
        <w:ind w:firstLine="709"/>
        <w:jc w:val="both"/>
        <w:outlineLvl w:val="0"/>
        <w:rPr>
          <w:rFonts w:eastAsia="Times New Roman" w:cs="Arial"/>
          <w:b/>
          <w:bCs/>
          <w:kern w:val="36"/>
          <w:lang w:eastAsia="pt-BR"/>
          <w14:ligatures w14:val="none"/>
        </w:rPr>
      </w:pPr>
    </w:p>
    <w:p w14:paraId="5088DE48" w14:textId="77777777" w:rsidR="00DC662F" w:rsidRDefault="00DC662F" w:rsidP="00B74E01">
      <w:pPr>
        <w:spacing w:before="100" w:beforeAutospacing="1" w:after="100" w:afterAutospacing="1" w:line="360" w:lineRule="auto"/>
        <w:ind w:firstLine="709"/>
        <w:jc w:val="both"/>
        <w:outlineLvl w:val="0"/>
        <w:rPr>
          <w:rFonts w:eastAsia="Times New Roman" w:cs="Arial"/>
          <w:b/>
          <w:bCs/>
          <w:kern w:val="36"/>
          <w:lang w:eastAsia="pt-BR"/>
          <w14:ligatures w14:val="none"/>
        </w:rPr>
      </w:pPr>
    </w:p>
    <w:p w14:paraId="62038304" w14:textId="77777777" w:rsidR="00DC662F" w:rsidRDefault="00DC662F" w:rsidP="00B74E01">
      <w:pPr>
        <w:spacing w:before="100" w:beforeAutospacing="1" w:after="100" w:afterAutospacing="1" w:line="360" w:lineRule="auto"/>
        <w:ind w:firstLine="709"/>
        <w:jc w:val="both"/>
        <w:outlineLvl w:val="0"/>
        <w:rPr>
          <w:rFonts w:eastAsia="Times New Roman" w:cs="Arial"/>
          <w:b/>
          <w:bCs/>
          <w:kern w:val="36"/>
          <w:lang w:eastAsia="pt-BR"/>
          <w14:ligatures w14:val="none"/>
        </w:rPr>
      </w:pPr>
    </w:p>
    <w:p w14:paraId="3C7957E3" w14:textId="77777777" w:rsidR="00DC662F" w:rsidRDefault="00DC662F" w:rsidP="00B74E01">
      <w:pPr>
        <w:spacing w:before="100" w:beforeAutospacing="1" w:after="100" w:afterAutospacing="1" w:line="360" w:lineRule="auto"/>
        <w:ind w:firstLine="709"/>
        <w:jc w:val="both"/>
        <w:outlineLvl w:val="0"/>
        <w:rPr>
          <w:rFonts w:eastAsia="Times New Roman" w:cs="Arial"/>
          <w:b/>
          <w:bCs/>
          <w:kern w:val="36"/>
          <w:lang w:eastAsia="pt-BR"/>
          <w14:ligatures w14:val="none"/>
        </w:rPr>
      </w:pPr>
    </w:p>
    <w:p w14:paraId="675D307C" w14:textId="77777777" w:rsidR="00DC662F" w:rsidRDefault="00DC662F" w:rsidP="00B74E01">
      <w:pPr>
        <w:spacing w:before="100" w:beforeAutospacing="1" w:after="100" w:afterAutospacing="1" w:line="360" w:lineRule="auto"/>
        <w:ind w:firstLine="709"/>
        <w:jc w:val="both"/>
        <w:outlineLvl w:val="0"/>
        <w:rPr>
          <w:rFonts w:eastAsia="Times New Roman" w:cs="Arial"/>
          <w:b/>
          <w:bCs/>
          <w:kern w:val="36"/>
          <w:lang w:eastAsia="pt-BR"/>
          <w14:ligatures w14:val="none"/>
        </w:rPr>
      </w:pPr>
    </w:p>
    <w:p w14:paraId="6565D22D" w14:textId="77777777" w:rsidR="00DC662F" w:rsidRDefault="00DC662F" w:rsidP="00B74E01">
      <w:pPr>
        <w:spacing w:before="100" w:beforeAutospacing="1" w:after="100" w:afterAutospacing="1" w:line="360" w:lineRule="auto"/>
        <w:ind w:firstLine="709"/>
        <w:jc w:val="both"/>
        <w:outlineLvl w:val="0"/>
        <w:rPr>
          <w:rFonts w:eastAsia="Times New Roman" w:cs="Arial"/>
          <w:b/>
          <w:bCs/>
          <w:kern w:val="36"/>
          <w:lang w:eastAsia="pt-BR"/>
          <w14:ligatures w14:val="none"/>
        </w:rPr>
      </w:pPr>
    </w:p>
    <w:p w14:paraId="54DFED84" w14:textId="77777777" w:rsidR="00DC662F" w:rsidRDefault="00DC662F" w:rsidP="00B74E01">
      <w:pPr>
        <w:spacing w:before="100" w:beforeAutospacing="1" w:after="100" w:afterAutospacing="1" w:line="360" w:lineRule="auto"/>
        <w:ind w:firstLine="709"/>
        <w:jc w:val="both"/>
        <w:outlineLvl w:val="0"/>
        <w:rPr>
          <w:rFonts w:eastAsia="Times New Roman" w:cs="Arial"/>
          <w:b/>
          <w:bCs/>
          <w:kern w:val="36"/>
          <w:lang w:eastAsia="pt-BR"/>
          <w14:ligatures w14:val="none"/>
        </w:rPr>
      </w:pPr>
    </w:p>
    <w:p w14:paraId="19567129" w14:textId="77777777" w:rsidR="00DC662F" w:rsidRDefault="00DC662F" w:rsidP="00B74E01">
      <w:pPr>
        <w:spacing w:before="100" w:beforeAutospacing="1" w:after="100" w:afterAutospacing="1" w:line="360" w:lineRule="auto"/>
        <w:ind w:firstLine="709"/>
        <w:jc w:val="both"/>
        <w:outlineLvl w:val="0"/>
        <w:rPr>
          <w:rFonts w:eastAsia="Times New Roman" w:cs="Arial"/>
          <w:b/>
          <w:bCs/>
          <w:kern w:val="36"/>
          <w:lang w:eastAsia="pt-BR"/>
          <w14:ligatures w14:val="none"/>
        </w:rPr>
      </w:pPr>
    </w:p>
    <w:p w14:paraId="4174C903" w14:textId="77777777" w:rsidR="00DC662F" w:rsidRDefault="00DC662F" w:rsidP="00B74E01">
      <w:pPr>
        <w:spacing w:before="100" w:beforeAutospacing="1" w:after="100" w:afterAutospacing="1" w:line="360" w:lineRule="auto"/>
        <w:ind w:firstLine="709"/>
        <w:jc w:val="both"/>
        <w:outlineLvl w:val="0"/>
        <w:rPr>
          <w:rFonts w:eastAsia="Times New Roman" w:cs="Arial"/>
          <w:b/>
          <w:bCs/>
          <w:kern w:val="36"/>
          <w:lang w:eastAsia="pt-BR"/>
          <w14:ligatures w14:val="none"/>
        </w:rPr>
      </w:pPr>
    </w:p>
    <w:p w14:paraId="7D441F0B" w14:textId="77777777" w:rsidR="00DC662F" w:rsidRDefault="00DC662F" w:rsidP="00B74E01">
      <w:pPr>
        <w:spacing w:before="100" w:beforeAutospacing="1" w:after="100" w:afterAutospacing="1" w:line="360" w:lineRule="auto"/>
        <w:ind w:firstLine="709"/>
        <w:jc w:val="both"/>
        <w:outlineLvl w:val="0"/>
        <w:rPr>
          <w:rFonts w:eastAsia="Times New Roman" w:cs="Arial"/>
          <w:b/>
          <w:bCs/>
          <w:kern w:val="36"/>
          <w:lang w:eastAsia="pt-BR"/>
          <w14:ligatures w14:val="none"/>
        </w:rPr>
      </w:pPr>
    </w:p>
    <w:p w14:paraId="602B3523" w14:textId="77777777" w:rsidR="00DC662F" w:rsidRDefault="00DC662F" w:rsidP="00B74E01">
      <w:pPr>
        <w:spacing w:before="100" w:beforeAutospacing="1" w:after="100" w:afterAutospacing="1" w:line="360" w:lineRule="auto"/>
        <w:ind w:firstLine="709"/>
        <w:jc w:val="both"/>
        <w:outlineLvl w:val="0"/>
        <w:rPr>
          <w:rFonts w:eastAsia="Times New Roman" w:cs="Arial"/>
          <w:b/>
          <w:bCs/>
          <w:kern w:val="36"/>
          <w:lang w:eastAsia="pt-BR"/>
          <w14:ligatures w14:val="none"/>
        </w:rPr>
      </w:pPr>
    </w:p>
    <w:p w14:paraId="171562F0" w14:textId="77777777" w:rsidR="00DC662F" w:rsidRDefault="00DC662F" w:rsidP="00B74E01">
      <w:pPr>
        <w:spacing w:before="100" w:beforeAutospacing="1" w:after="100" w:afterAutospacing="1" w:line="360" w:lineRule="auto"/>
        <w:ind w:firstLine="709"/>
        <w:jc w:val="both"/>
        <w:outlineLvl w:val="0"/>
        <w:rPr>
          <w:rFonts w:eastAsia="Times New Roman" w:cs="Arial"/>
          <w:b/>
          <w:bCs/>
          <w:kern w:val="36"/>
          <w:lang w:eastAsia="pt-BR"/>
          <w14:ligatures w14:val="none"/>
        </w:rPr>
      </w:pPr>
    </w:p>
    <w:p w14:paraId="3C39BF2C" w14:textId="77777777" w:rsidR="00DC662F" w:rsidRDefault="00DC662F" w:rsidP="00B74E01">
      <w:pPr>
        <w:spacing w:before="100" w:beforeAutospacing="1" w:after="100" w:afterAutospacing="1" w:line="360" w:lineRule="auto"/>
        <w:ind w:firstLine="709"/>
        <w:jc w:val="both"/>
        <w:outlineLvl w:val="0"/>
        <w:rPr>
          <w:rFonts w:eastAsia="Times New Roman" w:cs="Arial"/>
          <w:b/>
          <w:bCs/>
          <w:kern w:val="36"/>
          <w:lang w:eastAsia="pt-BR"/>
          <w14:ligatures w14:val="none"/>
        </w:rPr>
      </w:pPr>
    </w:p>
    <w:p w14:paraId="3F0F0354" w14:textId="77777777" w:rsidR="00DC662F" w:rsidRDefault="00DC662F" w:rsidP="00B74E01">
      <w:pPr>
        <w:spacing w:before="100" w:beforeAutospacing="1" w:after="100" w:afterAutospacing="1" w:line="360" w:lineRule="auto"/>
        <w:ind w:firstLine="709"/>
        <w:jc w:val="both"/>
        <w:outlineLvl w:val="0"/>
        <w:rPr>
          <w:rFonts w:eastAsia="Times New Roman" w:cs="Arial"/>
          <w:b/>
          <w:bCs/>
          <w:kern w:val="36"/>
          <w:lang w:eastAsia="pt-BR"/>
          <w14:ligatures w14:val="none"/>
        </w:rPr>
      </w:pPr>
    </w:p>
    <w:p w14:paraId="0BCDE434" w14:textId="77777777" w:rsidR="00DC662F" w:rsidRDefault="00DC662F" w:rsidP="00B74E01">
      <w:pPr>
        <w:spacing w:before="100" w:beforeAutospacing="1" w:after="100" w:afterAutospacing="1" w:line="360" w:lineRule="auto"/>
        <w:ind w:firstLine="709"/>
        <w:jc w:val="both"/>
        <w:outlineLvl w:val="0"/>
        <w:rPr>
          <w:rFonts w:eastAsia="Times New Roman" w:cs="Arial"/>
          <w:b/>
          <w:bCs/>
          <w:kern w:val="36"/>
          <w:lang w:eastAsia="pt-BR"/>
          <w14:ligatures w14:val="none"/>
        </w:rPr>
      </w:pPr>
    </w:p>
    <w:p w14:paraId="11ACE317" w14:textId="3DFF723A" w:rsidR="00A3112D" w:rsidRPr="00B74E01" w:rsidRDefault="00A3112D" w:rsidP="00DC662F">
      <w:pPr>
        <w:pStyle w:val="Ttulo1"/>
        <w:rPr>
          <w:rFonts w:eastAsia="Times New Roman"/>
          <w:lang w:eastAsia="pt-BR"/>
        </w:rPr>
      </w:pPr>
      <w:bookmarkStart w:id="218" w:name="_Toc230204220"/>
      <w:r w:rsidRPr="00B74E01">
        <w:rPr>
          <w:rFonts w:eastAsia="Times New Roman"/>
          <w:lang w:eastAsia="pt-BR"/>
        </w:rPr>
        <w:lastRenderedPageBreak/>
        <w:t>17. Reequilíbrio Econômico-Financeiro e Mecanismos de Recomposição</w:t>
      </w:r>
      <w:bookmarkEnd w:id="218"/>
    </w:p>
    <w:p w14:paraId="3090A7D9"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O reequilíbrio econômico-financeiro é mecanismo destinado a preservar a relação original entre encargos, riscos e remuneração da SPE, conforme estabelecida no contrato da PPP.</w:t>
      </w:r>
    </w:p>
    <w:p w14:paraId="3883F60A"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Em contratos de longo prazo, como a presente PPP, é natural que ocorram variações econômicas, operacionais, regulatórias, tributárias, ambientais e tecnológicas ao longo da execução. Contudo, nem toda variação gera direito à recomposição. O reequilíbrio deve ocorrer apenas quando houver evento previsto contratualmente, alocado ao Poder Concedente, compartilhado ou extraordinário, desde que comprovado o impacto efetivo sobre a equação econômico-financeira do contrato.</w:t>
      </w:r>
    </w:p>
    <w:p w14:paraId="3982BF0A"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correta disciplina do reequilíbrio é essencial para proteger simultaneamente o Município e a SPE. Protege o Município contra pleitos indevidos decorrentes de riscos ordinários da concessionária e protege a SPE contra alterações unilaterais, inadimplemento público ou eventos extraordinários que ultrapassem os riscos assumidos.</w:t>
      </w:r>
    </w:p>
    <w:p w14:paraId="40F9B6D6" w14:textId="77777777" w:rsidR="00A3112D" w:rsidRPr="00B74E01" w:rsidRDefault="00A3112D" w:rsidP="00DC662F">
      <w:pPr>
        <w:pStyle w:val="Ttulo2"/>
        <w:rPr>
          <w:rFonts w:eastAsia="Times New Roman"/>
          <w:lang w:eastAsia="pt-BR"/>
        </w:rPr>
      </w:pPr>
      <w:bookmarkStart w:id="219" w:name="_Toc230204221"/>
      <w:r w:rsidRPr="00B74E01">
        <w:rPr>
          <w:rFonts w:eastAsia="Times New Roman"/>
          <w:lang w:eastAsia="pt-BR"/>
        </w:rPr>
        <w:t>17.1. Finalidade do reequilíbrio econômico-financeiro</w:t>
      </w:r>
      <w:bookmarkEnd w:id="219"/>
    </w:p>
    <w:p w14:paraId="46E7FD71"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O reequilíbrio tem por finalidade preservar a equação econômico-financeira originalmente pactuada, evitando que uma das partes suporte impacto relevante decorrente de evento que, pela matriz de riscos, não lhe competia absorver.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757"/>
        <w:gridCol w:w="6304"/>
      </w:tblGrid>
      <w:tr w:rsidR="00A3112D" w:rsidRPr="00B74E01" w14:paraId="4BB612A9" w14:textId="77777777" w:rsidTr="00050088">
        <w:trPr>
          <w:tblHeade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4CF2BFC0" w14:textId="77777777" w:rsidR="00A3112D" w:rsidRPr="00B74E01" w:rsidRDefault="00A3112D" w:rsidP="00DC662F">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Finalidade</w:t>
            </w:r>
          </w:p>
        </w:tc>
        <w:tc>
          <w:tcPr>
            <w:tcW w:w="0" w:type="auto"/>
            <w:tcBorders>
              <w:top w:val="single" w:sz="4" w:space="0" w:color="auto"/>
              <w:left w:val="single" w:sz="4" w:space="0" w:color="auto"/>
              <w:bottom w:val="single" w:sz="4" w:space="0" w:color="auto"/>
              <w:right w:val="single" w:sz="4" w:space="0" w:color="auto"/>
            </w:tcBorders>
            <w:vAlign w:val="center"/>
            <w:hideMark/>
          </w:tcPr>
          <w:p w14:paraId="17B31194" w14:textId="77777777" w:rsidR="00A3112D" w:rsidRPr="00B74E01" w:rsidRDefault="00A3112D" w:rsidP="00DC662F">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Descrição</w:t>
            </w:r>
          </w:p>
        </w:tc>
      </w:tr>
      <w:tr w:rsidR="00A3112D" w:rsidRPr="00B74E01" w14:paraId="738C6EC5" w14:textId="77777777" w:rsidTr="0005008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22F6CA91"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Preservar a equação contratual</w:t>
            </w:r>
          </w:p>
        </w:tc>
        <w:tc>
          <w:tcPr>
            <w:tcW w:w="0" w:type="auto"/>
            <w:tcBorders>
              <w:top w:val="single" w:sz="4" w:space="0" w:color="auto"/>
              <w:left w:val="single" w:sz="4" w:space="0" w:color="auto"/>
              <w:bottom w:val="single" w:sz="4" w:space="0" w:color="auto"/>
              <w:right w:val="single" w:sz="4" w:space="0" w:color="auto"/>
            </w:tcBorders>
            <w:vAlign w:val="center"/>
            <w:hideMark/>
          </w:tcPr>
          <w:p w14:paraId="70C5E91A"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Manter coerência entre encargos, riscos e remuneração</w:t>
            </w:r>
          </w:p>
        </w:tc>
      </w:tr>
      <w:tr w:rsidR="00A3112D" w:rsidRPr="00B74E01" w14:paraId="16745F41" w14:textId="77777777" w:rsidTr="0005008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6D828429"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Proteger a SPE</w:t>
            </w:r>
          </w:p>
        </w:tc>
        <w:tc>
          <w:tcPr>
            <w:tcW w:w="0" w:type="auto"/>
            <w:tcBorders>
              <w:top w:val="single" w:sz="4" w:space="0" w:color="auto"/>
              <w:left w:val="single" w:sz="4" w:space="0" w:color="auto"/>
              <w:bottom w:val="single" w:sz="4" w:space="0" w:color="auto"/>
              <w:right w:val="single" w:sz="4" w:space="0" w:color="auto"/>
            </w:tcBorders>
            <w:vAlign w:val="center"/>
            <w:hideMark/>
          </w:tcPr>
          <w:p w14:paraId="4314F7D4"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Recompor impactos de eventos atribuídos ao Poder Concedente ou extraordinários</w:t>
            </w:r>
          </w:p>
        </w:tc>
      </w:tr>
      <w:tr w:rsidR="00A3112D" w:rsidRPr="00B74E01" w14:paraId="6D9DA379" w14:textId="77777777" w:rsidTr="0005008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0976EEEC"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Proteger o Município</w:t>
            </w:r>
          </w:p>
        </w:tc>
        <w:tc>
          <w:tcPr>
            <w:tcW w:w="0" w:type="auto"/>
            <w:tcBorders>
              <w:top w:val="single" w:sz="4" w:space="0" w:color="auto"/>
              <w:left w:val="single" w:sz="4" w:space="0" w:color="auto"/>
              <w:bottom w:val="single" w:sz="4" w:space="0" w:color="auto"/>
              <w:right w:val="single" w:sz="4" w:space="0" w:color="auto"/>
            </w:tcBorders>
            <w:vAlign w:val="center"/>
            <w:hideMark/>
          </w:tcPr>
          <w:p w14:paraId="32B890F4"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Impedir recomposição por riscos ordinários da SPE</w:t>
            </w:r>
          </w:p>
        </w:tc>
      </w:tr>
      <w:tr w:rsidR="00A3112D" w:rsidRPr="00B74E01" w14:paraId="36D1A9A0" w14:textId="77777777" w:rsidTr="0005008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53955A0F"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lastRenderedPageBreak/>
              <w:t>Reduzir litígios</w:t>
            </w:r>
          </w:p>
        </w:tc>
        <w:tc>
          <w:tcPr>
            <w:tcW w:w="0" w:type="auto"/>
            <w:tcBorders>
              <w:top w:val="single" w:sz="4" w:space="0" w:color="auto"/>
              <w:left w:val="single" w:sz="4" w:space="0" w:color="auto"/>
              <w:bottom w:val="single" w:sz="4" w:space="0" w:color="auto"/>
              <w:right w:val="single" w:sz="4" w:space="0" w:color="auto"/>
            </w:tcBorders>
            <w:vAlign w:val="center"/>
            <w:hideMark/>
          </w:tcPr>
          <w:p w14:paraId="23ACCA17"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Definir procedimento objetivo para análise dos pleitos</w:t>
            </w:r>
          </w:p>
        </w:tc>
      </w:tr>
      <w:tr w:rsidR="00A3112D" w:rsidRPr="00B74E01" w14:paraId="5A639635" w14:textId="77777777" w:rsidTr="0005008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24652DBA"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 xml:space="preserve">Melhorar </w:t>
            </w:r>
            <w:proofErr w:type="spellStart"/>
            <w:r w:rsidRPr="00B74E01">
              <w:rPr>
                <w:rFonts w:eastAsia="Times New Roman" w:cs="Arial"/>
                <w:kern w:val="0"/>
                <w:lang w:eastAsia="pt-BR"/>
                <w14:ligatures w14:val="none"/>
              </w:rPr>
              <w:t>bancabilidade</w:t>
            </w:r>
            <w:proofErr w:type="spellEnd"/>
          </w:p>
        </w:tc>
        <w:tc>
          <w:tcPr>
            <w:tcW w:w="0" w:type="auto"/>
            <w:tcBorders>
              <w:top w:val="single" w:sz="4" w:space="0" w:color="auto"/>
              <w:left w:val="single" w:sz="4" w:space="0" w:color="auto"/>
              <w:bottom w:val="single" w:sz="4" w:space="0" w:color="auto"/>
              <w:right w:val="single" w:sz="4" w:space="0" w:color="auto"/>
            </w:tcBorders>
            <w:vAlign w:val="center"/>
            <w:hideMark/>
          </w:tcPr>
          <w:p w14:paraId="589800CD"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Dar previsibilidade ao tratamento de eventos relevantes</w:t>
            </w:r>
          </w:p>
        </w:tc>
      </w:tr>
      <w:tr w:rsidR="00A3112D" w:rsidRPr="00B74E01" w14:paraId="67DDE1B4" w14:textId="77777777" w:rsidTr="0005008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39865203"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Fortalecer controle externo</w:t>
            </w:r>
          </w:p>
        </w:tc>
        <w:tc>
          <w:tcPr>
            <w:tcW w:w="0" w:type="auto"/>
            <w:tcBorders>
              <w:top w:val="single" w:sz="4" w:space="0" w:color="auto"/>
              <w:left w:val="single" w:sz="4" w:space="0" w:color="auto"/>
              <w:bottom w:val="single" w:sz="4" w:space="0" w:color="auto"/>
              <w:right w:val="single" w:sz="4" w:space="0" w:color="auto"/>
            </w:tcBorders>
            <w:vAlign w:val="center"/>
            <w:hideMark/>
          </w:tcPr>
          <w:p w14:paraId="71050000" w14:textId="77777777" w:rsidR="00A3112D" w:rsidRPr="00B74E01" w:rsidRDefault="00A3112D" w:rsidP="00DC662F">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Tornar auditável a análise de impactos e recomposições</w:t>
            </w:r>
          </w:p>
        </w:tc>
      </w:tr>
    </w:tbl>
    <w:p w14:paraId="4628B133"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O reequilíbrio não deve ser usado como mecanismo automático de compensação de qualquer perda econômica. Ele deve obedecer à matriz de riscos, à legislação aplicável, ao contrato e à comprovação técnica do impacto.</w:t>
      </w:r>
    </w:p>
    <w:p w14:paraId="2A345A17" w14:textId="77777777" w:rsidR="00A3112D" w:rsidRPr="00B74E01" w:rsidRDefault="00A3112D" w:rsidP="00CE7617">
      <w:pPr>
        <w:pStyle w:val="Ttulo2"/>
        <w:rPr>
          <w:rFonts w:eastAsia="Times New Roman"/>
          <w:lang w:eastAsia="pt-BR"/>
        </w:rPr>
      </w:pPr>
      <w:bookmarkStart w:id="220" w:name="_Toc230204222"/>
      <w:r w:rsidRPr="00B74E01">
        <w:rPr>
          <w:rFonts w:eastAsia="Times New Roman"/>
          <w:lang w:eastAsia="pt-BR"/>
        </w:rPr>
        <w:t>17.2. Eventos que não devem gerar reequilíbrio automático</w:t>
      </w:r>
      <w:bookmarkEnd w:id="220"/>
    </w:p>
    <w:p w14:paraId="3570FDF8"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Devem ser expressamente tratados como riscos ordinários da SPE, sem direito automático à recomposição:</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7392"/>
        <w:gridCol w:w="1669"/>
      </w:tblGrid>
      <w:tr w:rsidR="00A3112D" w:rsidRPr="00B74E01" w14:paraId="794A51F7" w14:textId="77777777" w:rsidTr="00050088">
        <w:trPr>
          <w:tblHeader/>
          <w:tblCellSpacing w:w="15" w:type="dxa"/>
        </w:trPr>
        <w:tc>
          <w:tcPr>
            <w:tcW w:w="0" w:type="auto"/>
            <w:vAlign w:val="center"/>
            <w:hideMark/>
          </w:tcPr>
          <w:p w14:paraId="4ACBF639" w14:textId="77777777" w:rsidR="00A3112D" w:rsidRPr="00B74E01" w:rsidRDefault="00A3112D" w:rsidP="00CE7617">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Evento</w:t>
            </w:r>
          </w:p>
        </w:tc>
        <w:tc>
          <w:tcPr>
            <w:tcW w:w="1531" w:type="dxa"/>
            <w:vAlign w:val="center"/>
            <w:hideMark/>
          </w:tcPr>
          <w:p w14:paraId="0DB1CE77" w14:textId="77777777" w:rsidR="00A3112D" w:rsidRPr="00B74E01" w:rsidRDefault="00A3112D" w:rsidP="00CE7617">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Tratamento recomendado</w:t>
            </w:r>
          </w:p>
        </w:tc>
      </w:tr>
      <w:tr w:rsidR="00A3112D" w:rsidRPr="00B74E01" w14:paraId="29203AAB" w14:textId="77777777" w:rsidTr="00050088">
        <w:trPr>
          <w:tblCellSpacing w:w="15" w:type="dxa"/>
        </w:trPr>
        <w:tc>
          <w:tcPr>
            <w:tcW w:w="0" w:type="auto"/>
            <w:vAlign w:val="center"/>
            <w:hideMark/>
          </w:tcPr>
          <w:p w14:paraId="33376D6A"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Aumento ordinário de CAPEX</w:t>
            </w:r>
          </w:p>
        </w:tc>
        <w:tc>
          <w:tcPr>
            <w:tcW w:w="1531" w:type="dxa"/>
            <w:vAlign w:val="center"/>
            <w:hideMark/>
          </w:tcPr>
          <w:p w14:paraId="706D3892"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Risco da SPE</w:t>
            </w:r>
          </w:p>
        </w:tc>
      </w:tr>
      <w:tr w:rsidR="00A3112D" w:rsidRPr="00B74E01" w14:paraId="01D79173" w14:textId="77777777" w:rsidTr="00050088">
        <w:trPr>
          <w:tblCellSpacing w:w="15" w:type="dxa"/>
        </w:trPr>
        <w:tc>
          <w:tcPr>
            <w:tcW w:w="0" w:type="auto"/>
            <w:vAlign w:val="center"/>
            <w:hideMark/>
          </w:tcPr>
          <w:p w14:paraId="54776EE3"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Aumento ordinário de OPEX</w:t>
            </w:r>
          </w:p>
        </w:tc>
        <w:tc>
          <w:tcPr>
            <w:tcW w:w="1531" w:type="dxa"/>
            <w:vAlign w:val="center"/>
            <w:hideMark/>
          </w:tcPr>
          <w:p w14:paraId="04E5E039"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Risco da SPE</w:t>
            </w:r>
          </w:p>
        </w:tc>
      </w:tr>
      <w:tr w:rsidR="00A3112D" w:rsidRPr="00B74E01" w14:paraId="3707DF0D" w14:textId="77777777" w:rsidTr="00050088">
        <w:trPr>
          <w:tblCellSpacing w:w="15" w:type="dxa"/>
        </w:trPr>
        <w:tc>
          <w:tcPr>
            <w:tcW w:w="0" w:type="auto"/>
            <w:vAlign w:val="center"/>
            <w:hideMark/>
          </w:tcPr>
          <w:p w14:paraId="45F398BB"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Erro de orçamento do licitante</w:t>
            </w:r>
          </w:p>
        </w:tc>
        <w:tc>
          <w:tcPr>
            <w:tcW w:w="1531" w:type="dxa"/>
            <w:vAlign w:val="center"/>
            <w:hideMark/>
          </w:tcPr>
          <w:p w14:paraId="2D37215E"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Risco da SPE</w:t>
            </w:r>
          </w:p>
        </w:tc>
      </w:tr>
      <w:tr w:rsidR="00A3112D" w:rsidRPr="00B74E01" w14:paraId="658F3ED3" w14:textId="77777777" w:rsidTr="00050088">
        <w:trPr>
          <w:tblCellSpacing w:w="15" w:type="dxa"/>
        </w:trPr>
        <w:tc>
          <w:tcPr>
            <w:tcW w:w="0" w:type="auto"/>
            <w:vAlign w:val="center"/>
            <w:hideMark/>
          </w:tcPr>
          <w:p w14:paraId="4404CFA3"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Variação cambial ordinária</w:t>
            </w:r>
          </w:p>
        </w:tc>
        <w:tc>
          <w:tcPr>
            <w:tcW w:w="1531" w:type="dxa"/>
            <w:vAlign w:val="center"/>
            <w:hideMark/>
          </w:tcPr>
          <w:p w14:paraId="079E78DC"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Risco da SPE</w:t>
            </w:r>
          </w:p>
        </w:tc>
      </w:tr>
      <w:tr w:rsidR="00A3112D" w:rsidRPr="00B74E01" w14:paraId="4A842039" w14:textId="77777777" w:rsidTr="00050088">
        <w:trPr>
          <w:tblCellSpacing w:w="15" w:type="dxa"/>
        </w:trPr>
        <w:tc>
          <w:tcPr>
            <w:tcW w:w="0" w:type="auto"/>
            <w:vAlign w:val="center"/>
            <w:hideMark/>
          </w:tcPr>
          <w:p w14:paraId="436A199E"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Atraso de fornecedor</w:t>
            </w:r>
          </w:p>
        </w:tc>
        <w:tc>
          <w:tcPr>
            <w:tcW w:w="1531" w:type="dxa"/>
            <w:vAlign w:val="center"/>
            <w:hideMark/>
          </w:tcPr>
          <w:p w14:paraId="58658AA1"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Risco da SPE</w:t>
            </w:r>
          </w:p>
        </w:tc>
      </w:tr>
      <w:tr w:rsidR="00A3112D" w:rsidRPr="00B74E01" w14:paraId="759FB3C8" w14:textId="77777777" w:rsidTr="00050088">
        <w:trPr>
          <w:tblCellSpacing w:w="15" w:type="dxa"/>
        </w:trPr>
        <w:tc>
          <w:tcPr>
            <w:tcW w:w="0" w:type="auto"/>
            <w:vAlign w:val="center"/>
            <w:hideMark/>
          </w:tcPr>
          <w:p w14:paraId="49D50D76"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Falha de tecnologia escolhida pela SPE</w:t>
            </w:r>
          </w:p>
        </w:tc>
        <w:tc>
          <w:tcPr>
            <w:tcW w:w="1531" w:type="dxa"/>
            <w:vAlign w:val="center"/>
            <w:hideMark/>
          </w:tcPr>
          <w:p w14:paraId="0D725125"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Risco da SPE</w:t>
            </w:r>
          </w:p>
        </w:tc>
      </w:tr>
      <w:tr w:rsidR="00A3112D" w:rsidRPr="00B74E01" w14:paraId="719BF459" w14:textId="77777777" w:rsidTr="00050088">
        <w:trPr>
          <w:tblCellSpacing w:w="15" w:type="dxa"/>
        </w:trPr>
        <w:tc>
          <w:tcPr>
            <w:tcW w:w="0" w:type="auto"/>
            <w:vAlign w:val="center"/>
            <w:hideMark/>
          </w:tcPr>
          <w:p w14:paraId="0AC0FA78"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Baixa eficiência operacional</w:t>
            </w:r>
          </w:p>
        </w:tc>
        <w:tc>
          <w:tcPr>
            <w:tcW w:w="1531" w:type="dxa"/>
            <w:vAlign w:val="center"/>
            <w:hideMark/>
          </w:tcPr>
          <w:p w14:paraId="285575FB"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Risco da SPE</w:t>
            </w:r>
          </w:p>
        </w:tc>
      </w:tr>
      <w:tr w:rsidR="00A3112D" w:rsidRPr="00B74E01" w14:paraId="7B5749A6" w14:textId="77777777" w:rsidTr="00050088">
        <w:trPr>
          <w:tblCellSpacing w:w="15" w:type="dxa"/>
        </w:trPr>
        <w:tc>
          <w:tcPr>
            <w:tcW w:w="0" w:type="auto"/>
            <w:vAlign w:val="center"/>
            <w:hideMark/>
          </w:tcPr>
          <w:p w14:paraId="06F9F631"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Aumento ordinário de manutenção</w:t>
            </w:r>
          </w:p>
        </w:tc>
        <w:tc>
          <w:tcPr>
            <w:tcW w:w="1531" w:type="dxa"/>
            <w:vAlign w:val="center"/>
            <w:hideMark/>
          </w:tcPr>
          <w:p w14:paraId="3E667305"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Risco da SPE</w:t>
            </w:r>
          </w:p>
        </w:tc>
      </w:tr>
      <w:tr w:rsidR="00A3112D" w:rsidRPr="00B74E01" w14:paraId="185C1081" w14:textId="77777777" w:rsidTr="00050088">
        <w:trPr>
          <w:tblCellSpacing w:w="15" w:type="dxa"/>
        </w:trPr>
        <w:tc>
          <w:tcPr>
            <w:tcW w:w="0" w:type="auto"/>
            <w:vAlign w:val="center"/>
            <w:hideMark/>
          </w:tcPr>
          <w:p w14:paraId="5EB16668"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Frustração de receitas acessórias</w:t>
            </w:r>
          </w:p>
        </w:tc>
        <w:tc>
          <w:tcPr>
            <w:tcW w:w="1531" w:type="dxa"/>
            <w:vAlign w:val="center"/>
            <w:hideMark/>
          </w:tcPr>
          <w:p w14:paraId="56B27C6C"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Risco da SPE</w:t>
            </w:r>
          </w:p>
        </w:tc>
      </w:tr>
      <w:tr w:rsidR="00A3112D" w:rsidRPr="00B74E01" w14:paraId="39EA609A" w14:textId="77777777" w:rsidTr="00050088">
        <w:trPr>
          <w:tblCellSpacing w:w="15" w:type="dxa"/>
        </w:trPr>
        <w:tc>
          <w:tcPr>
            <w:tcW w:w="0" w:type="auto"/>
            <w:vAlign w:val="center"/>
            <w:hideMark/>
          </w:tcPr>
          <w:p w14:paraId="1EF1F377"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Ausência de comprador para subprodutos</w:t>
            </w:r>
          </w:p>
        </w:tc>
        <w:tc>
          <w:tcPr>
            <w:tcW w:w="1531" w:type="dxa"/>
            <w:vAlign w:val="center"/>
            <w:hideMark/>
          </w:tcPr>
          <w:p w14:paraId="4315E476"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Risco da SPE</w:t>
            </w:r>
          </w:p>
        </w:tc>
      </w:tr>
      <w:tr w:rsidR="00A3112D" w:rsidRPr="00B74E01" w14:paraId="20DDBDC2" w14:textId="77777777" w:rsidTr="00050088">
        <w:trPr>
          <w:tblCellSpacing w:w="15" w:type="dxa"/>
        </w:trPr>
        <w:tc>
          <w:tcPr>
            <w:tcW w:w="0" w:type="auto"/>
            <w:vAlign w:val="center"/>
            <w:hideMark/>
          </w:tcPr>
          <w:p w14:paraId="6F88D6B3"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 xml:space="preserve">Preço inferior de </w:t>
            </w:r>
            <w:proofErr w:type="spellStart"/>
            <w:r w:rsidRPr="00B74E01">
              <w:rPr>
                <w:rFonts w:eastAsia="Times New Roman" w:cs="Arial"/>
                <w:kern w:val="0"/>
                <w:lang w:eastAsia="pt-BR"/>
                <w14:ligatures w14:val="none"/>
              </w:rPr>
              <w:t>biochar</w:t>
            </w:r>
            <w:proofErr w:type="spellEnd"/>
            <w:r w:rsidRPr="00B74E01">
              <w:rPr>
                <w:rFonts w:eastAsia="Times New Roman" w:cs="Arial"/>
                <w:kern w:val="0"/>
                <w:lang w:eastAsia="pt-BR"/>
                <w14:ligatures w14:val="none"/>
              </w:rPr>
              <w:t>, óleo/extrato ou créditos de carbono</w:t>
            </w:r>
          </w:p>
        </w:tc>
        <w:tc>
          <w:tcPr>
            <w:tcW w:w="1531" w:type="dxa"/>
            <w:vAlign w:val="center"/>
            <w:hideMark/>
          </w:tcPr>
          <w:p w14:paraId="6FA17A4D"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Risco da SPE</w:t>
            </w:r>
          </w:p>
        </w:tc>
      </w:tr>
      <w:tr w:rsidR="00A3112D" w:rsidRPr="00B74E01" w14:paraId="16DBE80D" w14:textId="77777777" w:rsidTr="00050088">
        <w:trPr>
          <w:tblCellSpacing w:w="15" w:type="dxa"/>
        </w:trPr>
        <w:tc>
          <w:tcPr>
            <w:tcW w:w="0" w:type="auto"/>
            <w:vAlign w:val="center"/>
            <w:hideMark/>
          </w:tcPr>
          <w:p w14:paraId="75C57099"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Não certificação de créditos de carbono</w:t>
            </w:r>
          </w:p>
        </w:tc>
        <w:tc>
          <w:tcPr>
            <w:tcW w:w="1531" w:type="dxa"/>
            <w:vAlign w:val="center"/>
            <w:hideMark/>
          </w:tcPr>
          <w:p w14:paraId="327D9578"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Risco da SPE</w:t>
            </w:r>
          </w:p>
        </w:tc>
      </w:tr>
      <w:tr w:rsidR="00A3112D" w:rsidRPr="00B74E01" w14:paraId="79409CD5" w14:textId="77777777" w:rsidTr="00050088">
        <w:trPr>
          <w:tblCellSpacing w:w="15" w:type="dxa"/>
        </w:trPr>
        <w:tc>
          <w:tcPr>
            <w:tcW w:w="0" w:type="auto"/>
            <w:vAlign w:val="center"/>
            <w:hideMark/>
          </w:tcPr>
          <w:p w14:paraId="0D61EAD4"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Não obtenção de financiamento nas condições esperadas</w:t>
            </w:r>
          </w:p>
        </w:tc>
        <w:tc>
          <w:tcPr>
            <w:tcW w:w="1531" w:type="dxa"/>
            <w:vAlign w:val="center"/>
            <w:hideMark/>
          </w:tcPr>
          <w:p w14:paraId="007A9206"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Risco da SPE</w:t>
            </w:r>
          </w:p>
        </w:tc>
      </w:tr>
      <w:tr w:rsidR="00A3112D" w:rsidRPr="00B74E01" w14:paraId="4D60B762" w14:textId="77777777" w:rsidTr="00050088">
        <w:trPr>
          <w:tblCellSpacing w:w="15" w:type="dxa"/>
        </w:trPr>
        <w:tc>
          <w:tcPr>
            <w:tcW w:w="0" w:type="auto"/>
            <w:vAlign w:val="center"/>
            <w:hideMark/>
          </w:tcPr>
          <w:p w14:paraId="3ECDA179"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lastRenderedPageBreak/>
              <w:t>Taxa de juros superior à estimada, em condições ordinárias de mercado</w:t>
            </w:r>
          </w:p>
        </w:tc>
        <w:tc>
          <w:tcPr>
            <w:tcW w:w="1531" w:type="dxa"/>
            <w:vAlign w:val="center"/>
            <w:hideMark/>
          </w:tcPr>
          <w:p w14:paraId="71B87B57"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Risco da SPE</w:t>
            </w:r>
          </w:p>
        </w:tc>
      </w:tr>
    </w:tbl>
    <w:p w14:paraId="12681155"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Esse ponto é fundamental. A SPE deve capturar os ganhos empresariais da operação, inclusive receitas acessórias, mas também deve assumir os riscos ordinários de mercado, tecnologia, operação, financiamento e comercialização.</w:t>
      </w:r>
    </w:p>
    <w:p w14:paraId="31659BCB" w14:textId="77777777" w:rsidR="00A3112D" w:rsidRPr="00B74E01" w:rsidRDefault="00A3112D" w:rsidP="00CE7617">
      <w:pPr>
        <w:pStyle w:val="Ttulo2"/>
        <w:rPr>
          <w:rFonts w:eastAsia="Times New Roman"/>
          <w:lang w:eastAsia="pt-BR"/>
        </w:rPr>
      </w:pPr>
      <w:bookmarkStart w:id="221" w:name="_Toc230204223"/>
      <w:r w:rsidRPr="00B74E01">
        <w:rPr>
          <w:rFonts w:eastAsia="Times New Roman"/>
          <w:lang w:eastAsia="pt-BR"/>
        </w:rPr>
        <w:t>17.3. Eventos que podem ensejar reequilíbrio</w:t>
      </w:r>
      <w:bookmarkEnd w:id="221"/>
    </w:p>
    <w:p w14:paraId="22167CAF"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Poderão ensejar reequilíbrio, desde que comprovado impacto efetivo e nexo causal, os eventos alocados ao Poder Concedente ou expressamente previstos no contrato.</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477"/>
        <w:gridCol w:w="4584"/>
      </w:tblGrid>
      <w:tr w:rsidR="00A3112D" w:rsidRPr="00B74E01" w14:paraId="083D61DA" w14:textId="77777777" w:rsidTr="00050088">
        <w:trPr>
          <w:tblHeade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53BA196B" w14:textId="77777777" w:rsidR="00A3112D" w:rsidRPr="00B74E01" w:rsidRDefault="00A3112D" w:rsidP="00CE7617">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Evento</w:t>
            </w:r>
          </w:p>
        </w:tc>
        <w:tc>
          <w:tcPr>
            <w:tcW w:w="0" w:type="auto"/>
            <w:tcBorders>
              <w:top w:val="single" w:sz="4" w:space="0" w:color="auto"/>
              <w:left w:val="single" w:sz="4" w:space="0" w:color="auto"/>
              <w:bottom w:val="single" w:sz="4" w:space="0" w:color="auto"/>
              <w:right w:val="single" w:sz="4" w:space="0" w:color="auto"/>
            </w:tcBorders>
            <w:vAlign w:val="center"/>
            <w:hideMark/>
          </w:tcPr>
          <w:p w14:paraId="256E0187" w14:textId="77777777" w:rsidR="00A3112D" w:rsidRPr="00B74E01" w:rsidRDefault="00A3112D" w:rsidP="00CE7617">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Possível tratamento</w:t>
            </w:r>
          </w:p>
        </w:tc>
      </w:tr>
      <w:tr w:rsidR="00A3112D" w:rsidRPr="00B74E01" w14:paraId="33D3F9A0" w14:textId="77777777" w:rsidTr="0005008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35DF9873"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Atraso na disponibilização da área pelo Município</w:t>
            </w:r>
          </w:p>
        </w:tc>
        <w:tc>
          <w:tcPr>
            <w:tcW w:w="0" w:type="auto"/>
            <w:tcBorders>
              <w:top w:val="single" w:sz="4" w:space="0" w:color="auto"/>
              <w:left w:val="single" w:sz="4" w:space="0" w:color="auto"/>
              <w:bottom w:val="single" w:sz="4" w:space="0" w:color="auto"/>
              <w:right w:val="single" w:sz="4" w:space="0" w:color="auto"/>
            </w:tcBorders>
            <w:vAlign w:val="center"/>
            <w:hideMark/>
          </w:tcPr>
          <w:p w14:paraId="5DE84CB7"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Recomposição de prazo e/ou custos</w:t>
            </w:r>
          </w:p>
        </w:tc>
      </w:tr>
      <w:tr w:rsidR="00A3112D" w:rsidRPr="00B74E01" w14:paraId="456C2643" w14:textId="77777777" w:rsidTr="0005008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661C2D3D"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Área pública com impedimento jurídico, dominial ou ambiental oculto</w:t>
            </w:r>
          </w:p>
        </w:tc>
        <w:tc>
          <w:tcPr>
            <w:tcW w:w="0" w:type="auto"/>
            <w:tcBorders>
              <w:top w:val="single" w:sz="4" w:space="0" w:color="auto"/>
              <w:left w:val="single" w:sz="4" w:space="0" w:color="auto"/>
              <w:bottom w:val="single" w:sz="4" w:space="0" w:color="auto"/>
              <w:right w:val="single" w:sz="4" w:space="0" w:color="auto"/>
            </w:tcBorders>
            <w:vAlign w:val="center"/>
            <w:hideMark/>
          </w:tcPr>
          <w:p w14:paraId="62006D40"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Recomposição, substituição de área ou revisão de cronograma</w:t>
            </w:r>
          </w:p>
        </w:tc>
      </w:tr>
      <w:tr w:rsidR="00A3112D" w:rsidRPr="00B74E01" w14:paraId="5636324A" w14:textId="77777777" w:rsidTr="0005008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6104B566"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Alteração unilateral do escopo pelo Poder Concedente</w:t>
            </w:r>
          </w:p>
        </w:tc>
        <w:tc>
          <w:tcPr>
            <w:tcW w:w="0" w:type="auto"/>
            <w:tcBorders>
              <w:top w:val="single" w:sz="4" w:space="0" w:color="auto"/>
              <w:left w:val="single" w:sz="4" w:space="0" w:color="auto"/>
              <w:bottom w:val="single" w:sz="4" w:space="0" w:color="auto"/>
              <w:right w:val="single" w:sz="4" w:space="0" w:color="auto"/>
            </w:tcBorders>
            <w:vAlign w:val="center"/>
            <w:hideMark/>
          </w:tcPr>
          <w:p w14:paraId="0CAFFAD3"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Reequilíbrio econômico-financeiro</w:t>
            </w:r>
          </w:p>
        </w:tc>
      </w:tr>
      <w:tr w:rsidR="00A3112D" w:rsidRPr="00B74E01" w14:paraId="13FFEEB8" w14:textId="77777777" w:rsidTr="0005008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78341F37"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Redução unilateral da remuneração contratual</w:t>
            </w:r>
          </w:p>
        </w:tc>
        <w:tc>
          <w:tcPr>
            <w:tcW w:w="0" w:type="auto"/>
            <w:tcBorders>
              <w:top w:val="single" w:sz="4" w:space="0" w:color="auto"/>
              <w:left w:val="single" w:sz="4" w:space="0" w:color="auto"/>
              <w:bottom w:val="single" w:sz="4" w:space="0" w:color="auto"/>
              <w:right w:val="single" w:sz="4" w:space="0" w:color="auto"/>
            </w:tcBorders>
            <w:vAlign w:val="center"/>
            <w:hideMark/>
          </w:tcPr>
          <w:p w14:paraId="029E7520"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Reequilíbrio</w:t>
            </w:r>
          </w:p>
        </w:tc>
      </w:tr>
      <w:tr w:rsidR="00A3112D" w:rsidRPr="00B74E01" w14:paraId="0DF9555E" w14:textId="77777777" w:rsidTr="0005008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5C75D51F"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Atraso ou inadimplemento de pagamento das receitas principais</w:t>
            </w:r>
          </w:p>
        </w:tc>
        <w:tc>
          <w:tcPr>
            <w:tcW w:w="0" w:type="auto"/>
            <w:tcBorders>
              <w:top w:val="single" w:sz="4" w:space="0" w:color="auto"/>
              <w:left w:val="single" w:sz="4" w:space="0" w:color="auto"/>
              <w:bottom w:val="single" w:sz="4" w:space="0" w:color="auto"/>
              <w:right w:val="single" w:sz="4" w:space="0" w:color="auto"/>
            </w:tcBorders>
            <w:vAlign w:val="center"/>
            <w:hideMark/>
          </w:tcPr>
          <w:p w14:paraId="2F7DF3A9"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Encargos, acionamento de garantia e recomposição se houver impacto</w:t>
            </w:r>
          </w:p>
        </w:tc>
      </w:tr>
      <w:tr w:rsidR="00A3112D" w:rsidRPr="00B74E01" w14:paraId="4D7E4D3B" w14:textId="77777777" w:rsidTr="0005008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314CA8C1"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Glosa indevida ou arbitrária</w:t>
            </w:r>
          </w:p>
        </w:tc>
        <w:tc>
          <w:tcPr>
            <w:tcW w:w="0" w:type="auto"/>
            <w:tcBorders>
              <w:top w:val="single" w:sz="4" w:space="0" w:color="auto"/>
              <w:left w:val="single" w:sz="4" w:space="0" w:color="auto"/>
              <w:bottom w:val="single" w:sz="4" w:space="0" w:color="auto"/>
              <w:right w:val="single" w:sz="4" w:space="0" w:color="auto"/>
            </w:tcBorders>
            <w:vAlign w:val="center"/>
            <w:hideMark/>
          </w:tcPr>
          <w:p w14:paraId="64F2B107"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Pagamento da parcela devida e recomposição se aplicável</w:t>
            </w:r>
          </w:p>
        </w:tc>
      </w:tr>
      <w:tr w:rsidR="00A3112D" w:rsidRPr="00B74E01" w14:paraId="5566E278" w14:textId="77777777" w:rsidTr="0005008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0165BBA9"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Exigência pública extraordinária não prevista no contrato</w:t>
            </w:r>
          </w:p>
        </w:tc>
        <w:tc>
          <w:tcPr>
            <w:tcW w:w="0" w:type="auto"/>
            <w:tcBorders>
              <w:top w:val="single" w:sz="4" w:space="0" w:color="auto"/>
              <w:left w:val="single" w:sz="4" w:space="0" w:color="auto"/>
              <w:bottom w:val="single" w:sz="4" w:space="0" w:color="auto"/>
              <w:right w:val="single" w:sz="4" w:space="0" w:color="auto"/>
            </w:tcBorders>
            <w:vAlign w:val="center"/>
            <w:hideMark/>
          </w:tcPr>
          <w:p w14:paraId="36DCF319"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Avaliação de impacto</w:t>
            </w:r>
          </w:p>
        </w:tc>
      </w:tr>
      <w:tr w:rsidR="00A3112D" w:rsidRPr="00B74E01" w14:paraId="57DBEB60" w14:textId="77777777" w:rsidTr="0005008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670AF979"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Alteração normativa específica e extraordinária</w:t>
            </w:r>
          </w:p>
        </w:tc>
        <w:tc>
          <w:tcPr>
            <w:tcW w:w="0" w:type="auto"/>
            <w:tcBorders>
              <w:top w:val="single" w:sz="4" w:space="0" w:color="auto"/>
              <w:left w:val="single" w:sz="4" w:space="0" w:color="auto"/>
              <w:bottom w:val="single" w:sz="4" w:space="0" w:color="auto"/>
              <w:right w:val="single" w:sz="4" w:space="0" w:color="auto"/>
            </w:tcBorders>
            <w:vAlign w:val="center"/>
            <w:hideMark/>
          </w:tcPr>
          <w:p w14:paraId="2B1175AB"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Avaliação de recomposição</w:t>
            </w:r>
          </w:p>
        </w:tc>
      </w:tr>
      <w:tr w:rsidR="00A3112D" w:rsidRPr="00B74E01" w14:paraId="1C4A283B" w14:textId="77777777" w:rsidTr="0005008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2AE19BF1"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lastRenderedPageBreak/>
              <w:t>Fato da Administração</w:t>
            </w:r>
          </w:p>
        </w:tc>
        <w:tc>
          <w:tcPr>
            <w:tcW w:w="0" w:type="auto"/>
            <w:tcBorders>
              <w:top w:val="single" w:sz="4" w:space="0" w:color="auto"/>
              <w:left w:val="single" w:sz="4" w:space="0" w:color="auto"/>
              <w:bottom w:val="single" w:sz="4" w:space="0" w:color="auto"/>
              <w:right w:val="single" w:sz="4" w:space="0" w:color="auto"/>
            </w:tcBorders>
            <w:vAlign w:val="center"/>
            <w:hideMark/>
          </w:tcPr>
          <w:p w14:paraId="2C282CC4"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Reequilíbrio conforme impacto comprovado</w:t>
            </w:r>
          </w:p>
        </w:tc>
      </w:tr>
      <w:tr w:rsidR="00A3112D" w:rsidRPr="00B74E01" w14:paraId="65284A24" w14:textId="77777777" w:rsidTr="0005008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63F62EC8"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Caso fortuito ou força maior</w:t>
            </w:r>
          </w:p>
        </w:tc>
        <w:tc>
          <w:tcPr>
            <w:tcW w:w="0" w:type="auto"/>
            <w:tcBorders>
              <w:top w:val="single" w:sz="4" w:space="0" w:color="auto"/>
              <w:left w:val="single" w:sz="4" w:space="0" w:color="auto"/>
              <w:bottom w:val="single" w:sz="4" w:space="0" w:color="auto"/>
              <w:right w:val="single" w:sz="4" w:space="0" w:color="auto"/>
            </w:tcBorders>
            <w:vAlign w:val="center"/>
            <w:hideMark/>
          </w:tcPr>
          <w:p w14:paraId="766D9634"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Tratamento conforme matriz de riscos e contrato</w:t>
            </w:r>
          </w:p>
        </w:tc>
      </w:tr>
    </w:tbl>
    <w:p w14:paraId="55B12DA7"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existência desses eventos não significa recomposição automática. O reequilíbrio dependerá de procedimento formal, documentação, memória de cálculo, demonstração do impacto e análise pelo Poder Concedente.</w:t>
      </w:r>
    </w:p>
    <w:p w14:paraId="444C35CC" w14:textId="77777777" w:rsidR="00A3112D" w:rsidRPr="00B74E01" w:rsidRDefault="00A3112D" w:rsidP="00CE7617">
      <w:pPr>
        <w:pStyle w:val="Ttulo2"/>
        <w:rPr>
          <w:rFonts w:eastAsia="Times New Roman"/>
          <w:lang w:eastAsia="pt-BR"/>
        </w:rPr>
      </w:pPr>
      <w:bookmarkStart w:id="222" w:name="_Toc230204224"/>
      <w:r w:rsidRPr="00B74E01">
        <w:rPr>
          <w:rFonts w:eastAsia="Times New Roman"/>
          <w:lang w:eastAsia="pt-BR"/>
        </w:rPr>
        <w:t>17.4. Relação entre reequilíbrio e matriz de riscos</w:t>
      </w:r>
      <w:bookmarkEnd w:id="222"/>
    </w:p>
    <w:p w14:paraId="3AB8BAA9"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matriz de riscos é o principal instrumento para definir se determinado evento gera ou não direito à recomposição.</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361"/>
        <w:gridCol w:w="5700"/>
      </w:tblGrid>
      <w:tr w:rsidR="00A3112D" w:rsidRPr="00B74E01" w14:paraId="0EBCC975" w14:textId="77777777" w:rsidTr="00050088">
        <w:trPr>
          <w:tblHeader/>
          <w:tblCellSpacing w:w="15" w:type="dxa"/>
        </w:trPr>
        <w:tc>
          <w:tcPr>
            <w:tcW w:w="0" w:type="auto"/>
            <w:vAlign w:val="center"/>
            <w:hideMark/>
          </w:tcPr>
          <w:p w14:paraId="5BDDC048" w14:textId="77777777" w:rsidR="00A3112D" w:rsidRPr="00B74E01" w:rsidRDefault="00A3112D" w:rsidP="00CE7617">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Alocação do risco</w:t>
            </w:r>
          </w:p>
        </w:tc>
        <w:tc>
          <w:tcPr>
            <w:tcW w:w="0" w:type="auto"/>
            <w:vAlign w:val="center"/>
            <w:hideMark/>
          </w:tcPr>
          <w:p w14:paraId="652670A8" w14:textId="77777777" w:rsidR="00A3112D" w:rsidRPr="00B74E01" w:rsidRDefault="00A3112D" w:rsidP="00CE7617">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Efeito sobre reequilíbrio</w:t>
            </w:r>
          </w:p>
        </w:tc>
      </w:tr>
      <w:tr w:rsidR="00A3112D" w:rsidRPr="00B74E01" w14:paraId="6E75B850" w14:textId="77777777" w:rsidTr="00050088">
        <w:trPr>
          <w:tblCellSpacing w:w="15" w:type="dxa"/>
        </w:trPr>
        <w:tc>
          <w:tcPr>
            <w:tcW w:w="0" w:type="auto"/>
            <w:vAlign w:val="center"/>
            <w:hideMark/>
          </w:tcPr>
          <w:p w14:paraId="7B893A9C"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Risco alocado à SPE</w:t>
            </w:r>
          </w:p>
        </w:tc>
        <w:tc>
          <w:tcPr>
            <w:tcW w:w="0" w:type="auto"/>
            <w:vAlign w:val="center"/>
            <w:hideMark/>
          </w:tcPr>
          <w:p w14:paraId="5A9A59D9"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Não gera reequilíbrio automático</w:t>
            </w:r>
          </w:p>
        </w:tc>
      </w:tr>
      <w:tr w:rsidR="00A3112D" w:rsidRPr="00B74E01" w14:paraId="66178A87" w14:textId="77777777" w:rsidTr="00050088">
        <w:trPr>
          <w:tblCellSpacing w:w="15" w:type="dxa"/>
        </w:trPr>
        <w:tc>
          <w:tcPr>
            <w:tcW w:w="0" w:type="auto"/>
            <w:vAlign w:val="center"/>
            <w:hideMark/>
          </w:tcPr>
          <w:p w14:paraId="352CD724"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Risco alocado ao Poder Concedente</w:t>
            </w:r>
          </w:p>
        </w:tc>
        <w:tc>
          <w:tcPr>
            <w:tcW w:w="0" w:type="auto"/>
            <w:vAlign w:val="center"/>
            <w:hideMark/>
          </w:tcPr>
          <w:p w14:paraId="14464025"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Pode gerar reequilíbrio, se houver impacto</w:t>
            </w:r>
          </w:p>
        </w:tc>
      </w:tr>
      <w:tr w:rsidR="00A3112D" w:rsidRPr="00B74E01" w14:paraId="4EAFDD9E" w14:textId="77777777" w:rsidTr="00050088">
        <w:trPr>
          <w:tblCellSpacing w:w="15" w:type="dxa"/>
        </w:trPr>
        <w:tc>
          <w:tcPr>
            <w:tcW w:w="0" w:type="auto"/>
            <w:vAlign w:val="center"/>
            <w:hideMark/>
          </w:tcPr>
          <w:p w14:paraId="302A5B00"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Risco compartilhado</w:t>
            </w:r>
          </w:p>
        </w:tc>
        <w:tc>
          <w:tcPr>
            <w:tcW w:w="0" w:type="auto"/>
            <w:vAlign w:val="center"/>
            <w:hideMark/>
          </w:tcPr>
          <w:p w14:paraId="63F1CF70"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Tratamento conforme proporção definida no contrato</w:t>
            </w:r>
          </w:p>
        </w:tc>
      </w:tr>
      <w:tr w:rsidR="00A3112D" w:rsidRPr="00B74E01" w14:paraId="74E4B522" w14:textId="77777777" w:rsidTr="00050088">
        <w:trPr>
          <w:tblCellSpacing w:w="15" w:type="dxa"/>
        </w:trPr>
        <w:tc>
          <w:tcPr>
            <w:tcW w:w="0" w:type="auto"/>
            <w:vAlign w:val="center"/>
            <w:hideMark/>
          </w:tcPr>
          <w:p w14:paraId="4BD5DFBF"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Risco extraordinário</w:t>
            </w:r>
          </w:p>
        </w:tc>
        <w:tc>
          <w:tcPr>
            <w:tcW w:w="0" w:type="auto"/>
            <w:vAlign w:val="center"/>
            <w:hideMark/>
          </w:tcPr>
          <w:p w14:paraId="66F58B0F"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Avaliação conforme matriz, legislação e impacto</w:t>
            </w:r>
          </w:p>
        </w:tc>
      </w:tr>
      <w:tr w:rsidR="00A3112D" w:rsidRPr="00B74E01" w14:paraId="286382FC" w14:textId="77777777" w:rsidTr="00050088">
        <w:trPr>
          <w:tblCellSpacing w:w="15" w:type="dxa"/>
        </w:trPr>
        <w:tc>
          <w:tcPr>
            <w:tcW w:w="0" w:type="auto"/>
            <w:vAlign w:val="center"/>
            <w:hideMark/>
          </w:tcPr>
          <w:p w14:paraId="0505CEC5"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Risco não previsto</w:t>
            </w:r>
          </w:p>
        </w:tc>
        <w:tc>
          <w:tcPr>
            <w:tcW w:w="0" w:type="auto"/>
            <w:vAlign w:val="center"/>
            <w:hideMark/>
          </w:tcPr>
          <w:p w14:paraId="4ADA00F5"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Interpretação conforme natureza do evento e princípios contratuais</w:t>
            </w:r>
          </w:p>
        </w:tc>
      </w:tr>
    </w:tbl>
    <w:p w14:paraId="0CA4B812"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Essa relação deve ser expressa no contrato. Sem essa amarração, qualquer variação econômica pode virar pedido de reequilíbrio, enfraquecendo a segurança fiscal do Município.</w:t>
      </w:r>
    </w:p>
    <w:p w14:paraId="263638B2" w14:textId="45AAF4A8" w:rsidR="00A3112D" w:rsidRDefault="00A3112D" w:rsidP="00B74E01">
      <w:pPr>
        <w:spacing w:after="0" w:line="360" w:lineRule="auto"/>
        <w:ind w:firstLine="709"/>
        <w:jc w:val="both"/>
        <w:rPr>
          <w:rFonts w:eastAsia="Times New Roman" w:cs="Arial"/>
          <w:kern w:val="0"/>
          <w:lang w:eastAsia="pt-BR"/>
          <w14:ligatures w14:val="none"/>
        </w:rPr>
      </w:pPr>
    </w:p>
    <w:p w14:paraId="11430A11" w14:textId="77777777" w:rsidR="00CE7617" w:rsidRDefault="00CE7617" w:rsidP="00B74E01">
      <w:pPr>
        <w:spacing w:after="0" w:line="360" w:lineRule="auto"/>
        <w:ind w:firstLine="709"/>
        <w:jc w:val="both"/>
        <w:rPr>
          <w:rFonts w:eastAsia="Times New Roman" w:cs="Arial"/>
          <w:kern w:val="0"/>
          <w:lang w:eastAsia="pt-BR"/>
          <w14:ligatures w14:val="none"/>
        </w:rPr>
      </w:pPr>
    </w:p>
    <w:p w14:paraId="3798381D" w14:textId="77777777" w:rsidR="00CE7617" w:rsidRDefault="00CE7617" w:rsidP="00B74E01">
      <w:pPr>
        <w:spacing w:after="0" w:line="360" w:lineRule="auto"/>
        <w:ind w:firstLine="709"/>
        <w:jc w:val="both"/>
        <w:rPr>
          <w:rFonts w:eastAsia="Times New Roman" w:cs="Arial"/>
          <w:kern w:val="0"/>
          <w:lang w:eastAsia="pt-BR"/>
          <w14:ligatures w14:val="none"/>
        </w:rPr>
      </w:pPr>
    </w:p>
    <w:p w14:paraId="4BF8E9B0" w14:textId="77777777" w:rsidR="00CE7617" w:rsidRPr="00B74E01" w:rsidRDefault="00CE7617" w:rsidP="00B74E01">
      <w:pPr>
        <w:spacing w:after="0" w:line="360" w:lineRule="auto"/>
        <w:ind w:firstLine="709"/>
        <w:jc w:val="both"/>
        <w:rPr>
          <w:rFonts w:eastAsia="Times New Roman" w:cs="Arial"/>
          <w:kern w:val="0"/>
          <w:lang w:eastAsia="pt-BR"/>
          <w14:ligatures w14:val="none"/>
        </w:rPr>
      </w:pPr>
    </w:p>
    <w:p w14:paraId="0929DA50" w14:textId="77777777" w:rsidR="00A3112D" w:rsidRPr="00B74E01" w:rsidRDefault="00A3112D" w:rsidP="00CE7617">
      <w:pPr>
        <w:pStyle w:val="Ttulo2"/>
        <w:rPr>
          <w:rFonts w:eastAsia="Times New Roman"/>
          <w:lang w:eastAsia="pt-BR"/>
        </w:rPr>
      </w:pPr>
      <w:bookmarkStart w:id="223" w:name="_Toc230204225"/>
      <w:r w:rsidRPr="00B74E01">
        <w:rPr>
          <w:rFonts w:eastAsia="Times New Roman"/>
          <w:lang w:eastAsia="pt-BR"/>
        </w:rPr>
        <w:lastRenderedPageBreak/>
        <w:t>17.5. Reequilíbrio e receitas principais</w:t>
      </w:r>
      <w:bookmarkEnd w:id="223"/>
    </w:p>
    <w:p w14:paraId="25A8D3C8"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As receitas principais da PPP devem ser protegidas contratualmente e por garantias. Eventuais alterações indevidas nessas receitas podem gerar reequilíbrio.</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480"/>
        <w:gridCol w:w="4581"/>
      </w:tblGrid>
      <w:tr w:rsidR="00A3112D" w:rsidRPr="00B74E01" w14:paraId="2979C05A" w14:textId="77777777" w:rsidTr="00050088">
        <w:trPr>
          <w:tblHeade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58D15348" w14:textId="77777777" w:rsidR="00A3112D" w:rsidRPr="00B74E01" w:rsidRDefault="00A3112D" w:rsidP="00CE7617">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Situação envolvendo receita principal</w:t>
            </w:r>
          </w:p>
        </w:tc>
        <w:tc>
          <w:tcPr>
            <w:tcW w:w="0" w:type="auto"/>
            <w:tcBorders>
              <w:top w:val="single" w:sz="4" w:space="0" w:color="auto"/>
              <w:left w:val="single" w:sz="4" w:space="0" w:color="auto"/>
              <w:bottom w:val="single" w:sz="4" w:space="0" w:color="auto"/>
              <w:right w:val="single" w:sz="4" w:space="0" w:color="auto"/>
            </w:tcBorders>
            <w:vAlign w:val="center"/>
            <w:hideMark/>
          </w:tcPr>
          <w:p w14:paraId="7174D0C3" w14:textId="77777777" w:rsidR="00A3112D" w:rsidRPr="00B74E01" w:rsidRDefault="00A3112D" w:rsidP="00CE7617">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Tratamento</w:t>
            </w:r>
          </w:p>
        </w:tc>
      </w:tr>
      <w:tr w:rsidR="00A3112D" w:rsidRPr="00B74E01" w14:paraId="7261D32F" w14:textId="77777777" w:rsidTr="0005008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3ED50BBF"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Inadimplemento do Município</w:t>
            </w:r>
          </w:p>
        </w:tc>
        <w:tc>
          <w:tcPr>
            <w:tcW w:w="0" w:type="auto"/>
            <w:tcBorders>
              <w:top w:val="single" w:sz="4" w:space="0" w:color="auto"/>
              <w:left w:val="single" w:sz="4" w:space="0" w:color="auto"/>
              <w:bottom w:val="single" w:sz="4" w:space="0" w:color="auto"/>
              <w:right w:val="single" w:sz="4" w:space="0" w:color="auto"/>
            </w:tcBorders>
            <w:vAlign w:val="center"/>
            <w:hideMark/>
          </w:tcPr>
          <w:p w14:paraId="0E306A11"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Acionamento da garantia e encargos contratuais</w:t>
            </w:r>
          </w:p>
        </w:tc>
      </w:tr>
      <w:tr w:rsidR="00A3112D" w:rsidRPr="00B74E01" w14:paraId="65C6CB4F" w14:textId="77777777" w:rsidTr="0005008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2DEF9714"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Atraso reiterado de pagamento</w:t>
            </w:r>
          </w:p>
        </w:tc>
        <w:tc>
          <w:tcPr>
            <w:tcW w:w="0" w:type="auto"/>
            <w:tcBorders>
              <w:top w:val="single" w:sz="4" w:space="0" w:color="auto"/>
              <w:left w:val="single" w:sz="4" w:space="0" w:color="auto"/>
              <w:bottom w:val="single" w:sz="4" w:space="0" w:color="auto"/>
              <w:right w:val="single" w:sz="4" w:space="0" w:color="auto"/>
            </w:tcBorders>
            <w:vAlign w:val="center"/>
            <w:hideMark/>
          </w:tcPr>
          <w:p w14:paraId="5B83AE69"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Acionamento da garantia e medidas contratuais</w:t>
            </w:r>
          </w:p>
        </w:tc>
      </w:tr>
      <w:tr w:rsidR="00A3112D" w:rsidRPr="00B74E01" w14:paraId="757145B2" w14:textId="77777777" w:rsidTr="0005008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16727563"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Redução unilateral da tarifa</w:t>
            </w:r>
          </w:p>
        </w:tc>
        <w:tc>
          <w:tcPr>
            <w:tcW w:w="0" w:type="auto"/>
            <w:tcBorders>
              <w:top w:val="single" w:sz="4" w:space="0" w:color="auto"/>
              <w:left w:val="single" w:sz="4" w:space="0" w:color="auto"/>
              <w:bottom w:val="single" w:sz="4" w:space="0" w:color="auto"/>
              <w:right w:val="single" w:sz="4" w:space="0" w:color="auto"/>
            </w:tcBorders>
            <w:vAlign w:val="center"/>
            <w:hideMark/>
          </w:tcPr>
          <w:p w14:paraId="400E08B8"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Reequilíbrio, se houver impacto</w:t>
            </w:r>
          </w:p>
        </w:tc>
      </w:tr>
      <w:tr w:rsidR="00A3112D" w:rsidRPr="00B74E01" w14:paraId="1830B235" w14:textId="77777777" w:rsidTr="0005008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158BA91D"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Glosa por falha comprovada da SPE</w:t>
            </w:r>
          </w:p>
        </w:tc>
        <w:tc>
          <w:tcPr>
            <w:tcW w:w="0" w:type="auto"/>
            <w:tcBorders>
              <w:top w:val="single" w:sz="4" w:space="0" w:color="auto"/>
              <w:left w:val="single" w:sz="4" w:space="0" w:color="auto"/>
              <w:bottom w:val="single" w:sz="4" w:space="0" w:color="auto"/>
              <w:right w:val="single" w:sz="4" w:space="0" w:color="auto"/>
            </w:tcBorders>
            <w:vAlign w:val="center"/>
            <w:hideMark/>
          </w:tcPr>
          <w:p w14:paraId="29E3834C"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Não gera reequilíbrio</w:t>
            </w:r>
          </w:p>
        </w:tc>
      </w:tr>
      <w:tr w:rsidR="00A3112D" w:rsidRPr="00B74E01" w14:paraId="10A90D2F" w14:textId="77777777" w:rsidTr="0005008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1F316C8E"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Glosa indevida</w:t>
            </w:r>
          </w:p>
        </w:tc>
        <w:tc>
          <w:tcPr>
            <w:tcW w:w="0" w:type="auto"/>
            <w:tcBorders>
              <w:top w:val="single" w:sz="4" w:space="0" w:color="auto"/>
              <w:left w:val="single" w:sz="4" w:space="0" w:color="auto"/>
              <w:bottom w:val="single" w:sz="4" w:space="0" w:color="auto"/>
              <w:right w:val="single" w:sz="4" w:space="0" w:color="auto"/>
            </w:tcBorders>
            <w:vAlign w:val="center"/>
            <w:hideMark/>
          </w:tcPr>
          <w:p w14:paraId="461E3A22"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Pagamento da diferença e possível recomposição</w:t>
            </w:r>
          </w:p>
        </w:tc>
      </w:tr>
      <w:tr w:rsidR="00A3112D" w:rsidRPr="00B74E01" w14:paraId="00E930E5" w14:textId="77777777" w:rsidTr="0005008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406B8DF4"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Entrega inferior ao mínimo por fato do Município</w:t>
            </w:r>
          </w:p>
        </w:tc>
        <w:tc>
          <w:tcPr>
            <w:tcW w:w="0" w:type="auto"/>
            <w:tcBorders>
              <w:top w:val="single" w:sz="4" w:space="0" w:color="auto"/>
              <w:left w:val="single" w:sz="4" w:space="0" w:color="auto"/>
              <w:bottom w:val="single" w:sz="4" w:space="0" w:color="auto"/>
              <w:right w:val="single" w:sz="4" w:space="0" w:color="auto"/>
            </w:tcBorders>
            <w:vAlign w:val="center"/>
            <w:hideMark/>
          </w:tcPr>
          <w:p w14:paraId="7931A739"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Mantém faturamento mínimo</w:t>
            </w:r>
          </w:p>
        </w:tc>
      </w:tr>
      <w:tr w:rsidR="00A3112D" w:rsidRPr="00B74E01" w14:paraId="0AEB5F12" w14:textId="77777777" w:rsidTr="00050088">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0D0565FC"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Entrega inferior por culpa da SPE</w:t>
            </w:r>
          </w:p>
        </w:tc>
        <w:tc>
          <w:tcPr>
            <w:tcW w:w="0" w:type="auto"/>
            <w:tcBorders>
              <w:top w:val="single" w:sz="4" w:space="0" w:color="auto"/>
              <w:left w:val="single" w:sz="4" w:space="0" w:color="auto"/>
              <w:bottom w:val="single" w:sz="4" w:space="0" w:color="auto"/>
              <w:right w:val="single" w:sz="4" w:space="0" w:color="auto"/>
            </w:tcBorders>
            <w:vAlign w:val="center"/>
            <w:hideMark/>
          </w:tcPr>
          <w:p w14:paraId="23262F25"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Pode gerar glosa ou penalidade</w:t>
            </w:r>
          </w:p>
        </w:tc>
      </w:tr>
    </w:tbl>
    <w:p w14:paraId="02AAEF5A"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garantia protege a receita regularmente devida. Ela não deve impedir a aplicação de glosas legítimas quando a SPE descumprir obrigações de desempenho.</w:t>
      </w:r>
    </w:p>
    <w:p w14:paraId="704768C6" w14:textId="77777777" w:rsidR="00A3112D" w:rsidRPr="00B74E01" w:rsidRDefault="00A3112D" w:rsidP="00CE7617">
      <w:pPr>
        <w:pStyle w:val="Ttulo2"/>
        <w:rPr>
          <w:rFonts w:eastAsia="Times New Roman"/>
          <w:lang w:eastAsia="pt-BR"/>
        </w:rPr>
      </w:pPr>
      <w:bookmarkStart w:id="224" w:name="_Toc230204226"/>
      <w:r w:rsidRPr="00B74E01">
        <w:rPr>
          <w:rFonts w:eastAsia="Times New Roman"/>
          <w:lang w:eastAsia="pt-BR"/>
        </w:rPr>
        <w:t>17.6. Reequilíbrio e receitas acessórias</w:t>
      </w:r>
      <w:bookmarkEnd w:id="224"/>
    </w:p>
    <w:p w14:paraId="7E8B78ED"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As receitas acessórias devem ser tratadas como risco empresarial da SPE.</w:t>
      </w:r>
    </w:p>
    <w:p w14:paraId="47AB05D2"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frustração, redução, atraso, não certificação, não comercialização ou variação de preço das receitas acessórias não deverá gerar, por si só, direito automático ao reequilíbrio econômico-financeiro.</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364"/>
        <w:gridCol w:w="4697"/>
      </w:tblGrid>
      <w:tr w:rsidR="00A3112D" w:rsidRPr="00B74E01" w14:paraId="6AF05E2A" w14:textId="77777777" w:rsidTr="002E7EED">
        <w:trPr>
          <w:tblHeader/>
          <w:tblCellSpacing w:w="15" w:type="dxa"/>
        </w:trPr>
        <w:tc>
          <w:tcPr>
            <w:tcW w:w="0" w:type="auto"/>
            <w:vAlign w:val="center"/>
            <w:hideMark/>
          </w:tcPr>
          <w:p w14:paraId="070B2E85" w14:textId="77777777" w:rsidR="00A3112D" w:rsidRPr="00B74E01" w:rsidRDefault="00A3112D" w:rsidP="00CE7617">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Situação envolvendo receita acessória</w:t>
            </w:r>
          </w:p>
        </w:tc>
        <w:tc>
          <w:tcPr>
            <w:tcW w:w="0" w:type="auto"/>
            <w:vAlign w:val="center"/>
            <w:hideMark/>
          </w:tcPr>
          <w:p w14:paraId="53046700" w14:textId="77777777" w:rsidR="00A3112D" w:rsidRPr="00B74E01" w:rsidRDefault="00A3112D" w:rsidP="00CE7617">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Tratamento</w:t>
            </w:r>
          </w:p>
        </w:tc>
      </w:tr>
      <w:tr w:rsidR="00A3112D" w:rsidRPr="00B74E01" w14:paraId="4E9D7055" w14:textId="77777777" w:rsidTr="002E7EED">
        <w:trPr>
          <w:tblCellSpacing w:w="15" w:type="dxa"/>
        </w:trPr>
        <w:tc>
          <w:tcPr>
            <w:tcW w:w="0" w:type="auto"/>
            <w:vAlign w:val="center"/>
            <w:hideMark/>
          </w:tcPr>
          <w:p w14:paraId="22595211" w14:textId="77777777" w:rsidR="00A3112D" w:rsidRPr="00B74E01" w:rsidRDefault="00A3112D" w:rsidP="00CE7617">
            <w:pPr>
              <w:spacing w:after="0" w:line="360" w:lineRule="auto"/>
              <w:rPr>
                <w:rFonts w:eastAsia="Times New Roman" w:cs="Arial"/>
                <w:kern w:val="0"/>
                <w:lang w:eastAsia="pt-BR"/>
                <w14:ligatures w14:val="none"/>
              </w:rPr>
            </w:pPr>
            <w:proofErr w:type="spellStart"/>
            <w:r w:rsidRPr="00B74E01">
              <w:rPr>
                <w:rFonts w:eastAsia="Times New Roman" w:cs="Arial"/>
                <w:kern w:val="0"/>
                <w:lang w:eastAsia="pt-BR"/>
                <w14:ligatures w14:val="none"/>
              </w:rPr>
              <w:t>Biochar</w:t>
            </w:r>
            <w:proofErr w:type="spellEnd"/>
            <w:r w:rsidRPr="00B74E01">
              <w:rPr>
                <w:rFonts w:eastAsia="Times New Roman" w:cs="Arial"/>
                <w:kern w:val="0"/>
                <w:lang w:eastAsia="pt-BR"/>
                <w14:ligatures w14:val="none"/>
              </w:rPr>
              <w:t xml:space="preserve"> vendido por preço inferior ao estimado</w:t>
            </w:r>
          </w:p>
        </w:tc>
        <w:tc>
          <w:tcPr>
            <w:tcW w:w="0" w:type="auto"/>
            <w:vAlign w:val="center"/>
            <w:hideMark/>
          </w:tcPr>
          <w:p w14:paraId="57AE23BA"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Risco da SPE</w:t>
            </w:r>
          </w:p>
        </w:tc>
      </w:tr>
      <w:tr w:rsidR="00A3112D" w:rsidRPr="00B74E01" w14:paraId="6E512572" w14:textId="77777777" w:rsidTr="002E7EED">
        <w:trPr>
          <w:tblCellSpacing w:w="15" w:type="dxa"/>
        </w:trPr>
        <w:tc>
          <w:tcPr>
            <w:tcW w:w="0" w:type="auto"/>
            <w:vAlign w:val="center"/>
            <w:hideMark/>
          </w:tcPr>
          <w:p w14:paraId="08EB5DF3"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lastRenderedPageBreak/>
              <w:t>Óleo/extrato sem comprador</w:t>
            </w:r>
          </w:p>
        </w:tc>
        <w:tc>
          <w:tcPr>
            <w:tcW w:w="0" w:type="auto"/>
            <w:vAlign w:val="center"/>
            <w:hideMark/>
          </w:tcPr>
          <w:p w14:paraId="487FEA6D"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Risco da SPE</w:t>
            </w:r>
          </w:p>
        </w:tc>
      </w:tr>
      <w:tr w:rsidR="00A3112D" w:rsidRPr="00B74E01" w14:paraId="5C065216" w14:textId="77777777" w:rsidTr="002E7EED">
        <w:trPr>
          <w:tblCellSpacing w:w="15" w:type="dxa"/>
        </w:trPr>
        <w:tc>
          <w:tcPr>
            <w:tcW w:w="0" w:type="auto"/>
            <w:vAlign w:val="center"/>
            <w:hideMark/>
          </w:tcPr>
          <w:p w14:paraId="3A167C0D"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Créditos de carbono não certificados</w:t>
            </w:r>
          </w:p>
        </w:tc>
        <w:tc>
          <w:tcPr>
            <w:tcW w:w="0" w:type="auto"/>
            <w:vAlign w:val="center"/>
            <w:hideMark/>
          </w:tcPr>
          <w:p w14:paraId="0BA1DF75"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Risco da SPE</w:t>
            </w:r>
          </w:p>
        </w:tc>
      </w:tr>
      <w:tr w:rsidR="00A3112D" w:rsidRPr="00B74E01" w14:paraId="79657234" w14:textId="77777777" w:rsidTr="002E7EED">
        <w:trPr>
          <w:tblCellSpacing w:w="15" w:type="dxa"/>
        </w:trPr>
        <w:tc>
          <w:tcPr>
            <w:tcW w:w="0" w:type="auto"/>
            <w:vAlign w:val="center"/>
            <w:hideMark/>
          </w:tcPr>
          <w:p w14:paraId="7987F3E0"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Créditos vendidos por preço inferior ao projetado</w:t>
            </w:r>
          </w:p>
        </w:tc>
        <w:tc>
          <w:tcPr>
            <w:tcW w:w="0" w:type="auto"/>
            <w:vAlign w:val="center"/>
            <w:hideMark/>
          </w:tcPr>
          <w:p w14:paraId="6FA3C911"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Risco da SPE</w:t>
            </w:r>
          </w:p>
        </w:tc>
      </w:tr>
      <w:tr w:rsidR="00A3112D" w:rsidRPr="00B74E01" w14:paraId="7FF6CFE7" w14:textId="77777777" w:rsidTr="002E7EED">
        <w:trPr>
          <w:tblCellSpacing w:w="15" w:type="dxa"/>
        </w:trPr>
        <w:tc>
          <w:tcPr>
            <w:tcW w:w="0" w:type="auto"/>
            <w:vAlign w:val="center"/>
            <w:hideMark/>
          </w:tcPr>
          <w:p w14:paraId="43DB3DC9"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Recicláveis sem qualidade comercial</w:t>
            </w:r>
          </w:p>
        </w:tc>
        <w:tc>
          <w:tcPr>
            <w:tcW w:w="0" w:type="auto"/>
            <w:vAlign w:val="center"/>
            <w:hideMark/>
          </w:tcPr>
          <w:p w14:paraId="4CDE1C77"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Risco da SPE</w:t>
            </w:r>
          </w:p>
        </w:tc>
      </w:tr>
      <w:tr w:rsidR="00A3112D" w:rsidRPr="00B74E01" w14:paraId="2D93C49D" w14:textId="77777777" w:rsidTr="002E7EED">
        <w:trPr>
          <w:tblCellSpacing w:w="15" w:type="dxa"/>
        </w:trPr>
        <w:tc>
          <w:tcPr>
            <w:tcW w:w="0" w:type="auto"/>
            <w:vAlign w:val="center"/>
            <w:hideMark/>
          </w:tcPr>
          <w:p w14:paraId="3A92C67B"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Mercado comprador inexistente</w:t>
            </w:r>
          </w:p>
        </w:tc>
        <w:tc>
          <w:tcPr>
            <w:tcW w:w="0" w:type="auto"/>
            <w:vAlign w:val="center"/>
            <w:hideMark/>
          </w:tcPr>
          <w:p w14:paraId="2BD53660"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Risco da SPE</w:t>
            </w:r>
          </w:p>
        </w:tc>
      </w:tr>
      <w:tr w:rsidR="00A3112D" w:rsidRPr="00B74E01" w14:paraId="48D40D5C" w14:textId="77777777" w:rsidTr="002E7EED">
        <w:trPr>
          <w:tblCellSpacing w:w="15" w:type="dxa"/>
        </w:trPr>
        <w:tc>
          <w:tcPr>
            <w:tcW w:w="0" w:type="auto"/>
            <w:vAlign w:val="center"/>
            <w:hideMark/>
          </w:tcPr>
          <w:p w14:paraId="18EA764E"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Restrição causada por ato do Poder Concedente</w:t>
            </w:r>
          </w:p>
        </w:tc>
        <w:tc>
          <w:tcPr>
            <w:tcW w:w="0" w:type="auto"/>
            <w:vAlign w:val="center"/>
            <w:hideMark/>
          </w:tcPr>
          <w:p w14:paraId="75C95BCF"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Avaliação de recomposição, se comprovado impacto</w:t>
            </w:r>
          </w:p>
        </w:tc>
      </w:tr>
      <w:tr w:rsidR="00A3112D" w:rsidRPr="00B74E01" w14:paraId="4F681071" w14:textId="77777777" w:rsidTr="002E7EED">
        <w:trPr>
          <w:tblCellSpacing w:w="15" w:type="dxa"/>
        </w:trPr>
        <w:tc>
          <w:tcPr>
            <w:tcW w:w="0" w:type="auto"/>
            <w:vAlign w:val="center"/>
            <w:hideMark/>
          </w:tcPr>
          <w:p w14:paraId="0A115153"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Alteração normativa específica e extraordinária</w:t>
            </w:r>
          </w:p>
        </w:tc>
        <w:tc>
          <w:tcPr>
            <w:tcW w:w="0" w:type="auto"/>
            <w:vAlign w:val="center"/>
            <w:hideMark/>
          </w:tcPr>
          <w:p w14:paraId="55699AE4"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Avaliação conforme matriz</w:t>
            </w:r>
          </w:p>
        </w:tc>
      </w:tr>
    </w:tbl>
    <w:p w14:paraId="664BA34E"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Essa regra deve ser expressa para evitar que receitas acessórias projetadas sejam usadas futuramente como fundamento para pleitos de recomposição contra o Município.</w:t>
      </w:r>
    </w:p>
    <w:p w14:paraId="5D676AB1" w14:textId="77777777" w:rsidR="00A3112D" w:rsidRPr="00B74E01" w:rsidRDefault="00A3112D" w:rsidP="00CE7617">
      <w:pPr>
        <w:pStyle w:val="Ttulo2"/>
        <w:rPr>
          <w:rFonts w:eastAsia="Times New Roman"/>
          <w:lang w:eastAsia="pt-BR"/>
        </w:rPr>
      </w:pPr>
      <w:bookmarkStart w:id="225" w:name="_Toc230204227"/>
      <w:r w:rsidRPr="00B74E01">
        <w:rPr>
          <w:rFonts w:eastAsia="Times New Roman"/>
          <w:lang w:eastAsia="pt-BR"/>
        </w:rPr>
        <w:t>17.7. Mecanismos possíveis de recomposição</w:t>
      </w:r>
      <w:bookmarkEnd w:id="225"/>
    </w:p>
    <w:p w14:paraId="6374E43C"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Quando cabível, o reequilíbrio poderá ocorrer por diferentes mecanismos, isolados ou combinados, conforme a natureza do impacto.</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469"/>
        <w:gridCol w:w="5592"/>
      </w:tblGrid>
      <w:tr w:rsidR="00A3112D" w:rsidRPr="00B74E01" w14:paraId="08268BFC" w14:textId="77777777" w:rsidTr="002E7EED">
        <w:trPr>
          <w:tblHeader/>
          <w:tblCellSpacing w:w="15" w:type="dxa"/>
        </w:trPr>
        <w:tc>
          <w:tcPr>
            <w:tcW w:w="0" w:type="auto"/>
            <w:vAlign w:val="center"/>
            <w:hideMark/>
          </w:tcPr>
          <w:p w14:paraId="1664CD22" w14:textId="77777777" w:rsidR="00A3112D" w:rsidRPr="00B74E01" w:rsidRDefault="00A3112D" w:rsidP="00CE7617">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Mecanismo de recomposição</w:t>
            </w:r>
          </w:p>
        </w:tc>
        <w:tc>
          <w:tcPr>
            <w:tcW w:w="0" w:type="auto"/>
            <w:vAlign w:val="center"/>
            <w:hideMark/>
          </w:tcPr>
          <w:p w14:paraId="341E4414" w14:textId="77777777" w:rsidR="00A3112D" w:rsidRPr="00B74E01" w:rsidRDefault="00A3112D" w:rsidP="00CE7617">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Aplicação possível</w:t>
            </w:r>
          </w:p>
        </w:tc>
      </w:tr>
      <w:tr w:rsidR="00A3112D" w:rsidRPr="00B74E01" w14:paraId="7CF36215" w14:textId="77777777" w:rsidTr="002E7EED">
        <w:trPr>
          <w:tblCellSpacing w:w="15" w:type="dxa"/>
        </w:trPr>
        <w:tc>
          <w:tcPr>
            <w:tcW w:w="0" w:type="auto"/>
            <w:vAlign w:val="center"/>
            <w:hideMark/>
          </w:tcPr>
          <w:p w14:paraId="49D4F86C"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Revisão da contraprestação</w:t>
            </w:r>
          </w:p>
        </w:tc>
        <w:tc>
          <w:tcPr>
            <w:tcW w:w="0" w:type="auto"/>
            <w:vAlign w:val="center"/>
            <w:hideMark/>
          </w:tcPr>
          <w:p w14:paraId="0A4B11B7"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Quando houver impacto recorrente sobre receita ou custo</w:t>
            </w:r>
          </w:p>
        </w:tc>
      </w:tr>
      <w:tr w:rsidR="00A3112D" w:rsidRPr="00B74E01" w14:paraId="670C7D90" w14:textId="77777777" w:rsidTr="002E7EED">
        <w:trPr>
          <w:tblCellSpacing w:w="15" w:type="dxa"/>
        </w:trPr>
        <w:tc>
          <w:tcPr>
            <w:tcW w:w="0" w:type="auto"/>
            <w:vAlign w:val="center"/>
            <w:hideMark/>
          </w:tcPr>
          <w:p w14:paraId="2006C035"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Pagamento indenizatório</w:t>
            </w:r>
          </w:p>
        </w:tc>
        <w:tc>
          <w:tcPr>
            <w:tcW w:w="0" w:type="auto"/>
            <w:vAlign w:val="center"/>
            <w:hideMark/>
          </w:tcPr>
          <w:p w14:paraId="3E087F68"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Quando o impacto for pontual e mensurável</w:t>
            </w:r>
          </w:p>
        </w:tc>
      </w:tr>
      <w:tr w:rsidR="00A3112D" w:rsidRPr="00B74E01" w14:paraId="5A4147BA" w14:textId="77777777" w:rsidTr="002E7EED">
        <w:trPr>
          <w:tblCellSpacing w:w="15" w:type="dxa"/>
        </w:trPr>
        <w:tc>
          <w:tcPr>
            <w:tcW w:w="0" w:type="auto"/>
            <w:vAlign w:val="center"/>
            <w:hideMark/>
          </w:tcPr>
          <w:p w14:paraId="6539F3C6"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Prorrogação de prazo contratual</w:t>
            </w:r>
          </w:p>
        </w:tc>
        <w:tc>
          <w:tcPr>
            <w:tcW w:w="0" w:type="auto"/>
            <w:vAlign w:val="center"/>
            <w:hideMark/>
          </w:tcPr>
          <w:p w14:paraId="7B49D36F"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Quando admitida e economicamente adequada</w:t>
            </w:r>
          </w:p>
        </w:tc>
      </w:tr>
      <w:tr w:rsidR="00A3112D" w:rsidRPr="00B74E01" w14:paraId="28490843" w14:textId="77777777" w:rsidTr="002E7EED">
        <w:trPr>
          <w:tblCellSpacing w:w="15" w:type="dxa"/>
        </w:trPr>
        <w:tc>
          <w:tcPr>
            <w:tcW w:w="0" w:type="auto"/>
            <w:vAlign w:val="center"/>
            <w:hideMark/>
          </w:tcPr>
          <w:p w14:paraId="156994E5"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Revisão de metas ou cronograma</w:t>
            </w:r>
          </w:p>
        </w:tc>
        <w:tc>
          <w:tcPr>
            <w:tcW w:w="0" w:type="auto"/>
            <w:vAlign w:val="center"/>
            <w:hideMark/>
          </w:tcPr>
          <w:p w14:paraId="0E81E55E"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Quando o evento afetar implantação ou operação</w:t>
            </w:r>
          </w:p>
        </w:tc>
      </w:tr>
      <w:tr w:rsidR="00A3112D" w:rsidRPr="00B74E01" w14:paraId="0D8825A2" w14:textId="77777777" w:rsidTr="002E7EED">
        <w:trPr>
          <w:tblCellSpacing w:w="15" w:type="dxa"/>
        </w:trPr>
        <w:tc>
          <w:tcPr>
            <w:tcW w:w="0" w:type="auto"/>
            <w:vAlign w:val="center"/>
            <w:hideMark/>
          </w:tcPr>
          <w:p w14:paraId="14CEC643"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lastRenderedPageBreak/>
              <w:t>Recomposição por aporte público</w:t>
            </w:r>
          </w:p>
        </w:tc>
        <w:tc>
          <w:tcPr>
            <w:tcW w:w="0" w:type="auto"/>
            <w:vAlign w:val="center"/>
            <w:hideMark/>
          </w:tcPr>
          <w:p w14:paraId="5B98BC99"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Quando previsto e compatível com a legislação</w:t>
            </w:r>
          </w:p>
        </w:tc>
      </w:tr>
      <w:tr w:rsidR="00A3112D" w:rsidRPr="00B74E01" w14:paraId="1C761DFC" w14:textId="77777777" w:rsidTr="002E7EED">
        <w:trPr>
          <w:tblCellSpacing w:w="15" w:type="dxa"/>
        </w:trPr>
        <w:tc>
          <w:tcPr>
            <w:tcW w:w="0" w:type="auto"/>
            <w:vAlign w:val="center"/>
            <w:hideMark/>
          </w:tcPr>
          <w:p w14:paraId="3B18687B"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Revisão de matriz de obrigações</w:t>
            </w:r>
          </w:p>
        </w:tc>
        <w:tc>
          <w:tcPr>
            <w:tcW w:w="0" w:type="auto"/>
            <w:vAlign w:val="center"/>
            <w:hideMark/>
          </w:tcPr>
          <w:p w14:paraId="326D0C1A"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Quando houver alteração de escopo</w:t>
            </w:r>
          </w:p>
        </w:tc>
      </w:tr>
      <w:tr w:rsidR="00A3112D" w:rsidRPr="00B74E01" w14:paraId="09B31367" w14:textId="77777777" w:rsidTr="002E7EED">
        <w:trPr>
          <w:tblCellSpacing w:w="15" w:type="dxa"/>
        </w:trPr>
        <w:tc>
          <w:tcPr>
            <w:tcW w:w="0" w:type="auto"/>
            <w:vAlign w:val="center"/>
            <w:hideMark/>
          </w:tcPr>
          <w:p w14:paraId="7A690C88"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Compensação por créditos futuros</w:t>
            </w:r>
          </w:p>
        </w:tc>
        <w:tc>
          <w:tcPr>
            <w:tcW w:w="0" w:type="auto"/>
            <w:vAlign w:val="center"/>
            <w:hideMark/>
          </w:tcPr>
          <w:p w14:paraId="2B12C241"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Quando possível e contratualmente prevista</w:t>
            </w:r>
          </w:p>
        </w:tc>
      </w:tr>
      <w:tr w:rsidR="00A3112D" w:rsidRPr="00B74E01" w14:paraId="14AB5824" w14:textId="77777777" w:rsidTr="002E7EED">
        <w:trPr>
          <w:tblCellSpacing w:w="15" w:type="dxa"/>
        </w:trPr>
        <w:tc>
          <w:tcPr>
            <w:tcW w:w="0" w:type="auto"/>
            <w:vAlign w:val="center"/>
            <w:hideMark/>
          </w:tcPr>
          <w:p w14:paraId="35FC1D73"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Combinação de mecanismos</w:t>
            </w:r>
          </w:p>
        </w:tc>
        <w:tc>
          <w:tcPr>
            <w:tcW w:w="0" w:type="auto"/>
            <w:vAlign w:val="center"/>
            <w:hideMark/>
          </w:tcPr>
          <w:p w14:paraId="2402A61C" w14:textId="77777777" w:rsidR="00A3112D" w:rsidRPr="00B74E01" w:rsidRDefault="00A3112D" w:rsidP="00CE7617">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Quando a recomposição exigir solução composta</w:t>
            </w:r>
          </w:p>
        </w:tc>
      </w:tr>
    </w:tbl>
    <w:p w14:paraId="0C611A00"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escolha do mecanismo deve buscar neutralidade econômica, evitando enriquecimento indevido da SPE ou transferência excessiva de ônus ao Município.</w:t>
      </w:r>
    </w:p>
    <w:p w14:paraId="1DDD8098" w14:textId="77777777" w:rsidR="00A3112D" w:rsidRPr="00B74E01" w:rsidRDefault="00A3112D" w:rsidP="00CE7617">
      <w:pPr>
        <w:pStyle w:val="Ttulo2"/>
        <w:rPr>
          <w:rFonts w:eastAsia="Times New Roman"/>
          <w:lang w:eastAsia="pt-BR"/>
        </w:rPr>
      </w:pPr>
      <w:bookmarkStart w:id="226" w:name="_Toc230204228"/>
      <w:r w:rsidRPr="00B74E01">
        <w:rPr>
          <w:rFonts w:eastAsia="Times New Roman"/>
          <w:lang w:eastAsia="pt-BR"/>
        </w:rPr>
        <w:t>17.8. Procedimento para solicitação de reequilíbrio</w:t>
      </w:r>
      <w:bookmarkEnd w:id="226"/>
    </w:p>
    <w:p w14:paraId="559AF7EC"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O contrato deverá estabelecer procedimento objetivo para análise dos pleitos.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321"/>
        <w:gridCol w:w="5740"/>
      </w:tblGrid>
      <w:tr w:rsidR="00A3112D" w:rsidRPr="00B74E01" w14:paraId="14BD9994" w14:textId="77777777" w:rsidTr="002E7EED">
        <w:trPr>
          <w:tblHeader/>
          <w:tblCellSpacing w:w="15" w:type="dxa"/>
        </w:trPr>
        <w:tc>
          <w:tcPr>
            <w:tcW w:w="0" w:type="auto"/>
            <w:vAlign w:val="center"/>
            <w:hideMark/>
          </w:tcPr>
          <w:p w14:paraId="3525F51F" w14:textId="77777777" w:rsidR="00A3112D" w:rsidRPr="00B74E01" w:rsidRDefault="00A3112D" w:rsidP="00654A69">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Etapa</w:t>
            </w:r>
          </w:p>
        </w:tc>
        <w:tc>
          <w:tcPr>
            <w:tcW w:w="0" w:type="auto"/>
            <w:vAlign w:val="center"/>
            <w:hideMark/>
          </w:tcPr>
          <w:p w14:paraId="0C397EAE" w14:textId="77777777" w:rsidR="00A3112D" w:rsidRPr="00B74E01" w:rsidRDefault="00A3112D" w:rsidP="00654A69">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Procedimento recomendado</w:t>
            </w:r>
          </w:p>
        </w:tc>
      </w:tr>
      <w:tr w:rsidR="00A3112D" w:rsidRPr="00B74E01" w14:paraId="40205DEA" w14:textId="77777777" w:rsidTr="002E7EED">
        <w:trPr>
          <w:tblCellSpacing w:w="15" w:type="dxa"/>
        </w:trPr>
        <w:tc>
          <w:tcPr>
            <w:tcW w:w="0" w:type="auto"/>
            <w:vAlign w:val="center"/>
            <w:hideMark/>
          </w:tcPr>
          <w:p w14:paraId="48B9775D" w14:textId="77777777" w:rsidR="00A3112D" w:rsidRPr="00B74E01" w:rsidRDefault="00A3112D" w:rsidP="00654A69">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1. Comunicação do evento</w:t>
            </w:r>
          </w:p>
        </w:tc>
        <w:tc>
          <w:tcPr>
            <w:tcW w:w="0" w:type="auto"/>
            <w:vAlign w:val="center"/>
            <w:hideMark/>
          </w:tcPr>
          <w:p w14:paraId="0E251842" w14:textId="77777777" w:rsidR="00A3112D" w:rsidRPr="00B74E01" w:rsidRDefault="00A3112D" w:rsidP="00654A69">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Parte afetada comunica formalmente o evento</w:t>
            </w:r>
          </w:p>
        </w:tc>
      </w:tr>
      <w:tr w:rsidR="00A3112D" w:rsidRPr="00B74E01" w14:paraId="3E05E000" w14:textId="77777777" w:rsidTr="002E7EED">
        <w:trPr>
          <w:tblCellSpacing w:w="15" w:type="dxa"/>
        </w:trPr>
        <w:tc>
          <w:tcPr>
            <w:tcW w:w="0" w:type="auto"/>
            <w:vAlign w:val="center"/>
            <w:hideMark/>
          </w:tcPr>
          <w:p w14:paraId="34BFADDB" w14:textId="77777777" w:rsidR="00A3112D" w:rsidRPr="00B74E01" w:rsidRDefault="00A3112D" w:rsidP="00654A69">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2. Demonstração do nexo causal</w:t>
            </w:r>
          </w:p>
        </w:tc>
        <w:tc>
          <w:tcPr>
            <w:tcW w:w="0" w:type="auto"/>
            <w:vAlign w:val="center"/>
            <w:hideMark/>
          </w:tcPr>
          <w:p w14:paraId="387D67DA" w14:textId="77777777" w:rsidR="00A3112D" w:rsidRPr="00B74E01" w:rsidRDefault="00A3112D" w:rsidP="00654A69">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Identificação da relação entre evento e impacto</w:t>
            </w:r>
          </w:p>
        </w:tc>
      </w:tr>
      <w:tr w:rsidR="00A3112D" w:rsidRPr="00B74E01" w14:paraId="3171E863" w14:textId="77777777" w:rsidTr="002E7EED">
        <w:trPr>
          <w:tblCellSpacing w:w="15" w:type="dxa"/>
        </w:trPr>
        <w:tc>
          <w:tcPr>
            <w:tcW w:w="0" w:type="auto"/>
            <w:vAlign w:val="center"/>
            <w:hideMark/>
          </w:tcPr>
          <w:p w14:paraId="026F369F" w14:textId="77777777" w:rsidR="00A3112D" w:rsidRPr="00B74E01" w:rsidRDefault="00A3112D" w:rsidP="00654A69">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3. Memória de cálculo</w:t>
            </w:r>
          </w:p>
        </w:tc>
        <w:tc>
          <w:tcPr>
            <w:tcW w:w="0" w:type="auto"/>
            <w:vAlign w:val="center"/>
            <w:hideMark/>
          </w:tcPr>
          <w:p w14:paraId="7F8F2456" w14:textId="77777777" w:rsidR="00A3112D" w:rsidRPr="00B74E01" w:rsidRDefault="00A3112D" w:rsidP="00654A69">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Apresentação de planilhas, documentos e premissas</w:t>
            </w:r>
          </w:p>
        </w:tc>
      </w:tr>
      <w:tr w:rsidR="00A3112D" w:rsidRPr="00B74E01" w14:paraId="377A8E65" w14:textId="77777777" w:rsidTr="002E7EED">
        <w:trPr>
          <w:tblCellSpacing w:w="15" w:type="dxa"/>
        </w:trPr>
        <w:tc>
          <w:tcPr>
            <w:tcW w:w="0" w:type="auto"/>
            <w:vAlign w:val="center"/>
            <w:hideMark/>
          </w:tcPr>
          <w:p w14:paraId="79ECF328" w14:textId="77777777" w:rsidR="00A3112D" w:rsidRPr="00B74E01" w:rsidRDefault="00A3112D" w:rsidP="00654A69">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4. Comprovação documental</w:t>
            </w:r>
          </w:p>
        </w:tc>
        <w:tc>
          <w:tcPr>
            <w:tcW w:w="0" w:type="auto"/>
            <w:vAlign w:val="center"/>
            <w:hideMark/>
          </w:tcPr>
          <w:p w14:paraId="12393387" w14:textId="77777777" w:rsidR="00A3112D" w:rsidRPr="00B74E01" w:rsidRDefault="00A3112D" w:rsidP="00654A69">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Notas, relatórios, laudos, registros e pareceres</w:t>
            </w:r>
          </w:p>
        </w:tc>
      </w:tr>
      <w:tr w:rsidR="00A3112D" w:rsidRPr="00B74E01" w14:paraId="76F87297" w14:textId="77777777" w:rsidTr="002E7EED">
        <w:trPr>
          <w:tblCellSpacing w:w="15" w:type="dxa"/>
        </w:trPr>
        <w:tc>
          <w:tcPr>
            <w:tcW w:w="0" w:type="auto"/>
            <w:vAlign w:val="center"/>
            <w:hideMark/>
          </w:tcPr>
          <w:p w14:paraId="73B5960D" w14:textId="77777777" w:rsidR="00A3112D" w:rsidRPr="00B74E01" w:rsidRDefault="00A3112D" w:rsidP="00654A69">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5. Análise técnica</w:t>
            </w:r>
          </w:p>
        </w:tc>
        <w:tc>
          <w:tcPr>
            <w:tcW w:w="0" w:type="auto"/>
            <w:vAlign w:val="center"/>
            <w:hideMark/>
          </w:tcPr>
          <w:p w14:paraId="184A5701" w14:textId="77777777" w:rsidR="00A3112D" w:rsidRPr="00B74E01" w:rsidRDefault="00A3112D" w:rsidP="00654A69">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Avaliação pelo Poder Concedente ou verificador independente</w:t>
            </w:r>
          </w:p>
        </w:tc>
      </w:tr>
      <w:tr w:rsidR="00A3112D" w:rsidRPr="00B74E01" w14:paraId="429315B7" w14:textId="77777777" w:rsidTr="002E7EED">
        <w:trPr>
          <w:tblCellSpacing w:w="15" w:type="dxa"/>
        </w:trPr>
        <w:tc>
          <w:tcPr>
            <w:tcW w:w="0" w:type="auto"/>
            <w:vAlign w:val="center"/>
            <w:hideMark/>
          </w:tcPr>
          <w:p w14:paraId="3450F1A8" w14:textId="77777777" w:rsidR="00A3112D" w:rsidRPr="00B74E01" w:rsidRDefault="00A3112D" w:rsidP="00654A69">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6. Manifestação da parte contrária</w:t>
            </w:r>
          </w:p>
        </w:tc>
        <w:tc>
          <w:tcPr>
            <w:tcW w:w="0" w:type="auto"/>
            <w:vAlign w:val="center"/>
            <w:hideMark/>
          </w:tcPr>
          <w:p w14:paraId="20539BF7" w14:textId="77777777" w:rsidR="00A3112D" w:rsidRPr="00B74E01" w:rsidRDefault="00A3112D" w:rsidP="00654A69">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Contraditório e validação dos dados</w:t>
            </w:r>
          </w:p>
        </w:tc>
      </w:tr>
      <w:tr w:rsidR="00A3112D" w:rsidRPr="00B74E01" w14:paraId="44499C9C" w14:textId="77777777" w:rsidTr="002E7EED">
        <w:trPr>
          <w:tblCellSpacing w:w="15" w:type="dxa"/>
        </w:trPr>
        <w:tc>
          <w:tcPr>
            <w:tcW w:w="0" w:type="auto"/>
            <w:vAlign w:val="center"/>
            <w:hideMark/>
          </w:tcPr>
          <w:p w14:paraId="1FB4F628" w14:textId="77777777" w:rsidR="00A3112D" w:rsidRPr="00B74E01" w:rsidRDefault="00A3112D" w:rsidP="00654A69">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7. Decisão administrativa</w:t>
            </w:r>
          </w:p>
        </w:tc>
        <w:tc>
          <w:tcPr>
            <w:tcW w:w="0" w:type="auto"/>
            <w:vAlign w:val="center"/>
            <w:hideMark/>
          </w:tcPr>
          <w:p w14:paraId="7C542CDA" w14:textId="77777777" w:rsidR="00A3112D" w:rsidRPr="00B74E01" w:rsidRDefault="00A3112D" w:rsidP="00654A69">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Deferimento, indeferimento ou recomposição parcial</w:t>
            </w:r>
          </w:p>
        </w:tc>
      </w:tr>
      <w:tr w:rsidR="00A3112D" w:rsidRPr="00B74E01" w14:paraId="0AD07D4A" w14:textId="77777777" w:rsidTr="002E7EED">
        <w:trPr>
          <w:tblCellSpacing w:w="15" w:type="dxa"/>
        </w:trPr>
        <w:tc>
          <w:tcPr>
            <w:tcW w:w="0" w:type="auto"/>
            <w:vAlign w:val="center"/>
            <w:hideMark/>
          </w:tcPr>
          <w:p w14:paraId="5709D86C" w14:textId="77777777" w:rsidR="00A3112D" w:rsidRPr="00B74E01" w:rsidRDefault="00A3112D" w:rsidP="00654A69">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8. Formalização</w:t>
            </w:r>
          </w:p>
        </w:tc>
        <w:tc>
          <w:tcPr>
            <w:tcW w:w="0" w:type="auto"/>
            <w:vAlign w:val="center"/>
            <w:hideMark/>
          </w:tcPr>
          <w:p w14:paraId="2FC09994" w14:textId="77777777" w:rsidR="00A3112D" w:rsidRPr="00B74E01" w:rsidRDefault="00A3112D" w:rsidP="00654A69">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Termo aditivo, apostilamento ou instrumento cabível</w:t>
            </w:r>
          </w:p>
        </w:tc>
      </w:tr>
      <w:tr w:rsidR="00A3112D" w:rsidRPr="00B74E01" w14:paraId="7BBF6DF1" w14:textId="77777777" w:rsidTr="002E7EED">
        <w:trPr>
          <w:tblCellSpacing w:w="15" w:type="dxa"/>
        </w:trPr>
        <w:tc>
          <w:tcPr>
            <w:tcW w:w="0" w:type="auto"/>
            <w:vAlign w:val="center"/>
            <w:hideMark/>
          </w:tcPr>
          <w:p w14:paraId="7B632E09" w14:textId="77777777" w:rsidR="00A3112D" w:rsidRPr="00B74E01" w:rsidRDefault="00A3112D" w:rsidP="00654A69">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9. Registro e transparência</w:t>
            </w:r>
          </w:p>
        </w:tc>
        <w:tc>
          <w:tcPr>
            <w:tcW w:w="0" w:type="auto"/>
            <w:vAlign w:val="center"/>
            <w:hideMark/>
          </w:tcPr>
          <w:p w14:paraId="26EA0B47" w14:textId="77777777" w:rsidR="00A3112D" w:rsidRPr="00B74E01" w:rsidRDefault="00A3112D" w:rsidP="00654A69">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Arquivamento para controle interno e externo</w:t>
            </w:r>
          </w:p>
        </w:tc>
      </w:tr>
    </w:tbl>
    <w:p w14:paraId="79E9BDDE"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Esse rito evita recomposições informais e melhora a auditabilidade do contrato.</w:t>
      </w:r>
    </w:p>
    <w:p w14:paraId="256792D7" w14:textId="77777777" w:rsidR="00A3112D" w:rsidRPr="00B74E01" w:rsidRDefault="00A3112D" w:rsidP="00654A69">
      <w:pPr>
        <w:pStyle w:val="Ttulo2"/>
        <w:rPr>
          <w:rFonts w:eastAsia="Times New Roman"/>
          <w:lang w:eastAsia="pt-BR"/>
        </w:rPr>
      </w:pPr>
      <w:bookmarkStart w:id="227" w:name="_Toc230204229"/>
      <w:r w:rsidRPr="00B74E01">
        <w:rPr>
          <w:rFonts w:eastAsia="Times New Roman"/>
          <w:lang w:eastAsia="pt-BR"/>
        </w:rPr>
        <w:lastRenderedPageBreak/>
        <w:t>17.9. Documentos mínimos para pleito de reequilíbrio</w:t>
      </w:r>
      <w:bookmarkEnd w:id="227"/>
    </w:p>
    <w:p w14:paraId="11790C4A"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O pleito de reequilíbrio deverá ser acompanhado de documentação suficiente.</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365"/>
        <w:gridCol w:w="3457"/>
      </w:tblGrid>
      <w:tr w:rsidR="00A3112D" w:rsidRPr="00B74E01" w14:paraId="7A885CF2" w14:textId="77777777" w:rsidTr="002E7EED">
        <w:trPr>
          <w:tblHeader/>
          <w:tblCellSpacing w:w="15" w:type="dxa"/>
        </w:trPr>
        <w:tc>
          <w:tcPr>
            <w:tcW w:w="0" w:type="auto"/>
            <w:vAlign w:val="center"/>
            <w:hideMark/>
          </w:tcPr>
          <w:p w14:paraId="6BD91F9D" w14:textId="77777777" w:rsidR="00A3112D" w:rsidRPr="00B74E01" w:rsidRDefault="00A3112D" w:rsidP="00654A69">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Documento</w:t>
            </w:r>
          </w:p>
        </w:tc>
        <w:tc>
          <w:tcPr>
            <w:tcW w:w="0" w:type="auto"/>
            <w:vAlign w:val="center"/>
            <w:hideMark/>
          </w:tcPr>
          <w:p w14:paraId="039EB4BD" w14:textId="77777777" w:rsidR="00A3112D" w:rsidRPr="00B74E01" w:rsidRDefault="00A3112D" w:rsidP="00654A69">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Finalidade</w:t>
            </w:r>
          </w:p>
        </w:tc>
      </w:tr>
      <w:tr w:rsidR="00A3112D" w:rsidRPr="00B74E01" w14:paraId="282A4257" w14:textId="77777777" w:rsidTr="002E7EED">
        <w:trPr>
          <w:tblCellSpacing w:w="15" w:type="dxa"/>
        </w:trPr>
        <w:tc>
          <w:tcPr>
            <w:tcW w:w="0" w:type="auto"/>
            <w:vAlign w:val="center"/>
            <w:hideMark/>
          </w:tcPr>
          <w:p w14:paraId="5C62A926" w14:textId="77777777" w:rsidR="00A3112D" w:rsidRPr="00B74E01" w:rsidRDefault="00A3112D" w:rsidP="00654A69">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Relatório técnico do evento</w:t>
            </w:r>
          </w:p>
        </w:tc>
        <w:tc>
          <w:tcPr>
            <w:tcW w:w="0" w:type="auto"/>
            <w:vAlign w:val="center"/>
            <w:hideMark/>
          </w:tcPr>
          <w:p w14:paraId="4FFFECBF" w14:textId="77777777" w:rsidR="00A3112D" w:rsidRPr="00B74E01" w:rsidRDefault="00A3112D" w:rsidP="00654A69">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Descrever causa e impacto</w:t>
            </w:r>
          </w:p>
        </w:tc>
      </w:tr>
      <w:tr w:rsidR="00A3112D" w:rsidRPr="00B74E01" w14:paraId="708E6937" w14:textId="77777777" w:rsidTr="002E7EED">
        <w:trPr>
          <w:tblCellSpacing w:w="15" w:type="dxa"/>
        </w:trPr>
        <w:tc>
          <w:tcPr>
            <w:tcW w:w="0" w:type="auto"/>
            <w:vAlign w:val="center"/>
            <w:hideMark/>
          </w:tcPr>
          <w:p w14:paraId="783FCD1B" w14:textId="77777777" w:rsidR="00A3112D" w:rsidRPr="00B74E01" w:rsidRDefault="00A3112D" w:rsidP="00654A69">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Matriz de riscos aplicável</w:t>
            </w:r>
          </w:p>
        </w:tc>
        <w:tc>
          <w:tcPr>
            <w:tcW w:w="0" w:type="auto"/>
            <w:vAlign w:val="center"/>
            <w:hideMark/>
          </w:tcPr>
          <w:p w14:paraId="42AC8C47" w14:textId="77777777" w:rsidR="00A3112D" w:rsidRPr="00B74E01" w:rsidRDefault="00A3112D" w:rsidP="00654A69">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Demonstrar alocação do risco</w:t>
            </w:r>
          </w:p>
        </w:tc>
      </w:tr>
      <w:tr w:rsidR="00A3112D" w:rsidRPr="00B74E01" w14:paraId="658875AE" w14:textId="77777777" w:rsidTr="002E7EED">
        <w:trPr>
          <w:tblCellSpacing w:w="15" w:type="dxa"/>
        </w:trPr>
        <w:tc>
          <w:tcPr>
            <w:tcW w:w="0" w:type="auto"/>
            <w:vAlign w:val="center"/>
            <w:hideMark/>
          </w:tcPr>
          <w:p w14:paraId="226752A0" w14:textId="77777777" w:rsidR="00A3112D" w:rsidRPr="00B74E01" w:rsidRDefault="00A3112D" w:rsidP="00654A69">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Memória de cálculo</w:t>
            </w:r>
          </w:p>
        </w:tc>
        <w:tc>
          <w:tcPr>
            <w:tcW w:w="0" w:type="auto"/>
            <w:vAlign w:val="center"/>
            <w:hideMark/>
          </w:tcPr>
          <w:p w14:paraId="70D99079" w14:textId="77777777" w:rsidR="00A3112D" w:rsidRPr="00B74E01" w:rsidRDefault="00A3112D" w:rsidP="00654A69">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Quantificar impacto econômico</w:t>
            </w:r>
          </w:p>
        </w:tc>
      </w:tr>
      <w:tr w:rsidR="00A3112D" w:rsidRPr="00B74E01" w14:paraId="66620BB6" w14:textId="77777777" w:rsidTr="002E7EED">
        <w:trPr>
          <w:tblCellSpacing w:w="15" w:type="dxa"/>
        </w:trPr>
        <w:tc>
          <w:tcPr>
            <w:tcW w:w="0" w:type="auto"/>
            <w:vAlign w:val="center"/>
            <w:hideMark/>
          </w:tcPr>
          <w:p w14:paraId="3F177AA3" w14:textId="77777777" w:rsidR="00A3112D" w:rsidRPr="00B74E01" w:rsidRDefault="00A3112D" w:rsidP="00654A69">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Demonstrações contábeis ou gerenciais</w:t>
            </w:r>
          </w:p>
        </w:tc>
        <w:tc>
          <w:tcPr>
            <w:tcW w:w="0" w:type="auto"/>
            <w:vAlign w:val="center"/>
            <w:hideMark/>
          </w:tcPr>
          <w:p w14:paraId="02C8A4AC" w14:textId="77777777" w:rsidR="00A3112D" w:rsidRPr="00B74E01" w:rsidRDefault="00A3112D" w:rsidP="00654A69">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Comprovar reflexo financeiro</w:t>
            </w:r>
          </w:p>
        </w:tc>
      </w:tr>
      <w:tr w:rsidR="00A3112D" w:rsidRPr="00B74E01" w14:paraId="1B42C39F" w14:textId="77777777" w:rsidTr="002E7EED">
        <w:trPr>
          <w:tblCellSpacing w:w="15" w:type="dxa"/>
        </w:trPr>
        <w:tc>
          <w:tcPr>
            <w:tcW w:w="0" w:type="auto"/>
            <w:vAlign w:val="center"/>
            <w:hideMark/>
          </w:tcPr>
          <w:p w14:paraId="5A682BEB" w14:textId="77777777" w:rsidR="00A3112D" w:rsidRPr="00B74E01" w:rsidRDefault="00A3112D" w:rsidP="00654A69">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Notas fiscais, contratos ou medições</w:t>
            </w:r>
          </w:p>
        </w:tc>
        <w:tc>
          <w:tcPr>
            <w:tcW w:w="0" w:type="auto"/>
            <w:vAlign w:val="center"/>
            <w:hideMark/>
          </w:tcPr>
          <w:p w14:paraId="6969CF4E" w14:textId="77777777" w:rsidR="00A3112D" w:rsidRPr="00B74E01" w:rsidRDefault="00A3112D" w:rsidP="00654A69">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Comprovar custos ou perdas</w:t>
            </w:r>
          </w:p>
        </w:tc>
      </w:tr>
      <w:tr w:rsidR="00A3112D" w:rsidRPr="00B74E01" w14:paraId="260006FE" w14:textId="77777777" w:rsidTr="002E7EED">
        <w:trPr>
          <w:tblCellSpacing w:w="15" w:type="dxa"/>
        </w:trPr>
        <w:tc>
          <w:tcPr>
            <w:tcW w:w="0" w:type="auto"/>
            <w:vAlign w:val="center"/>
            <w:hideMark/>
          </w:tcPr>
          <w:p w14:paraId="6B576DE5" w14:textId="77777777" w:rsidR="00A3112D" w:rsidRPr="00B74E01" w:rsidRDefault="00A3112D" w:rsidP="00654A69">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Parecer jurídico, se aplicável</w:t>
            </w:r>
          </w:p>
        </w:tc>
        <w:tc>
          <w:tcPr>
            <w:tcW w:w="0" w:type="auto"/>
            <w:vAlign w:val="center"/>
            <w:hideMark/>
          </w:tcPr>
          <w:p w14:paraId="141FE0CE" w14:textId="77777777" w:rsidR="00A3112D" w:rsidRPr="00B74E01" w:rsidRDefault="00A3112D" w:rsidP="00654A69">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Fundamentar enquadramento</w:t>
            </w:r>
          </w:p>
        </w:tc>
      </w:tr>
      <w:tr w:rsidR="00A3112D" w:rsidRPr="00B74E01" w14:paraId="0FB1EF21" w14:textId="77777777" w:rsidTr="002E7EED">
        <w:trPr>
          <w:tblCellSpacing w:w="15" w:type="dxa"/>
        </w:trPr>
        <w:tc>
          <w:tcPr>
            <w:tcW w:w="0" w:type="auto"/>
            <w:vAlign w:val="center"/>
            <w:hideMark/>
          </w:tcPr>
          <w:p w14:paraId="6A19150A" w14:textId="77777777" w:rsidR="00A3112D" w:rsidRPr="00B74E01" w:rsidRDefault="00A3112D" w:rsidP="00654A69">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Relatório de operação</w:t>
            </w:r>
          </w:p>
        </w:tc>
        <w:tc>
          <w:tcPr>
            <w:tcW w:w="0" w:type="auto"/>
            <w:vAlign w:val="center"/>
            <w:hideMark/>
          </w:tcPr>
          <w:p w14:paraId="5F490782" w14:textId="77777777" w:rsidR="00A3112D" w:rsidRPr="00B74E01" w:rsidRDefault="00A3112D" w:rsidP="00654A69">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Demonstrar efeito na prestação</w:t>
            </w:r>
          </w:p>
        </w:tc>
      </w:tr>
      <w:tr w:rsidR="00A3112D" w:rsidRPr="00B74E01" w14:paraId="2CA1DCB1" w14:textId="77777777" w:rsidTr="002E7EED">
        <w:trPr>
          <w:tblCellSpacing w:w="15" w:type="dxa"/>
        </w:trPr>
        <w:tc>
          <w:tcPr>
            <w:tcW w:w="0" w:type="auto"/>
            <w:vAlign w:val="center"/>
            <w:hideMark/>
          </w:tcPr>
          <w:p w14:paraId="382F83DB" w14:textId="77777777" w:rsidR="00A3112D" w:rsidRPr="00B74E01" w:rsidRDefault="00A3112D" w:rsidP="00654A69">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Proposta de recomposição</w:t>
            </w:r>
          </w:p>
        </w:tc>
        <w:tc>
          <w:tcPr>
            <w:tcW w:w="0" w:type="auto"/>
            <w:vAlign w:val="center"/>
            <w:hideMark/>
          </w:tcPr>
          <w:p w14:paraId="11E22B3F" w14:textId="77777777" w:rsidR="00A3112D" w:rsidRPr="00B74E01" w:rsidRDefault="00A3112D" w:rsidP="00654A69">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Indicar mecanismo pretendido</w:t>
            </w:r>
          </w:p>
        </w:tc>
      </w:tr>
      <w:tr w:rsidR="00A3112D" w:rsidRPr="00B74E01" w14:paraId="525F98F3" w14:textId="77777777" w:rsidTr="002E7EED">
        <w:trPr>
          <w:tblCellSpacing w:w="15" w:type="dxa"/>
        </w:trPr>
        <w:tc>
          <w:tcPr>
            <w:tcW w:w="0" w:type="auto"/>
            <w:vAlign w:val="center"/>
            <w:hideMark/>
          </w:tcPr>
          <w:p w14:paraId="589C2CBE" w14:textId="77777777" w:rsidR="00A3112D" w:rsidRPr="00B74E01" w:rsidRDefault="00A3112D" w:rsidP="00654A69">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Declaração de ausência de duplicidade</w:t>
            </w:r>
          </w:p>
        </w:tc>
        <w:tc>
          <w:tcPr>
            <w:tcW w:w="0" w:type="auto"/>
            <w:vAlign w:val="center"/>
            <w:hideMark/>
          </w:tcPr>
          <w:p w14:paraId="7A6D68EF" w14:textId="77777777" w:rsidR="00A3112D" w:rsidRPr="00B74E01" w:rsidRDefault="00A3112D" w:rsidP="00654A69">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Evitar recomposição duplicada</w:t>
            </w:r>
          </w:p>
        </w:tc>
      </w:tr>
    </w:tbl>
    <w:p w14:paraId="387B937F"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Sem documentação robusta, o pleito não deve ser acolhido. Reequilíbrio não pode ser baseado em alegações genéricas.</w:t>
      </w:r>
    </w:p>
    <w:p w14:paraId="6F9E3450" w14:textId="77777777" w:rsidR="00A3112D" w:rsidRPr="00B74E01" w:rsidRDefault="00A3112D" w:rsidP="00654A69">
      <w:pPr>
        <w:pStyle w:val="Ttulo2"/>
        <w:rPr>
          <w:rFonts w:eastAsia="Times New Roman"/>
          <w:lang w:eastAsia="pt-BR"/>
        </w:rPr>
      </w:pPr>
      <w:bookmarkStart w:id="228" w:name="_Toc230204230"/>
      <w:r w:rsidRPr="00B74E01">
        <w:rPr>
          <w:rFonts w:eastAsia="Times New Roman"/>
          <w:lang w:eastAsia="pt-BR"/>
        </w:rPr>
        <w:t>17.10. Reequilíbrio, reajuste e revisão ordinária</w:t>
      </w:r>
      <w:bookmarkEnd w:id="228"/>
    </w:p>
    <w:p w14:paraId="2349D787"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É importante distinguir reequilíbrio, reajuste e revisão ordinária.</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134"/>
        <w:gridCol w:w="4407"/>
        <w:gridCol w:w="2520"/>
      </w:tblGrid>
      <w:tr w:rsidR="00A3112D" w:rsidRPr="00B74E01" w14:paraId="79668585" w14:textId="77777777" w:rsidTr="002E7EED">
        <w:trPr>
          <w:tblHeader/>
          <w:tblCellSpacing w:w="15" w:type="dxa"/>
        </w:trPr>
        <w:tc>
          <w:tcPr>
            <w:tcW w:w="0" w:type="auto"/>
            <w:vAlign w:val="center"/>
            <w:hideMark/>
          </w:tcPr>
          <w:p w14:paraId="62DE1043" w14:textId="77777777" w:rsidR="00A3112D" w:rsidRPr="00B74E01" w:rsidRDefault="00A3112D" w:rsidP="00654A69">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Instituto</w:t>
            </w:r>
          </w:p>
        </w:tc>
        <w:tc>
          <w:tcPr>
            <w:tcW w:w="0" w:type="auto"/>
            <w:vAlign w:val="center"/>
            <w:hideMark/>
          </w:tcPr>
          <w:p w14:paraId="7C22B958" w14:textId="77777777" w:rsidR="00A3112D" w:rsidRPr="00B74E01" w:rsidRDefault="00A3112D" w:rsidP="00654A69">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Finalidade</w:t>
            </w:r>
          </w:p>
        </w:tc>
        <w:tc>
          <w:tcPr>
            <w:tcW w:w="0" w:type="auto"/>
            <w:vAlign w:val="center"/>
            <w:hideMark/>
          </w:tcPr>
          <w:p w14:paraId="5B2D7175" w14:textId="77777777" w:rsidR="00A3112D" w:rsidRPr="00B74E01" w:rsidRDefault="00A3112D" w:rsidP="00654A69">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Exemplo</w:t>
            </w:r>
          </w:p>
        </w:tc>
      </w:tr>
      <w:tr w:rsidR="00A3112D" w:rsidRPr="00B74E01" w14:paraId="514A566A" w14:textId="77777777" w:rsidTr="002E7EED">
        <w:trPr>
          <w:tblCellSpacing w:w="15" w:type="dxa"/>
        </w:trPr>
        <w:tc>
          <w:tcPr>
            <w:tcW w:w="0" w:type="auto"/>
            <w:vAlign w:val="center"/>
            <w:hideMark/>
          </w:tcPr>
          <w:p w14:paraId="6D1D2E5C" w14:textId="77777777" w:rsidR="00A3112D" w:rsidRPr="00B74E01" w:rsidRDefault="00A3112D" w:rsidP="00654A69">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Reajuste</w:t>
            </w:r>
          </w:p>
        </w:tc>
        <w:tc>
          <w:tcPr>
            <w:tcW w:w="0" w:type="auto"/>
            <w:vAlign w:val="center"/>
            <w:hideMark/>
          </w:tcPr>
          <w:p w14:paraId="138860C2" w14:textId="77777777" w:rsidR="00A3112D" w:rsidRPr="00B74E01" w:rsidRDefault="00A3112D" w:rsidP="00654A69">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Atualizar valores pela inflação ou índice contratual</w:t>
            </w:r>
          </w:p>
        </w:tc>
        <w:tc>
          <w:tcPr>
            <w:tcW w:w="0" w:type="auto"/>
            <w:vAlign w:val="center"/>
            <w:hideMark/>
          </w:tcPr>
          <w:p w14:paraId="71F4A427" w14:textId="77777777" w:rsidR="00A3112D" w:rsidRPr="00B74E01" w:rsidRDefault="00A3112D" w:rsidP="00654A69">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IPCA anual</w:t>
            </w:r>
          </w:p>
        </w:tc>
      </w:tr>
      <w:tr w:rsidR="00A3112D" w:rsidRPr="00B74E01" w14:paraId="0393228D" w14:textId="77777777" w:rsidTr="002E7EED">
        <w:trPr>
          <w:tblCellSpacing w:w="15" w:type="dxa"/>
        </w:trPr>
        <w:tc>
          <w:tcPr>
            <w:tcW w:w="0" w:type="auto"/>
            <w:vAlign w:val="center"/>
            <w:hideMark/>
          </w:tcPr>
          <w:p w14:paraId="2BE2103A" w14:textId="77777777" w:rsidR="00A3112D" w:rsidRPr="00B74E01" w:rsidRDefault="00A3112D" w:rsidP="00654A69">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Revisão ordinária</w:t>
            </w:r>
          </w:p>
        </w:tc>
        <w:tc>
          <w:tcPr>
            <w:tcW w:w="0" w:type="auto"/>
            <w:vAlign w:val="center"/>
            <w:hideMark/>
          </w:tcPr>
          <w:p w14:paraId="1A95543E" w14:textId="77777777" w:rsidR="00A3112D" w:rsidRPr="00B74E01" w:rsidRDefault="00A3112D" w:rsidP="00654A69">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Reavaliar parâmetros periódicos previstos no contrato</w:t>
            </w:r>
          </w:p>
        </w:tc>
        <w:tc>
          <w:tcPr>
            <w:tcW w:w="0" w:type="auto"/>
            <w:vAlign w:val="center"/>
            <w:hideMark/>
          </w:tcPr>
          <w:p w14:paraId="6DCD99D3" w14:textId="77777777" w:rsidR="00A3112D" w:rsidRPr="00B74E01" w:rsidRDefault="00A3112D" w:rsidP="00654A69">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Revisão quinquenal de indicadores</w:t>
            </w:r>
          </w:p>
        </w:tc>
      </w:tr>
      <w:tr w:rsidR="00A3112D" w:rsidRPr="00B74E01" w14:paraId="3B1C6B41" w14:textId="77777777" w:rsidTr="002E7EED">
        <w:trPr>
          <w:tblCellSpacing w:w="15" w:type="dxa"/>
        </w:trPr>
        <w:tc>
          <w:tcPr>
            <w:tcW w:w="0" w:type="auto"/>
            <w:vAlign w:val="center"/>
            <w:hideMark/>
          </w:tcPr>
          <w:p w14:paraId="3EA1281B" w14:textId="77777777" w:rsidR="00A3112D" w:rsidRPr="00B74E01" w:rsidRDefault="00A3112D" w:rsidP="00654A69">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Reequilíbrio</w:t>
            </w:r>
          </w:p>
        </w:tc>
        <w:tc>
          <w:tcPr>
            <w:tcW w:w="0" w:type="auto"/>
            <w:vAlign w:val="center"/>
            <w:hideMark/>
          </w:tcPr>
          <w:p w14:paraId="478C6614" w14:textId="77777777" w:rsidR="00A3112D" w:rsidRPr="00B74E01" w:rsidRDefault="00A3112D" w:rsidP="00654A69">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Recompor impacto de evento extraordinário ou alocado à outra parte</w:t>
            </w:r>
          </w:p>
        </w:tc>
        <w:tc>
          <w:tcPr>
            <w:tcW w:w="0" w:type="auto"/>
            <w:vAlign w:val="center"/>
            <w:hideMark/>
          </w:tcPr>
          <w:p w14:paraId="7034F809" w14:textId="77777777" w:rsidR="00A3112D" w:rsidRPr="00B74E01" w:rsidRDefault="00A3112D" w:rsidP="00654A69">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Alteração unilateral de escopo</w:t>
            </w:r>
          </w:p>
        </w:tc>
      </w:tr>
      <w:tr w:rsidR="00A3112D" w:rsidRPr="00B74E01" w14:paraId="71AECDDB" w14:textId="77777777" w:rsidTr="002E7EED">
        <w:trPr>
          <w:tblCellSpacing w:w="15" w:type="dxa"/>
        </w:trPr>
        <w:tc>
          <w:tcPr>
            <w:tcW w:w="0" w:type="auto"/>
            <w:vAlign w:val="center"/>
            <w:hideMark/>
          </w:tcPr>
          <w:p w14:paraId="4C4B6B5D" w14:textId="77777777" w:rsidR="00A3112D" w:rsidRPr="00B74E01" w:rsidRDefault="00A3112D" w:rsidP="00654A69">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Repactuação operacional</w:t>
            </w:r>
          </w:p>
        </w:tc>
        <w:tc>
          <w:tcPr>
            <w:tcW w:w="0" w:type="auto"/>
            <w:vAlign w:val="center"/>
            <w:hideMark/>
          </w:tcPr>
          <w:p w14:paraId="0462A4F5" w14:textId="77777777" w:rsidR="00A3112D" w:rsidRPr="00B74E01" w:rsidRDefault="00A3112D" w:rsidP="00654A69">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Ajustar procedimentos sem alterar equação econômica</w:t>
            </w:r>
          </w:p>
        </w:tc>
        <w:tc>
          <w:tcPr>
            <w:tcW w:w="0" w:type="auto"/>
            <w:vAlign w:val="center"/>
            <w:hideMark/>
          </w:tcPr>
          <w:p w14:paraId="575EFA22" w14:textId="77777777" w:rsidR="00A3112D" w:rsidRPr="00B74E01" w:rsidRDefault="00A3112D" w:rsidP="00654A69">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Melhoria de relatórios ou fluxos</w:t>
            </w:r>
          </w:p>
        </w:tc>
      </w:tr>
    </w:tbl>
    <w:p w14:paraId="5A1C2CCA"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lastRenderedPageBreak/>
        <w:t>Essa distinção evita confusão. O reajuste não é favor contratual; é atualização econômica. O reequilíbrio não é reajuste; é recomposição de impacto específico.</w:t>
      </w:r>
    </w:p>
    <w:p w14:paraId="41B7A296" w14:textId="77777777" w:rsidR="00A3112D" w:rsidRPr="00B74E01" w:rsidRDefault="00A3112D" w:rsidP="00654A69">
      <w:pPr>
        <w:pStyle w:val="Ttulo2"/>
        <w:rPr>
          <w:rFonts w:eastAsia="Times New Roman"/>
          <w:lang w:eastAsia="pt-BR"/>
        </w:rPr>
      </w:pPr>
      <w:bookmarkStart w:id="229" w:name="_Toc230204231"/>
      <w:r w:rsidRPr="00B74E01">
        <w:rPr>
          <w:rFonts w:eastAsia="Times New Roman"/>
          <w:lang w:eastAsia="pt-BR"/>
        </w:rPr>
        <w:t>17.11. Reequilíbrio e financiamento</w:t>
      </w:r>
      <w:bookmarkEnd w:id="229"/>
    </w:p>
    <w:p w14:paraId="3CE52231"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Eventos de reequilíbrio podem afetar a </w:t>
      </w:r>
      <w:proofErr w:type="spellStart"/>
      <w:r w:rsidRPr="00B74E01">
        <w:rPr>
          <w:rFonts w:eastAsia="Times New Roman" w:cs="Arial"/>
          <w:kern w:val="0"/>
          <w:lang w:eastAsia="pt-BR"/>
          <w14:ligatures w14:val="none"/>
        </w:rPr>
        <w:t>bancabilidade</w:t>
      </w:r>
      <w:proofErr w:type="spellEnd"/>
      <w:r w:rsidRPr="00B74E01">
        <w:rPr>
          <w:rFonts w:eastAsia="Times New Roman" w:cs="Arial"/>
          <w:kern w:val="0"/>
          <w:lang w:eastAsia="pt-BR"/>
          <w14:ligatures w14:val="none"/>
        </w:rPr>
        <w:t xml:space="preserve"> da PPP. Por isso, o contrato deve prever mecanismo suficientemente claro para dar segurança aos financiadores.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895"/>
        <w:gridCol w:w="5166"/>
      </w:tblGrid>
      <w:tr w:rsidR="00A3112D" w:rsidRPr="00B74E01" w14:paraId="289DCA6A" w14:textId="77777777" w:rsidTr="002E7EED">
        <w:trPr>
          <w:tblHeader/>
          <w:tblCellSpacing w:w="15" w:type="dxa"/>
        </w:trPr>
        <w:tc>
          <w:tcPr>
            <w:tcW w:w="0" w:type="auto"/>
            <w:vAlign w:val="center"/>
            <w:hideMark/>
          </w:tcPr>
          <w:p w14:paraId="3D5D9981" w14:textId="77777777" w:rsidR="00A3112D" w:rsidRPr="00B74E01" w:rsidRDefault="00A3112D" w:rsidP="00654A69">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Ponto de atenção</w:t>
            </w:r>
          </w:p>
        </w:tc>
        <w:tc>
          <w:tcPr>
            <w:tcW w:w="0" w:type="auto"/>
            <w:vAlign w:val="center"/>
            <w:hideMark/>
          </w:tcPr>
          <w:p w14:paraId="4AD6AC53" w14:textId="77777777" w:rsidR="00A3112D" w:rsidRPr="00B74E01" w:rsidRDefault="00A3112D" w:rsidP="00654A69">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Tratamento recomendado</w:t>
            </w:r>
          </w:p>
        </w:tc>
      </w:tr>
      <w:tr w:rsidR="00A3112D" w:rsidRPr="00B74E01" w14:paraId="3EE10586" w14:textId="77777777" w:rsidTr="002E7EED">
        <w:trPr>
          <w:tblCellSpacing w:w="15" w:type="dxa"/>
        </w:trPr>
        <w:tc>
          <w:tcPr>
            <w:tcW w:w="0" w:type="auto"/>
            <w:vAlign w:val="center"/>
            <w:hideMark/>
          </w:tcPr>
          <w:p w14:paraId="486B0B51" w14:textId="77777777" w:rsidR="00A3112D" w:rsidRPr="00B74E01" w:rsidRDefault="00A3112D" w:rsidP="00654A69">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Atraso no reequilíbrio</w:t>
            </w:r>
          </w:p>
        </w:tc>
        <w:tc>
          <w:tcPr>
            <w:tcW w:w="0" w:type="auto"/>
            <w:vAlign w:val="center"/>
            <w:hideMark/>
          </w:tcPr>
          <w:p w14:paraId="4D9DEEDA" w14:textId="77777777" w:rsidR="00A3112D" w:rsidRPr="00B74E01" w:rsidRDefault="00A3112D" w:rsidP="00654A69">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Pode afetar DSCR e fluxo da dívida</w:t>
            </w:r>
          </w:p>
        </w:tc>
      </w:tr>
      <w:tr w:rsidR="00A3112D" w:rsidRPr="00B74E01" w14:paraId="76D80729" w14:textId="77777777" w:rsidTr="002E7EED">
        <w:trPr>
          <w:tblCellSpacing w:w="15" w:type="dxa"/>
        </w:trPr>
        <w:tc>
          <w:tcPr>
            <w:tcW w:w="0" w:type="auto"/>
            <w:vAlign w:val="center"/>
            <w:hideMark/>
          </w:tcPr>
          <w:p w14:paraId="599DC7D6" w14:textId="77777777" w:rsidR="00A3112D" w:rsidRPr="00B74E01" w:rsidRDefault="00A3112D" w:rsidP="00654A69">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Redução indevida de receita principal</w:t>
            </w:r>
          </w:p>
        </w:tc>
        <w:tc>
          <w:tcPr>
            <w:tcW w:w="0" w:type="auto"/>
            <w:vAlign w:val="center"/>
            <w:hideMark/>
          </w:tcPr>
          <w:p w14:paraId="150834A3" w14:textId="77777777" w:rsidR="00A3112D" w:rsidRPr="00B74E01" w:rsidRDefault="00A3112D" w:rsidP="00654A69">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 xml:space="preserve">Pode acionar garantias e </w:t>
            </w:r>
            <w:proofErr w:type="spellStart"/>
            <w:r w:rsidRPr="00B74E01">
              <w:rPr>
                <w:rFonts w:eastAsia="Times New Roman" w:cs="Arial"/>
                <w:kern w:val="0"/>
                <w:lang w:eastAsia="pt-BR"/>
                <w14:ligatures w14:val="none"/>
              </w:rPr>
              <w:t>step-in</w:t>
            </w:r>
            <w:proofErr w:type="spellEnd"/>
            <w:r w:rsidRPr="00B74E01">
              <w:rPr>
                <w:rFonts w:eastAsia="Times New Roman" w:cs="Arial"/>
                <w:kern w:val="0"/>
                <w:lang w:eastAsia="pt-BR"/>
                <w14:ligatures w14:val="none"/>
              </w:rPr>
              <w:t xml:space="preserve"> financeiro</w:t>
            </w:r>
          </w:p>
        </w:tc>
      </w:tr>
      <w:tr w:rsidR="00A3112D" w:rsidRPr="00B74E01" w14:paraId="02CBD1A0" w14:textId="77777777" w:rsidTr="002E7EED">
        <w:trPr>
          <w:tblCellSpacing w:w="15" w:type="dxa"/>
        </w:trPr>
        <w:tc>
          <w:tcPr>
            <w:tcW w:w="0" w:type="auto"/>
            <w:vAlign w:val="center"/>
            <w:hideMark/>
          </w:tcPr>
          <w:p w14:paraId="5897A7B4" w14:textId="77777777" w:rsidR="00A3112D" w:rsidRPr="00B74E01" w:rsidRDefault="00A3112D" w:rsidP="00654A69">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Alteração relevante de escopo</w:t>
            </w:r>
          </w:p>
        </w:tc>
        <w:tc>
          <w:tcPr>
            <w:tcW w:w="0" w:type="auto"/>
            <w:vAlign w:val="center"/>
            <w:hideMark/>
          </w:tcPr>
          <w:p w14:paraId="4D098F50" w14:textId="77777777" w:rsidR="00A3112D" w:rsidRPr="00B74E01" w:rsidRDefault="00A3112D" w:rsidP="00654A69">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Deve ser acompanhada de recomposição</w:t>
            </w:r>
          </w:p>
        </w:tc>
      </w:tr>
      <w:tr w:rsidR="00A3112D" w:rsidRPr="00B74E01" w14:paraId="2AFE0100" w14:textId="77777777" w:rsidTr="002E7EED">
        <w:trPr>
          <w:tblCellSpacing w:w="15" w:type="dxa"/>
        </w:trPr>
        <w:tc>
          <w:tcPr>
            <w:tcW w:w="0" w:type="auto"/>
            <w:vAlign w:val="center"/>
            <w:hideMark/>
          </w:tcPr>
          <w:p w14:paraId="60358745" w14:textId="77777777" w:rsidR="00A3112D" w:rsidRPr="00B74E01" w:rsidRDefault="00A3112D" w:rsidP="00654A69">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Controvérsia prolongada</w:t>
            </w:r>
          </w:p>
        </w:tc>
        <w:tc>
          <w:tcPr>
            <w:tcW w:w="0" w:type="auto"/>
            <w:vAlign w:val="center"/>
            <w:hideMark/>
          </w:tcPr>
          <w:p w14:paraId="009338FD" w14:textId="77777777" w:rsidR="00A3112D" w:rsidRPr="00B74E01" w:rsidRDefault="00A3112D" w:rsidP="00654A69">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Deve preservar pagamento da parte incontroversa</w:t>
            </w:r>
          </w:p>
        </w:tc>
      </w:tr>
      <w:tr w:rsidR="00A3112D" w:rsidRPr="00B74E01" w14:paraId="7A5F2A25" w14:textId="77777777" w:rsidTr="002E7EED">
        <w:trPr>
          <w:tblCellSpacing w:w="15" w:type="dxa"/>
        </w:trPr>
        <w:tc>
          <w:tcPr>
            <w:tcW w:w="0" w:type="auto"/>
            <w:vAlign w:val="center"/>
            <w:hideMark/>
          </w:tcPr>
          <w:p w14:paraId="6D793497" w14:textId="77777777" w:rsidR="00A3112D" w:rsidRPr="00B74E01" w:rsidRDefault="00A3112D" w:rsidP="00654A69">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 xml:space="preserve">Impacto sobre </w:t>
            </w:r>
            <w:proofErr w:type="spellStart"/>
            <w:r w:rsidRPr="00B74E01">
              <w:rPr>
                <w:rFonts w:eastAsia="Times New Roman" w:cs="Arial"/>
                <w:kern w:val="0"/>
                <w:lang w:eastAsia="pt-BR"/>
                <w14:ligatures w14:val="none"/>
              </w:rPr>
              <w:t>covenants</w:t>
            </w:r>
            <w:proofErr w:type="spellEnd"/>
          </w:p>
        </w:tc>
        <w:tc>
          <w:tcPr>
            <w:tcW w:w="0" w:type="auto"/>
            <w:vAlign w:val="center"/>
            <w:hideMark/>
          </w:tcPr>
          <w:p w14:paraId="5DE37728" w14:textId="77777777" w:rsidR="00A3112D" w:rsidRPr="00B74E01" w:rsidRDefault="00A3112D" w:rsidP="00654A69">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Deve ser comunicado aos financiadores</w:t>
            </w:r>
          </w:p>
        </w:tc>
      </w:tr>
      <w:tr w:rsidR="00A3112D" w:rsidRPr="00B74E01" w14:paraId="571CD1D6" w14:textId="77777777" w:rsidTr="002E7EED">
        <w:trPr>
          <w:tblCellSpacing w:w="15" w:type="dxa"/>
        </w:trPr>
        <w:tc>
          <w:tcPr>
            <w:tcW w:w="0" w:type="auto"/>
            <w:vAlign w:val="center"/>
            <w:hideMark/>
          </w:tcPr>
          <w:p w14:paraId="2FE0CDDF" w14:textId="77777777" w:rsidR="00A3112D" w:rsidRPr="00B74E01" w:rsidRDefault="00A3112D" w:rsidP="00654A69">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Conta reserva</w:t>
            </w:r>
          </w:p>
        </w:tc>
        <w:tc>
          <w:tcPr>
            <w:tcW w:w="0" w:type="auto"/>
            <w:vAlign w:val="center"/>
            <w:hideMark/>
          </w:tcPr>
          <w:p w14:paraId="5E46A460" w14:textId="77777777" w:rsidR="00A3112D" w:rsidRPr="00B74E01" w:rsidRDefault="00A3112D" w:rsidP="00654A69">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Pode mitigar impactos temporários</w:t>
            </w:r>
          </w:p>
        </w:tc>
      </w:tr>
    </w:tbl>
    <w:p w14:paraId="07AAEC37"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Financiadores não analisam apenas a taxa de retorno. Eles observam se o contrato tem mecanismos claros para lidar com eventos que afetem a capacidade de pagamento da dívida.</w:t>
      </w:r>
    </w:p>
    <w:p w14:paraId="5919FA37" w14:textId="77777777" w:rsidR="00A3112D" w:rsidRPr="00B74E01" w:rsidRDefault="00A3112D" w:rsidP="00654A69">
      <w:pPr>
        <w:pStyle w:val="Ttulo2"/>
        <w:rPr>
          <w:rFonts w:eastAsia="Times New Roman"/>
          <w:lang w:eastAsia="pt-BR"/>
        </w:rPr>
      </w:pPr>
      <w:bookmarkStart w:id="230" w:name="_Toc230204232"/>
      <w:r w:rsidRPr="00B74E01">
        <w:rPr>
          <w:rFonts w:eastAsia="Times New Roman"/>
          <w:lang w:eastAsia="pt-BR"/>
        </w:rPr>
        <w:t>17.12. Reequilíbrio e controle externo</w:t>
      </w:r>
      <w:bookmarkEnd w:id="230"/>
    </w:p>
    <w:p w14:paraId="54A0F3A2"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disciplina do reequilíbrio deve ser robusta para resistir à análise de órgãos de controle.</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097"/>
        <w:gridCol w:w="3964"/>
      </w:tblGrid>
      <w:tr w:rsidR="00A3112D" w:rsidRPr="00B74E01" w14:paraId="7420E743" w14:textId="77777777" w:rsidTr="002E7EED">
        <w:trPr>
          <w:tblHeader/>
          <w:tblCellSpacing w:w="15" w:type="dxa"/>
        </w:trPr>
        <w:tc>
          <w:tcPr>
            <w:tcW w:w="0" w:type="auto"/>
            <w:vAlign w:val="center"/>
            <w:hideMark/>
          </w:tcPr>
          <w:p w14:paraId="3DAF7E05" w14:textId="77777777" w:rsidR="00A3112D" w:rsidRPr="00B74E01" w:rsidRDefault="00A3112D" w:rsidP="00654A69">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Risco de controle</w:t>
            </w:r>
          </w:p>
        </w:tc>
        <w:tc>
          <w:tcPr>
            <w:tcW w:w="0" w:type="auto"/>
            <w:vAlign w:val="center"/>
            <w:hideMark/>
          </w:tcPr>
          <w:p w14:paraId="10825C70" w14:textId="77777777" w:rsidR="00A3112D" w:rsidRPr="00B74E01" w:rsidRDefault="00A3112D" w:rsidP="00654A69">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Como mitigar</w:t>
            </w:r>
          </w:p>
        </w:tc>
      </w:tr>
      <w:tr w:rsidR="00A3112D" w:rsidRPr="00B74E01" w14:paraId="7B4291BA" w14:textId="77777777" w:rsidTr="002E7EED">
        <w:trPr>
          <w:tblCellSpacing w:w="15" w:type="dxa"/>
        </w:trPr>
        <w:tc>
          <w:tcPr>
            <w:tcW w:w="0" w:type="auto"/>
            <w:vAlign w:val="center"/>
            <w:hideMark/>
          </w:tcPr>
          <w:p w14:paraId="2D54E67C" w14:textId="77777777" w:rsidR="00A3112D" w:rsidRPr="00B74E01" w:rsidRDefault="00A3112D" w:rsidP="00654A69">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Reequilíbrio sem base documental</w:t>
            </w:r>
          </w:p>
        </w:tc>
        <w:tc>
          <w:tcPr>
            <w:tcW w:w="0" w:type="auto"/>
            <w:vAlign w:val="center"/>
            <w:hideMark/>
          </w:tcPr>
          <w:p w14:paraId="2D1AE150" w14:textId="77777777" w:rsidR="00A3112D" w:rsidRPr="00B74E01" w:rsidRDefault="00A3112D" w:rsidP="00654A69">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Exigir memória de cálculo e documentos</w:t>
            </w:r>
          </w:p>
        </w:tc>
      </w:tr>
      <w:tr w:rsidR="00A3112D" w:rsidRPr="00B74E01" w14:paraId="1DC9611B" w14:textId="77777777" w:rsidTr="002E7EED">
        <w:trPr>
          <w:tblCellSpacing w:w="15" w:type="dxa"/>
        </w:trPr>
        <w:tc>
          <w:tcPr>
            <w:tcW w:w="0" w:type="auto"/>
            <w:vAlign w:val="center"/>
            <w:hideMark/>
          </w:tcPr>
          <w:p w14:paraId="43DD7A57" w14:textId="77777777" w:rsidR="00A3112D" w:rsidRPr="00B74E01" w:rsidRDefault="00A3112D" w:rsidP="00654A69">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Transferência indevida de risco da SPE ao Município</w:t>
            </w:r>
          </w:p>
        </w:tc>
        <w:tc>
          <w:tcPr>
            <w:tcW w:w="0" w:type="auto"/>
            <w:vAlign w:val="center"/>
            <w:hideMark/>
          </w:tcPr>
          <w:p w14:paraId="22AB397E" w14:textId="77777777" w:rsidR="00A3112D" w:rsidRPr="00B74E01" w:rsidRDefault="00A3112D" w:rsidP="00654A69">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Aplicar matriz de riscos</w:t>
            </w:r>
          </w:p>
        </w:tc>
      </w:tr>
      <w:tr w:rsidR="00A3112D" w:rsidRPr="00B74E01" w14:paraId="4DC93CB2" w14:textId="77777777" w:rsidTr="002E7EED">
        <w:trPr>
          <w:tblCellSpacing w:w="15" w:type="dxa"/>
        </w:trPr>
        <w:tc>
          <w:tcPr>
            <w:tcW w:w="0" w:type="auto"/>
            <w:vAlign w:val="center"/>
            <w:hideMark/>
          </w:tcPr>
          <w:p w14:paraId="519F037A" w14:textId="77777777" w:rsidR="00A3112D" w:rsidRPr="00B74E01" w:rsidRDefault="00A3112D" w:rsidP="00654A69">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lastRenderedPageBreak/>
              <w:t>Duplicidade de recomposição</w:t>
            </w:r>
          </w:p>
        </w:tc>
        <w:tc>
          <w:tcPr>
            <w:tcW w:w="0" w:type="auto"/>
            <w:vAlign w:val="center"/>
            <w:hideMark/>
          </w:tcPr>
          <w:p w14:paraId="5C5541C6" w14:textId="77777777" w:rsidR="00A3112D" w:rsidRPr="00B74E01" w:rsidRDefault="00A3112D" w:rsidP="00654A69">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Exigir declaração e auditoria</w:t>
            </w:r>
          </w:p>
        </w:tc>
      </w:tr>
      <w:tr w:rsidR="00A3112D" w:rsidRPr="00B74E01" w14:paraId="57C8379B" w14:textId="77777777" w:rsidTr="002E7EED">
        <w:trPr>
          <w:tblCellSpacing w:w="15" w:type="dxa"/>
        </w:trPr>
        <w:tc>
          <w:tcPr>
            <w:tcW w:w="0" w:type="auto"/>
            <w:vAlign w:val="center"/>
            <w:hideMark/>
          </w:tcPr>
          <w:p w14:paraId="3C2A447E" w14:textId="77777777" w:rsidR="00A3112D" w:rsidRPr="00B74E01" w:rsidRDefault="00A3112D" w:rsidP="00654A69">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Recomposição excessiva</w:t>
            </w:r>
          </w:p>
        </w:tc>
        <w:tc>
          <w:tcPr>
            <w:tcW w:w="0" w:type="auto"/>
            <w:vAlign w:val="center"/>
            <w:hideMark/>
          </w:tcPr>
          <w:p w14:paraId="3C9268B8" w14:textId="77777777" w:rsidR="00A3112D" w:rsidRPr="00B74E01" w:rsidRDefault="00A3112D" w:rsidP="00654A69">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Adotar neutralidade econômica</w:t>
            </w:r>
          </w:p>
        </w:tc>
      </w:tr>
      <w:tr w:rsidR="00A3112D" w:rsidRPr="00B74E01" w14:paraId="171C32EE" w14:textId="77777777" w:rsidTr="002E7EED">
        <w:trPr>
          <w:tblCellSpacing w:w="15" w:type="dxa"/>
        </w:trPr>
        <w:tc>
          <w:tcPr>
            <w:tcW w:w="0" w:type="auto"/>
            <w:vAlign w:val="center"/>
            <w:hideMark/>
          </w:tcPr>
          <w:p w14:paraId="370A0A34" w14:textId="77777777" w:rsidR="00A3112D" w:rsidRPr="00B74E01" w:rsidRDefault="00A3112D" w:rsidP="00654A69">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Falta de transparência</w:t>
            </w:r>
          </w:p>
        </w:tc>
        <w:tc>
          <w:tcPr>
            <w:tcW w:w="0" w:type="auto"/>
            <w:vAlign w:val="center"/>
            <w:hideMark/>
          </w:tcPr>
          <w:p w14:paraId="17363F04" w14:textId="77777777" w:rsidR="00A3112D" w:rsidRPr="00B74E01" w:rsidRDefault="00A3112D" w:rsidP="00654A69">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Registrar procedimento e decisão</w:t>
            </w:r>
          </w:p>
        </w:tc>
      </w:tr>
      <w:tr w:rsidR="00A3112D" w:rsidRPr="00B74E01" w14:paraId="7C42A35B" w14:textId="77777777" w:rsidTr="002E7EED">
        <w:trPr>
          <w:tblCellSpacing w:w="15" w:type="dxa"/>
        </w:trPr>
        <w:tc>
          <w:tcPr>
            <w:tcW w:w="0" w:type="auto"/>
            <w:vAlign w:val="center"/>
            <w:hideMark/>
          </w:tcPr>
          <w:p w14:paraId="2FDA89F6" w14:textId="77777777" w:rsidR="00A3112D" w:rsidRPr="00B74E01" w:rsidRDefault="00A3112D" w:rsidP="00654A69">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Alteração contratual disfarçada</w:t>
            </w:r>
          </w:p>
        </w:tc>
        <w:tc>
          <w:tcPr>
            <w:tcW w:w="0" w:type="auto"/>
            <w:vAlign w:val="center"/>
            <w:hideMark/>
          </w:tcPr>
          <w:p w14:paraId="6DEB705D" w14:textId="77777777" w:rsidR="00A3112D" w:rsidRPr="00B74E01" w:rsidRDefault="00A3112D" w:rsidP="00654A69">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Formalizar instrumento adequado</w:t>
            </w:r>
          </w:p>
        </w:tc>
      </w:tr>
      <w:tr w:rsidR="00A3112D" w:rsidRPr="00B74E01" w14:paraId="1E6BFC8A" w14:textId="77777777" w:rsidTr="002E7EED">
        <w:trPr>
          <w:tblCellSpacing w:w="15" w:type="dxa"/>
        </w:trPr>
        <w:tc>
          <w:tcPr>
            <w:tcW w:w="0" w:type="auto"/>
            <w:vAlign w:val="center"/>
            <w:hideMark/>
          </w:tcPr>
          <w:p w14:paraId="2381D8C4" w14:textId="77777777" w:rsidR="00A3112D" w:rsidRPr="00B74E01" w:rsidRDefault="00A3112D" w:rsidP="00654A69">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Impacto fiscal não avaliado</w:t>
            </w:r>
          </w:p>
        </w:tc>
        <w:tc>
          <w:tcPr>
            <w:tcW w:w="0" w:type="auto"/>
            <w:vAlign w:val="center"/>
            <w:hideMark/>
          </w:tcPr>
          <w:p w14:paraId="476590AC" w14:textId="77777777" w:rsidR="00A3112D" w:rsidRPr="00B74E01" w:rsidRDefault="00A3112D" w:rsidP="00654A69">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Exigir análise orçamentária e financeira</w:t>
            </w:r>
          </w:p>
        </w:tc>
      </w:tr>
    </w:tbl>
    <w:p w14:paraId="2FC3FCBF"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O reequilíbrio deve ser exceção justificada, não mecanismo de correção de proposta mal formulada.</w:t>
      </w:r>
    </w:p>
    <w:p w14:paraId="5409D645" w14:textId="77777777" w:rsidR="00A3112D" w:rsidRPr="00B74E01" w:rsidRDefault="00A3112D" w:rsidP="00654A69">
      <w:pPr>
        <w:pStyle w:val="Ttulo2"/>
        <w:rPr>
          <w:rFonts w:eastAsia="Times New Roman"/>
          <w:lang w:eastAsia="pt-BR"/>
        </w:rPr>
      </w:pPr>
      <w:bookmarkStart w:id="231" w:name="_Toc230204233"/>
      <w:r w:rsidRPr="00B74E01">
        <w:rPr>
          <w:rFonts w:eastAsia="Times New Roman"/>
          <w:lang w:eastAsia="pt-BR"/>
        </w:rPr>
        <w:t>17.13. Cláusula recomendada sobre reequilíbrio</w:t>
      </w:r>
      <w:bookmarkEnd w:id="231"/>
    </w:p>
    <w:p w14:paraId="186E089C"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Recomenda-se inserir no contrato diretriz semelhante </w:t>
      </w:r>
      <w:proofErr w:type="gramStart"/>
      <w:r w:rsidRPr="00B74E01">
        <w:rPr>
          <w:rFonts w:eastAsia="Times New Roman" w:cs="Arial"/>
          <w:kern w:val="0"/>
          <w:lang w:eastAsia="pt-BR"/>
          <w14:ligatures w14:val="none"/>
        </w:rPr>
        <w:t>à</w:t>
      </w:r>
      <w:proofErr w:type="gramEnd"/>
      <w:r w:rsidRPr="00B74E01">
        <w:rPr>
          <w:rFonts w:eastAsia="Times New Roman" w:cs="Arial"/>
          <w:kern w:val="0"/>
          <w:lang w:eastAsia="pt-BR"/>
          <w14:ligatures w14:val="none"/>
        </w:rPr>
        <w:t xml:space="preserve"> seguinte:</w:t>
      </w:r>
    </w:p>
    <w:p w14:paraId="504CFF98"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O reequilíbrio econômico-financeiro somente será admitido quando comprovada a ocorrência de evento alocado ao Poder Concedente, evento compartilhado ou hipótese expressamente prevista neste contrato e em sua matriz de riscos, desde que demonstrados o nexo causal, o impacto econômico-financeiro efetivo e a impossibilidade de absorção ordinária pela parte responsável. Não ensejarão reequilíbrio automático os eventos alocados à SPE, inclusive aumento ordinário de CAPEX ou OPEX, falhas operacionais, variações ordinárias de mercado, frustração de receitas acessórias, não obtenção de financiamento nas condições estimadas ou erros de orçamento do licitante.</w:t>
      </w:r>
    </w:p>
    <w:p w14:paraId="34F64987"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Essa cláusula deve ser compatibilizada com a minuta contratual e com a matriz de riscos.</w:t>
      </w:r>
    </w:p>
    <w:p w14:paraId="3FB441AC" w14:textId="77777777" w:rsidR="00A3112D" w:rsidRPr="00B74E01" w:rsidRDefault="00A3112D" w:rsidP="00654A69">
      <w:pPr>
        <w:pStyle w:val="Ttulo2"/>
        <w:rPr>
          <w:rFonts w:eastAsia="Times New Roman"/>
          <w:lang w:eastAsia="pt-BR"/>
        </w:rPr>
      </w:pPr>
      <w:bookmarkStart w:id="232" w:name="_Toc230204234"/>
      <w:r w:rsidRPr="00B74E01">
        <w:rPr>
          <w:rFonts w:eastAsia="Times New Roman"/>
          <w:lang w:eastAsia="pt-BR"/>
        </w:rPr>
        <w:t>17.14. Conclusão do tópico</w:t>
      </w:r>
      <w:bookmarkEnd w:id="232"/>
    </w:p>
    <w:p w14:paraId="014826B3"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disciplina do reequilíbrio econômico-financeiro é indispensável para a segurança da PPP.</w:t>
      </w:r>
    </w:p>
    <w:p w14:paraId="480151E1"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O contrato deve preservar o direito da SPE à recomposição quando houver evento alocado ao Poder Concedente, fato da Administração, alteração unilateral de </w:t>
      </w:r>
      <w:r w:rsidRPr="00B74E01">
        <w:rPr>
          <w:rFonts w:eastAsia="Times New Roman" w:cs="Arial"/>
          <w:kern w:val="0"/>
          <w:lang w:eastAsia="pt-BR"/>
          <w14:ligatures w14:val="none"/>
        </w:rPr>
        <w:lastRenderedPageBreak/>
        <w:t>escopo, inadimplemento público ou evento extraordinário expressamente previsto. Ao mesmo tempo, deve impedir que riscos ordinários da SPE sejam transferidos ao Município.</w:t>
      </w:r>
    </w:p>
    <w:p w14:paraId="75AF0F0F"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regra central deve ser objetiva: riscos de CAPEX, OPEX, tecnologia, operação, financiamento ordinário e receitas acessórias pertencem à SPE e não geram reequilíbrio automático. Riscos de pagamento, disponibilização da área, alteração unilateral do escopo e inadimplemento público pertencem ao Poder Concedente e podem gerar recomposição quando houver impacto comprovado.</w:t>
      </w:r>
    </w:p>
    <w:p w14:paraId="57E1B473"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Com procedimento formal, memória de cálculo, documentação, contraditório e vinculação à matriz de riscos, o reequilíbrio deixa de ser uma fragilidade e passa a ser mecanismo de governança contratual, fortalecendo a </w:t>
      </w:r>
      <w:proofErr w:type="spellStart"/>
      <w:r w:rsidRPr="00B74E01">
        <w:rPr>
          <w:rFonts w:eastAsia="Times New Roman" w:cs="Arial"/>
          <w:kern w:val="0"/>
          <w:lang w:eastAsia="pt-BR"/>
          <w14:ligatures w14:val="none"/>
        </w:rPr>
        <w:t>bancabilidade</w:t>
      </w:r>
      <w:proofErr w:type="spellEnd"/>
      <w:r w:rsidRPr="00B74E01">
        <w:rPr>
          <w:rFonts w:eastAsia="Times New Roman" w:cs="Arial"/>
          <w:kern w:val="0"/>
          <w:lang w:eastAsia="pt-BR"/>
          <w14:ligatures w14:val="none"/>
        </w:rPr>
        <w:t xml:space="preserve">, a segurança jurídica e a </w:t>
      </w:r>
      <w:proofErr w:type="spellStart"/>
      <w:r w:rsidRPr="00B74E01">
        <w:rPr>
          <w:rFonts w:eastAsia="Times New Roman" w:cs="Arial"/>
          <w:kern w:val="0"/>
          <w:lang w:eastAsia="pt-BR"/>
          <w14:ligatures w14:val="none"/>
        </w:rPr>
        <w:t>defensabilidade</w:t>
      </w:r>
      <w:proofErr w:type="spellEnd"/>
      <w:r w:rsidRPr="00B74E01">
        <w:rPr>
          <w:rFonts w:eastAsia="Times New Roman" w:cs="Arial"/>
          <w:kern w:val="0"/>
          <w:lang w:eastAsia="pt-BR"/>
          <w14:ligatures w14:val="none"/>
        </w:rPr>
        <w:t xml:space="preserve"> do projeto perante financiadores e órgãos de controle.</w:t>
      </w:r>
    </w:p>
    <w:p w14:paraId="08D47F51" w14:textId="2D7887E2" w:rsidR="00A3112D" w:rsidRDefault="00A3112D" w:rsidP="00B74E01">
      <w:pPr>
        <w:spacing w:after="0" w:line="360" w:lineRule="auto"/>
        <w:ind w:firstLine="709"/>
        <w:jc w:val="both"/>
        <w:rPr>
          <w:rFonts w:eastAsia="Times New Roman" w:cs="Arial"/>
          <w:kern w:val="0"/>
          <w:lang w:eastAsia="pt-BR"/>
          <w14:ligatures w14:val="none"/>
        </w:rPr>
      </w:pPr>
    </w:p>
    <w:p w14:paraId="517B366A" w14:textId="77777777" w:rsidR="00654A69" w:rsidRDefault="00654A69" w:rsidP="00B74E01">
      <w:pPr>
        <w:spacing w:after="0" w:line="360" w:lineRule="auto"/>
        <w:ind w:firstLine="709"/>
        <w:jc w:val="both"/>
        <w:rPr>
          <w:rFonts w:eastAsia="Times New Roman" w:cs="Arial"/>
          <w:kern w:val="0"/>
          <w:lang w:eastAsia="pt-BR"/>
          <w14:ligatures w14:val="none"/>
        </w:rPr>
      </w:pPr>
    </w:p>
    <w:p w14:paraId="72BD5D9F" w14:textId="77777777" w:rsidR="00654A69" w:rsidRDefault="00654A69" w:rsidP="00B74E01">
      <w:pPr>
        <w:spacing w:after="0" w:line="360" w:lineRule="auto"/>
        <w:ind w:firstLine="709"/>
        <w:jc w:val="both"/>
        <w:rPr>
          <w:rFonts w:eastAsia="Times New Roman" w:cs="Arial"/>
          <w:kern w:val="0"/>
          <w:lang w:eastAsia="pt-BR"/>
          <w14:ligatures w14:val="none"/>
        </w:rPr>
      </w:pPr>
    </w:p>
    <w:p w14:paraId="363B817A" w14:textId="77777777" w:rsidR="00654A69" w:rsidRDefault="00654A69" w:rsidP="00B74E01">
      <w:pPr>
        <w:spacing w:after="0" w:line="360" w:lineRule="auto"/>
        <w:ind w:firstLine="709"/>
        <w:jc w:val="both"/>
        <w:rPr>
          <w:rFonts w:eastAsia="Times New Roman" w:cs="Arial"/>
          <w:kern w:val="0"/>
          <w:lang w:eastAsia="pt-BR"/>
          <w14:ligatures w14:val="none"/>
        </w:rPr>
      </w:pPr>
    </w:p>
    <w:p w14:paraId="575DAE50" w14:textId="77777777" w:rsidR="00654A69" w:rsidRDefault="00654A69" w:rsidP="00B74E01">
      <w:pPr>
        <w:spacing w:after="0" w:line="360" w:lineRule="auto"/>
        <w:ind w:firstLine="709"/>
        <w:jc w:val="both"/>
        <w:rPr>
          <w:rFonts w:eastAsia="Times New Roman" w:cs="Arial"/>
          <w:kern w:val="0"/>
          <w:lang w:eastAsia="pt-BR"/>
          <w14:ligatures w14:val="none"/>
        </w:rPr>
      </w:pPr>
    </w:p>
    <w:p w14:paraId="3AAE810B" w14:textId="77777777" w:rsidR="00654A69" w:rsidRDefault="00654A69" w:rsidP="00B74E01">
      <w:pPr>
        <w:spacing w:after="0" w:line="360" w:lineRule="auto"/>
        <w:ind w:firstLine="709"/>
        <w:jc w:val="both"/>
        <w:rPr>
          <w:rFonts w:eastAsia="Times New Roman" w:cs="Arial"/>
          <w:kern w:val="0"/>
          <w:lang w:eastAsia="pt-BR"/>
          <w14:ligatures w14:val="none"/>
        </w:rPr>
      </w:pPr>
    </w:p>
    <w:p w14:paraId="3B8306D3" w14:textId="77777777" w:rsidR="00654A69" w:rsidRDefault="00654A69" w:rsidP="00B74E01">
      <w:pPr>
        <w:spacing w:after="0" w:line="360" w:lineRule="auto"/>
        <w:ind w:firstLine="709"/>
        <w:jc w:val="both"/>
        <w:rPr>
          <w:rFonts w:eastAsia="Times New Roman" w:cs="Arial"/>
          <w:kern w:val="0"/>
          <w:lang w:eastAsia="pt-BR"/>
          <w14:ligatures w14:val="none"/>
        </w:rPr>
      </w:pPr>
    </w:p>
    <w:p w14:paraId="00208715" w14:textId="77777777" w:rsidR="00654A69" w:rsidRDefault="00654A69" w:rsidP="00B74E01">
      <w:pPr>
        <w:spacing w:after="0" w:line="360" w:lineRule="auto"/>
        <w:ind w:firstLine="709"/>
        <w:jc w:val="both"/>
        <w:rPr>
          <w:rFonts w:eastAsia="Times New Roman" w:cs="Arial"/>
          <w:kern w:val="0"/>
          <w:lang w:eastAsia="pt-BR"/>
          <w14:ligatures w14:val="none"/>
        </w:rPr>
      </w:pPr>
    </w:p>
    <w:p w14:paraId="21AAC10F" w14:textId="77777777" w:rsidR="00654A69" w:rsidRDefault="00654A69" w:rsidP="00B74E01">
      <w:pPr>
        <w:spacing w:after="0" w:line="360" w:lineRule="auto"/>
        <w:ind w:firstLine="709"/>
        <w:jc w:val="both"/>
        <w:rPr>
          <w:rFonts w:eastAsia="Times New Roman" w:cs="Arial"/>
          <w:kern w:val="0"/>
          <w:lang w:eastAsia="pt-BR"/>
          <w14:ligatures w14:val="none"/>
        </w:rPr>
      </w:pPr>
    </w:p>
    <w:p w14:paraId="2A4058EC" w14:textId="77777777" w:rsidR="00654A69" w:rsidRDefault="00654A69" w:rsidP="00B74E01">
      <w:pPr>
        <w:spacing w:after="0" w:line="360" w:lineRule="auto"/>
        <w:ind w:firstLine="709"/>
        <w:jc w:val="both"/>
        <w:rPr>
          <w:rFonts w:eastAsia="Times New Roman" w:cs="Arial"/>
          <w:kern w:val="0"/>
          <w:lang w:eastAsia="pt-BR"/>
          <w14:ligatures w14:val="none"/>
        </w:rPr>
      </w:pPr>
    </w:p>
    <w:p w14:paraId="74F29E40" w14:textId="77777777" w:rsidR="00654A69" w:rsidRDefault="00654A69" w:rsidP="00B74E01">
      <w:pPr>
        <w:spacing w:after="0" w:line="360" w:lineRule="auto"/>
        <w:ind w:firstLine="709"/>
        <w:jc w:val="both"/>
        <w:rPr>
          <w:rFonts w:eastAsia="Times New Roman" w:cs="Arial"/>
          <w:kern w:val="0"/>
          <w:lang w:eastAsia="pt-BR"/>
          <w14:ligatures w14:val="none"/>
        </w:rPr>
      </w:pPr>
    </w:p>
    <w:p w14:paraId="1DF87E6A" w14:textId="77777777" w:rsidR="00654A69" w:rsidRDefault="00654A69" w:rsidP="00B74E01">
      <w:pPr>
        <w:spacing w:after="0" w:line="360" w:lineRule="auto"/>
        <w:ind w:firstLine="709"/>
        <w:jc w:val="both"/>
        <w:rPr>
          <w:rFonts w:eastAsia="Times New Roman" w:cs="Arial"/>
          <w:kern w:val="0"/>
          <w:lang w:eastAsia="pt-BR"/>
          <w14:ligatures w14:val="none"/>
        </w:rPr>
      </w:pPr>
    </w:p>
    <w:p w14:paraId="3426A973" w14:textId="77777777" w:rsidR="00654A69" w:rsidRDefault="00654A69" w:rsidP="00B74E01">
      <w:pPr>
        <w:spacing w:after="0" w:line="360" w:lineRule="auto"/>
        <w:ind w:firstLine="709"/>
        <w:jc w:val="both"/>
        <w:rPr>
          <w:rFonts w:eastAsia="Times New Roman" w:cs="Arial"/>
          <w:kern w:val="0"/>
          <w:lang w:eastAsia="pt-BR"/>
          <w14:ligatures w14:val="none"/>
        </w:rPr>
      </w:pPr>
    </w:p>
    <w:p w14:paraId="7EE2C17E" w14:textId="77777777" w:rsidR="00654A69" w:rsidRDefault="00654A69" w:rsidP="00B74E01">
      <w:pPr>
        <w:spacing w:after="0" w:line="360" w:lineRule="auto"/>
        <w:ind w:firstLine="709"/>
        <w:jc w:val="both"/>
        <w:rPr>
          <w:rFonts w:eastAsia="Times New Roman" w:cs="Arial"/>
          <w:kern w:val="0"/>
          <w:lang w:eastAsia="pt-BR"/>
          <w14:ligatures w14:val="none"/>
        </w:rPr>
      </w:pPr>
    </w:p>
    <w:p w14:paraId="36944716" w14:textId="77777777" w:rsidR="00654A69" w:rsidRDefault="00654A69" w:rsidP="00B74E01">
      <w:pPr>
        <w:spacing w:after="0" w:line="360" w:lineRule="auto"/>
        <w:ind w:firstLine="709"/>
        <w:jc w:val="both"/>
        <w:rPr>
          <w:rFonts w:eastAsia="Times New Roman" w:cs="Arial"/>
          <w:kern w:val="0"/>
          <w:lang w:eastAsia="pt-BR"/>
          <w14:ligatures w14:val="none"/>
        </w:rPr>
      </w:pPr>
    </w:p>
    <w:p w14:paraId="1F6223F2" w14:textId="77777777" w:rsidR="00654A69" w:rsidRDefault="00654A69" w:rsidP="00B74E01">
      <w:pPr>
        <w:spacing w:after="0" w:line="360" w:lineRule="auto"/>
        <w:ind w:firstLine="709"/>
        <w:jc w:val="both"/>
        <w:rPr>
          <w:rFonts w:eastAsia="Times New Roman" w:cs="Arial"/>
          <w:kern w:val="0"/>
          <w:lang w:eastAsia="pt-BR"/>
          <w14:ligatures w14:val="none"/>
        </w:rPr>
      </w:pPr>
    </w:p>
    <w:p w14:paraId="7579C3BD" w14:textId="77777777" w:rsidR="00654A69" w:rsidRDefault="00654A69" w:rsidP="00B74E01">
      <w:pPr>
        <w:spacing w:after="0" w:line="360" w:lineRule="auto"/>
        <w:ind w:firstLine="709"/>
        <w:jc w:val="both"/>
        <w:rPr>
          <w:rFonts w:eastAsia="Times New Roman" w:cs="Arial"/>
          <w:kern w:val="0"/>
          <w:lang w:eastAsia="pt-BR"/>
          <w14:ligatures w14:val="none"/>
        </w:rPr>
      </w:pPr>
    </w:p>
    <w:p w14:paraId="38A06409" w14:textId="77777777" w:rsidR="00654A69" w:rsidRDefault="00654A69" w:rsidP="00B74E01">
      <w:pPr>
        <w:spacing w:after="0" w:line="360" w:lineRule="auto"/>
        <w:ind w:firstLine="709"/>
        <w:jc w:val="both"/>
        <w:rPr>
          <w:rFonts w:eastAsia="Times New Roman" w:cs="Arial"/>
          <w:kern w:val="0"/>
          <w:lang w:eastAsia="pt-BR"/>
          <w14:ligatures w14:val="none"/>
        </w:rPr>
      </w:pPr>
    </w:p>
    <w:p w14:paraId="046EC74A" w14:textId="77777777" w:rsidR="00654A69" w:rsidRPr="00B74E01" w:rsidRDefault="00654A69" w:rsidP="00B74E01">
      <w:pPr>
        <w:spacing w:after="0" w:line="360" w:lineRule="auto"/>
        <w:ind w:firstLine="709"/>
        <w:jc w:val="both"/>
        <w:rPr>
          <w:rFonts w:eastAsia="Times New Roman" w:cs="Arial"/>
          <w:kern w:val="0"/>
          <w:lang w:eastAsia="pt-BR"/>
          <w14:ligatures w14:val="none"/>
        </w:rPr>
      </w:pPr>
    </w:p>
    <w:p w14:paraId="5B24EA3D" w14:textId="77777777" w:rsidR="00A3112D" w:rsidRPr="00B74E01" w:rsidRDefault="00A3112D" w:rsidP="00654A69">
      <w:pPr>
        <w:pStyle w:val="Ttulo1"/>
        <w:rPr>
          <w:rFonts w:eastAsia="Times New Roman"/>
          <w:lang w:eastAsia="pt-BR"/>
        </w:rPr>
      </w:pPr>
      <w:bookmarkStart w:id="233" w:name="_Toc230204235"/>
      <w:r w:rsidRPr="00B74E01">
        <w:rPr>
          <w:rFonts w:eastAsia="Times New Roman"/>
          <w:lang w:eastAsia="pt-BR"/>
        </w:rPr>
        <w:lastRenderedPageBreak/>
        <w:t xml:space="preserve">18. Conclusão de Viabilidade, </w:t>
      </w:r>
      <w:proofErr w:type="spellStart"/>
      <w:r w:rsidRPr="00B74E01">
        <w:rPr>
          <w:rFonts w:eastAsia="Times New Roman"/>
          <w:lang w:eastAsia="pt-BR"/>
        </w:rPr>
        <w:t>Bancabilidade</w:t>
      </w:r>
      <w:proofErr w:type="spellEnd"/>
      <w:r w:rsidRPr="00B74E01">
        <w:rPr>
          <w:rFonts w:eastAsia="Times New Roman"/>
          <w:lang w:eastAsia="pt-BR"/>
        </w:rPr>
        <w:t xml:space="preserve"> e </w:t>
      </w:r>
      <w:proofErr w:type="spellStart"/>
      <w:r w:rsidRPr="00B74E01">
        <w:rPr>
          <w:rFonts w:eastAsia="Times New Roman"/>
          <w:lang w:eastAsia="pt-BR"/>
        </w:rPr>
        <w:t>Defensabilidade</w:t>
      </w:r>
      <w:proofErr w:type="spellEnd"/>
      <w:r w:rsidRPr="00B74E01">
        <w:rPr>
          <w:rFonts w:eastAsia="Times New Roman"/>
          <w:lang w:eastAsia="pt-BR"/>
        </w:rPr>
        <w:t xml:space="preserve"> da PPP</w:t>
      </w:r>
      <w:bookmarkEnd w:id="233"/>
    </w:p>
    <w:p w14:paraId="323B1F9F"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análise econômico-financeira da PPP demonstra que o projeto possui viabilidade preliminar, desde que mantidas as premissas estruturais da modelagem, especialmente a proteção das receitas principais, a correta alocação de riscos, a exigência de garantias contratuais e o tratamento prudente das receitas acessórias.</w:t>
      </w:r>
    </w:p>
    <w:p w14:paraId="2138DB19"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O projeto não deve ser defendido apenas como uma solução de destinação/tratamento de RSU, nem apenas como uma solução energética. Sua força econômica está na integração entre tratamento ambiental, disponibilização de capacidade energética, redução de despesa pública, investimento privado, potencial de receitas acessórias e fortalecimento institucional do Município.</w:t>
      </w:r>
    </w:p>
    <w:p w14:paraId="5920712B" w14:textId="77777777" w:rsidR="00A3112D" w:rsidRPr="00B74E01" w:rsidRDefault="00A3112D" w:rsidP="00654A69">
      <w:pPr>
        <w:pStyle w:val="Ttulo2"/>
        <w:rPr>
          <w:rFonts w:eastAsia="Times New Roman"/>
          <w:lang w:eastAsia="pt-BR"/>
        </w:rPr>
      </w:pPr>
      <w:bookmarkStart w:id="234" w:name="_Toc230204236"/>
      <w:r w:rsidRPr="00B74E01">
        <w:rPr>
          <w:rFonts w:eastAsia="Times New Roman"/>
          <w:lang w:eastAsia="pt-BR"/>
        </w:rPr>
        <w:t>18.1. Síntese dos principais números da modelagem</w:t>
      </w:r>
      <w:bookmarkEnd w:id="234"/>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711"/>
        <w:gridCol w:w="2004"/>
      </w:tblGrid>
      <w:tr w:rsidR="00A3112D" w:rsidRPr="00B74E01" w14:paraId="67CAC96D" w14:textId="77777777" w:rsidTr="002E7EED">
        <w:trPr>
          <w:tblHeader/>
          <w:tblCellSpacing w:w="15" w:type="dxa"/>
        </w:trPr>
        <w:tc>
          <w:tcPr>
            <w:tcW w:w="0" w:type="auto"/>
            <w:vAlign w:val="center"/>
            <w:hideMark/>
          </w:tcPr>
          <w:p w14:paraId="4CA2546A" w14:textId="77777777" w:rsidR="00A3112D" w:rsidRPr="00B74E01" w:rsidRDefault="00A3112D" w:rsidP="00654A69">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Indicador</w:t>
            </w:r>
          </w:p>
        </w:tc>
        <w:tc>
          <w:tcPr>
            <w:tcW w:w="0" w:type="auto"/>
            <w:vAlign w:val="center"/>
            <w:hideMark/>
          </w:tcPr>
          <w:p w14:paraId="0A8D3F87" w14:textId="77777777" w:rsidR="00A3112D" w:rsidRPr="00B74E01" w:rsidRDefault="00A3112D" w:rsidP="00654A69">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w:t>
            </w:r>
          </w:p>
        </w:tc>
      </w:tr>
      <w:tr w:rsidR="00A3112D" w:rsidRPr="00B74E01" w14:paraId="5940654C" w14:textId="77777777" w:rsidTr="002E7EED">
        <w:trPr>
          <w:tblCellSpacing w:w="15" w:type="dxa"/>
        </w:trPr>
        <w:tc>
          <w:tcPr>
            <w:tcW w:w="0" w:type="auto"/>
            <w:vAlign w:val="center"/>
            <w:hideMark/>
          </w:tcPr>
          <w:p w14:paraId="699E3AF4" w14:textId="77777777" w:rsidR="00A3112D" w:rsidRPr="00B74E01" w:rsidRDefault="00A3112D" w:rsidP="00654A69">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Prazo da PPP</w:t>
            </w:r>
          </w:p>
        </w:tc>
        <w:tc>
          <w:tcPr>
            <w:tcW w:w="0" w:type="auto"/>
            <w:vAlign w:val="center"/>
            <w:hideMark/>
          </w:tcPr>
          <w:p w14:paraId="7648931B" w14:textId="77777777" w:rsidR="00A3112D" w:rsidRPr="00B74E01" w:rsidRDefault="00A3112D" w:rsidP="00654A69">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35 anos</w:t>
            </w:r>
          </w:p>
        </w:tc>
      </w:tr>
      <w:tr w:rsidR="00A3112D" w:rsidRPr="00B74E01" w14:paraId="02357D8E" w14:textId="77777777" w:rsidTr="002E7EED">
        <w:trPr>
          <w:tblCellSpacing w:w="15" w:type="dxa"/>
        </w:trPr>
        <w:tc>
          <w:tcPr>
            <w:tcW w:w="0" w:type="auto"/>
            <w:vAlign w:val="center"/>
            <w:hideMark/>
          </w:tcPr>
          <w:p w14:paraId="167B036E" w14:textId="77777777" w:rsidR="00A3112D" w:rsidRPr="00B74E01" w:rsidRDefault="00A3112D" w:rsidP="00654A69">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Prazo de implantação</w:t>
            </w:r>
          </w:p>
        </w:tc>
        <w:tc>
          <w:tcPr>
            <w:tcW w:w="0" w:type="auto"/>
            <w:vAlign w:val="center"/>
            <w:hideMark/>
          </w:tcPr>
          <w:p w14:paraId="083F5F3E" w14:textId="77777777" w:rsidR="00A3112D" w:rsidRPr="00B74E01" w:rsidRDefault="00A3112D" w:rsidP="00654A69">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18 meses</w:t>
            </w:r>
          </w:p>
        </w:tc>
      </w:tr>
      <w:tr w:rsidR="00A3112D" w:rsidRPr="00B74E01" w14:paraId="694A6E46" w14:textId="77777777" w:rsidTr="002E7EED">
        <w:trPr>
          <w:tblCellSpacing w:w="15" w:type="dxa"/>
        </w:trPr>
        <w:tc>
          <w:tcPr>
            <w:tcW w:w="0" w:type="auto"/>
            <w:vAlign w:val="center"/>
            <w:hideMark/>
          </w:tcPr>
          <w:p w14:paraId="591E749F" w14:textId="77777777" w:rsidR="00A3112D" w:rsidRPr="00B74E01" w:rsidRDefault="00A3112D" w:rsidP="00654A69">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Área da usina</w:t>
            </w:r>
          </w:p>
        </w:tc>
        <w:tc>
          <w:tcPr>
            <w:tcW w:w="0" w:type="auto"/>
            <w:vAlign w:val="center"/>
            <w:hideMark/>
          </w:tcPr>
          <w:p w14:paraId="006CCEE9" w14:textId="77777777" w:rsidR="00A3112D" w:rsidRPr="00B74E01" w:rsidRDefault="00A3112D" w:rsidP="00654A69">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7 hectares</w:t>
            </w:r>
          </w:p>
        </w:tc>
      </w:tr>
      <w:tr w:rsidR="00A3112D" w:rsidRPr="00B74E01" w14:paraId="395E149B" w14:textId="77777777" w:rsidTr="002E7EED">
        <w:trPr>
          <w:tblCellSpacing w:w="15" w:type="dxa"/>
        </w:trPr>
        <w:tc>
          <w:tcPr>
            <w:tcW w:w="0" w:type="auto"/>
            <w:vAlign w:val="center"/>
            <w:hideMark/>
          </w:tcPr>
          <w:p w14:paraId="67756505" w14:textId="77777777" w:rsidR="00A3112D" w:rsidRPr="00B74E01" w:rsidRDefault="00A3112D" w:rsidP="00654A69">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Quantidade mínima contratada de RSU</w:t>
            </w:r>
          </w:p>
        </w:tc>
        <w:tc>
          <w:tcPr>
            <w:tcW w:w="0" w:type="auto"/>
            <w:vAlign w:val="center"/>
            <w:hideMark/>
          </w:tcPr>
          <w:p w14:paraId="1DB16435" w14:textId="77777777" w:rsidR="00A3112D" w:rsidRPr="00B74E01" w:rsidRDefault="00A3112D" w:rsidP="00654A69">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80 t/dia</w:t>
            </w:r>
          </w:p>
        </w:tc>
      </w:tr>
      <w:tr w:rsidR="00A3112D" w:rsidRPr="00B74E01" w14:paraId="705ABAAE" w14:textId="77777777" w:rsidTr="002E7EED">
        <w:trPr>
          <w:tblCellSpacing w:w="15" w:type="dxa"/>
        </w:trPr>
        <w:tc>
          <w:tcPr>
            <w:tcW w:w="0" w:type="auto"/>
            <w:vAlign w:val="center"/>
            <w:hideMark/>
          </w:tcPr>
          <w:p w14:paraId="69493F7E" w14:textId="77777777" w:rsidR="00A3112D" w:rsidRPr="00B74E01" w:rsidRDefault="00A3112D" w:rsidP="00654A69">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Tarifa-base de destinação</w:t>
            </w:r>
          </w:p>
        </w:tc>
        <w:tc>
          <w:tcPr>
            <w:tcW w:w="0" w:type="auto"/>
            <w:vAlign w:val="center"/>
            <w:hideMark/>
          </w:tcPr>
          <w:p w14:paraId="3A15C607" w14:textId="77777777" w:rsidR="00A3112D" w:rsidRPr="00B74E01" w:rsidRDefault="00A3112D" w:rsidP="00654A69">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R$ 95,00/t</w:t>
            </w:r>
          </w:p>
        </w:tc>
      </w:tr>
      <w:tr w:rsidR="00A3112D" w:rsidRPr="00B74E01" w14:paraId="37695BD6" w14:textId="77777777" w:rsidTr="002E7EED">
        <w:trPr>
          <w:tblCellSpacing w:w="15" w:type="dxa"/>
        </w:trPr>
        <w:tc>
          <w:tcPr>
            <w:tcW w:w="0" w:type="auto"/>
            <w:vAlign w:val="center"/>
            <w:hideMark/>
          </w:tcPr>
          <w:p w14:paraId="63B891A1" w14:textId="77777777" w:rsidR="00A3112D" w:rsidRPr="00B74E01" w:rsidRDefault="00A3112D" w:rsidP="00654A69">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Tarifa superior regional de referência</w:t>
            </w:r>
          </w:p>
        </w:tc>
        <w:tc>
          <w:tcPr>
            <w:tcW w:w="0" w:type="auto"/>
            <w:vAlign w:val="center"/>
            <w:hideMark/>
          </w:tcPr>
          <w:p w14:paraId="3AB7C766" w14:textId="77777777" w:rsidR="00A3112D" w:rsidRPr="00B74E01" w:rsidRDefault="00A3112D" w:rsidP="00654A69">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R$ 140,00/t</w:t>
            </w:r>
          </w:p>
        </w:tc>
      </w:tr>
      <w:tr w:rsidR="00A3112D" w:rsidRPr="00B74E01" w14:paraId="7DFEC834" w14:textId="77777777" w:rsidTr="002E7EED">
        <w:trPr>
          <w:tblCellSpacing w:w="15" w:type="dxa"/>
        </w:trPr>
        <w:tc>
          <w:tcPr>
            <w:tcW w:w="0" w:type="auto"/>
            <w:vAlign w:val="center"/>
            <w:hideMark/>
          </w:tcPr>
          <w:p w14:paraId="5FF4FB07" w14:textId="77777777" w:rsidR="00A3112D" w:rsidRPr="00B74E01" w:rsidRDefault="00A3112D" w:rsidP="00654A69">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 principal mensal — cenário R$ 95/t</w:t>
            </w:r>
          </w:p>
        </w:tc>
        <w:tc>
          <w:tcPr>
            <w:tcW w:w="0" w:type="auto"/>
            <w:vAlign w:val="center"/>
            <w:hideMark/>
          </w:tcPr>
          <w:p w14:paraId="544F3706" w14:textId="77777777" w:rsidR="00A3112D" w:rsidRPr="00B74E01" w:rsidRDefault="00A3112D" w:rsidP="00654A69">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R$ 700.077,09</w:t>
            </w:r>
          </w:p>
        </w:tc>
      </w:tr>
      <w:tr w:rsidR="00A3112D" w:rsidRPr="00B74E01" w14:paraId="73DEAE20" w14:textId="77777777" w:rsidTr="002E7EED">
        <w:trPr>
          <w:tblCellSpacing w:w="15" w:type="dxa"/>
        </w:trPr>
        <w:tc>
          <w:tcPr>
            <w:tcW w:w="0" w:type="auto"/>
            <w:vAlign w:val="center"/>
            <w:hideMark/>
          </w:tcPr>
          <w:p w14:paraId="325369BA" w14:textId="77777777" w:rsidR="00A3112D" w:rsidRPr="00B74E01" w:rsidRDefault="00A3112D" w:rsidP="00654A69">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 principal anual — cenário R$ 95/t</w:t>
            </w:r>
          </w:p>
        </w:tc>
        <w:tc>
          <w:tcPr>
            <w:tcW w:w="0" w:type="auto"/>
            <w:vAlign w:val="center"/>
            <w:hideMark/>
          </w:tcPr>
          <w:p w14:paraId="450BE1B5" w14:textId="77777777" w:rsidR="00A3112D" w:rsidRPr="00B74E01" w:rsidRDefault="00A3112D" w:rsidP="00654A69">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R$ 8.400.925,04</w:t>
            </w:r>
          </w:p>
        </w:tc>
      </w:tr>
      <w:tr w:rsidR="00A3112D" w:rsidRPr="00B74E01" w14:paraId="42C90587" w14:textId="77777777" w:rsidTr="002E7EED">
        <w:trPr>
          <w:tblCellSpacing w:w="15" w:type="dxa"/>
        </w:trPr>
        <w:tc>
          <w:tcPr>
            <w:tcW w:w="0" w:type="auto"/>
            <w:vAlign w:val="center"/>
            <w:hideMark/>
          </w:tcPr>
          <w:p w14:paraId="40CAE581" w14:textId="77777777" w:rsidR="00A3112D" w:rsidRPr="00B74E01" w:rsidRDefault="00A3112D" w:rsidP="00654A69">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OPEX mensal revisado</w:t>
            </w:r>
          </w:p>
        </w:tc>
        <w:tc>
          <w:tcPr>
            <w:tcW w:w="0" w:type="auto"/>
            <w:vAlign w:val="center"/>
            <w:hideMark/>
          </w:tcPr>
          <w:p w14:paraId="42D364A6" w14:textId="77777777" w:rsidR="00A3112D" w:rsidRPr="00B74E01" w:rsidRDefault="00A3112D" w:rsidP="00654A69">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R$ 318.496,07</w:t>
            </w:r>
          </w:p>
        </w:tc>
      </w:tr>
      <w:tr w:rsidR="00A3112D" w:rsidRPr="00B74E01" w14:paraId="205E6302" w14:textId="77777777" w:rsidTr="002E7EED">
        <w:trPr>
          <w:tblCellSpacing w:w="15" w:type="dxa"/>
        </w:trPr>
        <w:tc>
          <w:tcPr>
            <w:tcW w:w="0" w:type="auto"/>
            <w:vAlign w:val="center"/>
            <w:hideMark/>
          </w:tcPr>
          <w:p w14:paraId="34E5E1FD" w14:textId="77777777" w:rsidR="00A3112D" w:rsidRPr="00B74E01" w:rsidRDefault="00A3112D" w:rsidP="00654A69">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OPEX anual revisado</w:t>
            </w:r>
          </w:p>
        </w:tc>
        <w:tc>
          <w:tcPr>
            <w:tcW w:w="0" w:type="auto"/>
            <w:vAlign w:val="center"/>
            <w:hideMark/>
          </w:tcPr>
          <w:p w14:paraId="721B677F" w14:textId="77777777" w:rsidR="00A3112D" w:rsidRPr="00B74E01" w:rsidRDefault="00A3112D" w:rsidP="00654A69">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R$ 3.821.952,88</w:t>
            </w:r>
          </w:p>
        </w:tc>
      </w:tr>
      <w:tr w:rsidR="00A3112D" w:rsidRPr="00B74E01" w14:paraId="062091FE" w14:textId="77777777" w:rsidTr="002E7EED">
        <w:trPr>
          <w:tblCellSpacing w:w="15" w:type="dxa"/>
        </w:trPr>
        <w:tc>
          <w:tcPr>
            <w:tcW w:w="0" w:type="auto"/>
            <w:vAlign w:val="center"/>
            <w:hideMark/>
          </w:tcPr>
          <w:p w14:paraId="6008FE8B" w14:textId="77777777" w:rsidR="00A3112D" w:rsidRPr="00B74E01" w:rsidRDefault="00A3112D" w:rsidP="00654A69">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Investimento financeiro total estimado</w:t>
            </w:r>
          </w:p>
        </w:tc>
        <w:tc>
          <w:tcPr>
            <w:tcW w:w="0" w:type="auto"/>
            <w:vAlign w:val="center"/>
            <w:hideMark/>
          </w:tcPr>
          <w:p w14:paraId="541A0AE3" w14:textId="77777777" w:rsidR="00A3112D" w:rsidRPr="00B74E01" w:rsidRDefault="00A3112D" w:rsidP="00654A69">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R$ 32.269.873,38</w:t>
            </w:r>
          </w:p>
        </w:tc>
      </w:tr>
      <w:tr w:rsidR="00A3112D" w:rsidRPr="00B74E01" w14:paraId="4BB09CFA" w14:textId="77777777" w:rsidTr="002E7EED">
        <w:trPr>
          <w:tblCellSpacing w:w="15" w:type="dxa"/>
        </w:trPr>
        <w:tc>
          <w:tcPr>
            <w:tcW w:w="0" w:type="auto"/>
            <w:vAlign w:val="center"/>
            <w:hideMark/>
          </w:tcPr>
          <w:p w14:paraId="2A8D637D" w14:textId="77777777" w:rsidR="00A3112D" w:rsidRPr="00B74E01" w:rsidRDefault="00A3112D" w:rsidP="00654A69">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Serviço mensal da dívida após carência</w:t>
            </w:r>
          </w:p>
        </w:tc>
        <w:tc>
          <w:tcPr>
            <w:tcW w:w="0" w:type="auto"/>
            <w:vAlign w:val="center"/>
            <w:hideMark/>
          </w:tcPr>
          <w:p w14:paraId="0D2E7E51" w14:textId="77777777" w:rsidR="00A3112D" w:rsidRPr="00B74E01" w:rsidRDefault="00A3112D" w:rsidP="00654A69">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R$ 280.892,95</w:t>
            </w:r>
          </w:p>
        </w:tc>
      </w:tr>
      <w:tr w:rsidR="00A3112D" w:rsidRPr="00B74E01" w14:paraId="74E61450" w14:textId="77777777" w:rsidTr="002E7EED">
        <w:trPr>
          <w:tblCellSpacing w:w="15" w:type="dxa"/>
        </w:trPr>
        <w:tc>
          <w:tcPr>
            <w:tcW w:w="0" w:type="auto"/>
            <w:vAlign w:val="center"/>
            <w:hideMark/>
          </w:tcPr>
          <w:p w14:paraId="5182FB76" w14:textId="77777777" w:rsidR="00A3112D" w:rsidRPr="00B74E01" w:rsidRDefault="00A3112D" w:rsidP="00654A69">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EBITDA mensal sem receitas acessórias</w:t>
            </w:r>
          </w:p>
        </w:tc>
        <w:tc>
          <w:tcPr>
            <w:tcW w:w="0" w:type="auto"/>
            <w:vAlign w:val="center"/>
            <w:hideMark/>
          </w:tcPr>
          <w:p w14:paraId="28F5B323" w14:textId="77777777" w:rsidR="00A3112D" w:rsidRPr="00B74E01" w:rsidRDefault="00A3112D" w:rsidP="00654A69">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R$ 314.606,70</w:t>
            </w:r>
          </w:p>
        </w:tc>
      </w:tr>
      <w:tr w:rsidR="00A3112D" w:rsidRPr="00B74E01" w14:paraId="22A5CAF6" w14:textId="77777777" w:rsidTr="002E7EED">
        <w:trPr>
          <w:tblCellSpacing w:w="15" w:type="dxa"/>
        </w:trPr>
        <w:tc>
          <w:tcPr>
            <w:tcW w:w="0" w:type="auto"/>
            <w:vAlign w:val="center"/>
            <w:hideMark/>
          </w:tcPr>
          <w:p w14:paraId="39A62FA8" w14:textId="77777777" w:rsidR="00A3112D" w:rsidRPr="00B74E01" w:rsidRDefault="00A3112D" w:rsidP="00654A69">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lastRenderedPageBreak/>
              <w:t>EBITDA mensal com receitas acessórias</w:t>
            </w:r>
          </w:p>
        </w:tc>
        <w:tc>
          <w:tcPr>
            <w:tcW w:w="0" w:type="auto"/>
            <w:vAlign w:val="center"/>
            <w:hideMark/>
          </w:tcPr>
          <w:p w14:paraId="377F1DC4" w14:textId="77777777" w:rsidR="00A3112D" w:rsidRPr="00B74E01" w:rsidRDefault="00A3112D" w:rsidP="00654A69">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R$ 1.107.091,76</w:t>
            </w:r>
          </w:p>
        </w:tc>
      </w:tr>
      <w:tr w:rsidR="00A3112D" w:rsidRPr="00B74E01" w14:paraId="7E8CE5F1" w14:textId="77777777" w:rsidTr="002E7EED">
        <w:trPr>
          <w:tblCellSpacing w:w="15" w:type="dxa"/>
        </w:trPr>
        <w:tc>
          <w:tcPr>
            <w:tcW w:w="0" w:type="auto"/>
            <w:vAlign w:val="center"/>
            <w:hideMark/>
          </w:tcPr>
          <w:p w14:paraId="4D680247" w14:textId="77777777" w:rsidR="00A3112D" w:rsidRPr="00B74E01" w:rsidRDefault="00A3112D" w:rsidP="00654A69">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DSCR sem receitas acessórias</w:t>
            </w:r>
          </w:p>
        </w:tc>
        <w:tc>
          <w:tcPr>
            <w:tcW w:w="0" w:type="auto"/>
            <w:vAlign w:val="center"/>
            <w:hideMark/>
          </w:tcPr>
          <w:p w14:paraId="2A2C3F80" w14:textId="77777777" w:rsidR="00A3112D" w:rsidRPr="00B74E01" w:rsidRDefault="00A3112D" w:rsidP="00654A69">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1,12x</w:t>
            </w:r>
          </w:p>
        </w:tc>
      </w:tr>
      <w:tr w:rsidR="00A3112D" w:rsidRPr="00B74E01" w14:paraId="060DFD85" w14:textId="77777777" w:rsidTr="002E7EED">
        <w:trPr>
          <w:tblCellSpacing w:w="15" w:type="dxa"/>
        </w:trPr>
        <w:tc>
          <w:tcPr>
            <w:tcW w:w="0" w:type="auto"/>
            <w:vAlign w:val="center"/>
            <w:hideMark/>
          </w:tcPr>
          <w:p w14:paraId="7E5E4396" w14:textId="77777777" w:rsidR="00A3112D" w:rsidRPr="00B74E01" w:rsidRDefault="00A3112D" w:rsidP="00654A69">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DSCR com receitas acessórias</w:t>
            </w:r>
          </w:p>
        </w:tc>
        <w:tc>
          <w:tcPr>
            <w:tcW w:w="0" w:type="auto"/>
            <w:vAlign w:val="center"/>
            <w:hideMark/>
          </w:tcPr>
          <w:p w14:paraId="0153C735" w14:textId="77777777" w:rsidR="00A3112D" w:rsidRPr="00B74E01" w:rsidRDefault="00A3112D" w:rsidP="00654A69">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3,94x</w:t>
            </w:r>
          </w:p>
        </w:tc>
      </w:tr>
    </w:tbl>
    <w:p w14:paraId="61C392CF"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Esses números demonstram que a operação fecha positivamente mesmo sem receitas acessórias, embora com margem restrita. Com receitas acessórias, a operação apresenta forte robustez econômico-financeira.</w:t>
      </w:r>
    </w:p>
    <w:p w14:paraId="1370B5BF" w14:textId="77777777" w:rsidR="00A3112D" w:rsidRPr="00B74E01" w:rsidRDefault="00A3112D" w:rsidP="00654A69">
      <w:pPr>
        <w:pStyle w:val="Ttulo2"/>
        <w:rPr>
          <w:rFonts w:eastAsia="Times New Roman"/>
          <w:lang w:eastAsia="pt-BR"/>
        </w:rPr>
      </w:pPr>
      <w:bookmarkStart w:id="235" w:name="_Toc230204237"/>
      <w:r w:rsidRPr="00B74E01">
        <w:rPr>
          <w:rFonts w:eastAsia="Times New Roman"/>
          <w:lang w:eastAsia="pt-BR"/>
        </w:rPr>
        <w:t>18.2. Viabilidade no cenário mínimo contratual</w:t>
      </w:r>
      <w:bookmarkEnd w:id="235"/>
    </w:p>
    <w:p w14:paraId="65F90CD1"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O cenário mínimo contratual considera apenas as receitas principais da PPP:</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645"/>
        <w:gridCol w:w="1655"/>
        <w:gridCol w:w="1870"/>
      </w:tblGrid>
      <w:tr w:rsidR="00A3112D" w:rsidRPr="00B74E01" w14:paraId="4ABC5C96" w14:textId="77777777" w:rsidTr="002E7EED">
        <w:trPr>
          <w:tblHeader/>
          <w:tblCellSpacing w:w="15" w:type="dxa"/>
        </w:trPr>
        <w:tc>
          <w:tcPr>
            <w:tcW w:w="0" w:type="auto"/>
            <w:vAlign w:val="center"/>
            <w:hideMark/>
          </w:tcPr>
          <w:p w14:paraId="1E6DA31E" w14:textId="77777777" w:rsidR="00A3112D" w:rsidRPr="00B74E01" w:rsidRDefault="00A3112D" w:rsidP="00654A69">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Receita principal</w:t>
            </w:r>
          </w:p>
        </w:tc>
        <w:tc>
          <w:tcPr>
            <w:tcW w:w="0" w:type="auto"/>
            <w:vAlign w:val="center"/>
            <w:hideMark/>
          </w:tcPr>
          <w:p w14:paraId="6F176CAB" w14:textId="77777777" w:rsidR="00A3112D" w:rsidRPr="00B74E01" w:rsidRDefault="00A3112D" w:rsidP="00654A69">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Valor mensal</w:t>
            </w:r>
          </w:p>
        </w:tc>
        <w:tc>
          <w:tcPr>
            <w:tcW w:w="0" w:type="auto"/>
            <w:vAlign w:val="center"/>
            <w:hideMark/>
          </w:tcPr>
          <w:p w14:paraId="70B0D3DB" w14:textId="77777777" w:rsidR="00A3112D" w:rsidRPr="00B74E01" w:rsidRDefault="00A3112D" w:rsidP="00654A69">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Valor anual</w:t>
            </w:r>
          </w:p>
        </w:tc>
      </w:tr>
      <w:tr w:rsidR="00A3112D" w:rsidRPr="00B74E01" w14:paraId="01B9585D" w14:textId="77777777" w:rsidTr="002E7EED">
        <w:trPr>
          <w:tblCellSpacing w:w="15" w:type="dxa"/>
        </w:trPr>
        <w:tc>
          <w:tcPr>
            <w:tcW w:w="0" w:type="auto"/>
            <w:vAlign w:val="center"/>
            <w:hideMark/>
          </w:tcPr>
          <w:p w14:paraId="3738D337" w14:textId="77777777" w:rsidR="00A3112D" w:rsidRPr="00B74E01" w:rsidRDefault="00A3112D" w:rsidP="00654A69">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Destinação/tratamento de RSU — R$ 95/t</w:t>
            </w:r>
          </w:p>
        </w:tc>
        <w:tc>
          <w:tcPr>
            <w:tcW w:w="0" w:type="auto"/>
            <w:vAlign w:val="center"/>
            <w:hideMark/>
          </w:tcPr>
          <w:p w14:paraId="1A0BADF7" w14:textId="77777777" w:rsidR="00A3112D" w:rsidRPr="00B74E01" w:rsidRDefault="00A3112D" w:rsidP="00654A69">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R$ 231.166,67</w:t>
            </w:r>
          </w:p>
        </w:tc>
        <w:tc>
          <w:tcPr>
            <w:tcW w:w="0" w:type="auto"/>
            <w:vAlign w:val="center"/>
            <w:hideMark/>
          </w:tcPr>
          <w:p w14:paraId="4D1D8D0F" w14:textId="77777777" w:rsidR="00A3112D" w:rsidRPr="00B74E01" w:rsidRDefault="00A3112D" w:rsidP="00654A69">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R$ 2.774.000,00</w:t>
            </w:r>
          </w:p>
        </w:tc>
      </w:tr>
      <w:tr w:rsidR="00A3112D" w:rsidRPr="00B74E01" w14:paraId="1352E04D" w14:textId="77777777" w:rsidTr="002E7EED">
        <w:trPr>
          <w:tblCellSpacing w:w="15" w:type="dxa"/>
        </w:trPr>
        <w:tc>
          <w:tcPr>
            <w:tcW w:w="0" w:type="auto"/>
            <w:vAlign w:val="center"/>
            <w:hideMark/>
          </w:tcPr>
          <w:p w14:paraId="3E7F8814" w14:textId="77777777" w:rsidR="00A3112D" w:rsidRPr="00B74E01" w:rsidRDefault="00A3112D" w:rsidP="00654A69">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Disponibilização de capacidade energética</w:t>
            </w:r>
          </w:p>
        </w:tc>
        <w:tc>
          <w:tcPr>
            <w:tcW w:w="0" w:type="auto"/>
            <w:vAlign w:val="center"/>
            <w:hideMark/>
          </w:tcPr>
          <w:p w14:paraId="3D944C1F" w14:textId="77777777" w:rsidR="00A3112D" w:rsidRPr="00B74E01" w:rsidRDefault="00A3112D" w:rsidP="00654A69">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R$ 468.910,42</w:t>
            </w:r>
          </w:p>
        </w:tc>
        <w:tc>
          <w:tcPr>
            <w:tcW w:w="0" w:type="auto"/>
            <w:vAlign w:val="center"/>
            <w:hideMark/>
          </w:tcPr>
          <w:p w14:paraId="7D391E78" w14:textId="77777777" w:rsidR="00A3112D" w:rsidRPr="00B74E01" w:rsidRDefault="00A3112D" w:rsidP="00654A69">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R$ 5.626.925,04</w:t>
            </w:r>
          </w:p>
        </w:tc>
      </w:tr>
      <w:tr w:rsidR="00A3112D" w:rsidRPr="00B74E01" w14:paraId="7E18F6CE" w14:textId="77777777" w:rsidTr="002E7EED">
        <w:trPr>
          <w:tblCellSpacing w:w="15" w:type="dxa"/>
        </w:trPr>
        <w:tc>
          <w:tcPr>
            <w:tcW w:w="0" w:type="auto"/>
            <w:vAlign w:val="center"/>
            <w:hideMark/>
          </w:tcPr>
          <w:p w14:paraId="6D73A371" w14:textId="77777777" w:rsidR="00A3112D" w:rsidRPr="00B74E01" w:rsidRDefault="00A3112D" w:rsidP="00654A69">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Receita principal bruta</w:t>
            </w:r>
          </w:p>
        </w:tc>
        <w:tc>
          <w:tcPr>
            <w:tcW w:w="0" w:type="auto"/>
            <w:vAlign w:val="center"/>
            <w:hideMark/>
          </w:tcPr>
          <w:p w14:paraId="08520C1B" w14:textId="77777777" w:rsidR="00A3112D" w:rsidRPr="00B74E01" w:rsidRDefault="00A3112D" w:rsidP="00654A69">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R$ 700.077,09</w:t>
            </w:r>
          </w:p>
        </w:tc>
        <w:tc>
          <w:tcPr>
            <w:tcW w:w="0" w:type="auto"/>
            <w:vAlign w:val="center"/>
            <w:hideMark/>
          </w:tcPr>
          <w:p w14:paraId="4EA72A92" w14:textId="77777777" w:rsidR="00A3112D" w:rsidRPr="00B74E01" w:rsidRDefault="00A3112D" w:rsidP="00654A69">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R$ 8.400.925,04</w:t>
            </w:r>
          </w:p>
        </w:tc>
      </w:tr>
    </w:tbl>
    <w:p w14:paraId="1EC13FE3"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No cenário mínimo, o projeto apresenta:</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444"/>
        <w:gridCol w:w="1670"/>
      </w:tblGrid>
      <w:tr w:rsidR="00A3112D" w:rsidRPr="00B74E01" w14:paraId="1A7B8E65" w14:textId="77777777" w:rsidTr="002E7EED">
        <w:trPr>
          <w:tblHeader/>
          <w:tblCellSpacing w:w="15" w:type="dxa"/>
        </w:trPr>
        <w:tc>
          <w:tcPr>
            <w:tcW w:w="0" w:type="auto"/>
            <w:vAlign w:val="center"/>
            <w:hideMark/>
          </w:tcPr>
          <w:p w14:paraId="76BCB576" w14:textId="77777777" w:rsidR="00A3112D" w:rsidRPr="00B74E01" w:rsidRDefault="00A3112D" w:rsidP="00654A69">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Indicador</w:t>
            </w:r>
          </w:p>
        </w:tc>
        <w:tc>
          <w:tcPr>
            <w:tcW w:w="0" w:type="auto"/>
            <w:vAlign w:val="center"/>
            <w:hideMark/>
          </w:tcPr>
          <w:p w14:paraId="408A7371" w14:textId="77777777" w:rsidR="00A3112D" w:rsidRPr="00B74E01" w:rsidRDefault="00A3112D" w:rsidP="00654A69">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Valor</w:t>
            </w:r>
          </w:p>
        </w:tc>
      </w:tr>
      <w:tr w:rsidR="00A3112D" w:rsidRPr="00B74E01" w14:paraId="69F6E6FF" w14:textId="77777777" w:rsidTr="002E7EED">
        <w:trPr>
          <w:tblCellSpacing w:w="15" w:type="dxa"/>
        </w:trPr>
        <w:tc>
          <w:tcPr>
            <w:tcW w:w="0" w:type="auto"/>
            <w:vAlign w:val="center"/>
            <w:hideMark/>
          </w:tcPr>
          <w:p w14:paraId="11127217" w14:textId="77777777" w:rsidR="00A3112D" w:rsidRPr="00B74E01" w:rsidRDefault="00A3112D" w:rsidP="00654A69">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EBITDA mensal sem receitas acessórias</w:t>
            </w:r>
          </w:p>
        </w:tc>
        <w:tc>
          <w:tcPr>
            <w:tcW w:w="0" w:type="auto"/>
            <w:vAlign w:val="center"/>
            <w:hideMark/>
          </w:tcPr>
          <w:p w14:paraId="0BAF9514" w14:textId="77777777" w:rsidR="00A3112D" w:rsidRPr="00B74E01" w:rsidRDefault="00A3112D" w:rsidP="00654A69">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R$ 314.606,70</w:t>
            </w:r>
          </w:p>
        </w:tc>
      </w:tr>
      <w:tr w:rsidR="00A3112D" w:rsidRPr="00B74E01" w14:paraId="7AA2526B" w14:textId="77777777" w:rsidTr="002E7EED">
        <w:trPr>
          <w:tblCellSpacing w:w="15" w:type="dxa"/>
        </w:trPr>
        <w:tc>
          <w:tcPr>
            <w:tcW w:w="0" w:type="auto"/>
            <w:vAlign w:val="center"/>
            <w:hideMark/>
          </w:tcPr>
          <w:p w14:paraId="4008B075" w14:textId="77777777" w:rsidR="00A3112D" w:rsidRPr="00B74E01" w:rsidRDefault="00A3112D" w:rsidP="00654A69">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Serviço mensal da dívida após carência</w:t>
            </w:r>
          </w:p>
        </w:tc>
        <w:tc>
          <w:tcPr>
            <w:tcW w:w="0" w:type="auto"/>
            <w:vAlign w:val="center"/>
            <w:hideMark/>
          </w:tcPr>
          <w:p w14:paraId="286660F5" w14:textId="77777777" w:rsidR="00A3112D" w:rsidRPr="00B74E01" w:rsidRDefault="00A3112D" w:rsidP="00654A69">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R$ 280.892,95</w:t>
            </w:r>
          </w:p>
        </w:tc>
      </w:tr>
      <w:tr w:rsidR="00A3112D" w:rsidRPr="00B74E01" w14:paraId="0A82FD80" w14:textId="77777777" w:rsidTr="002E7EED">
        <w:trPr>
          <w:tblCellSpacing w:w="15" w:type="dxa"/>
        </w:trPr>
        <w:tc>
          <w:tcPr>
            <w:tcW w:w="0" w:type="auto"/>
            <w:vAlign w:val="center"/>
            <w:hideMark/>
          </w:tcPr>
          <w:p w14:paraId="4040D4A6" w14:textId="77777777" w:rsidR="00A3112D" w:rsidRPr="00B74E01" w:rsidRDefault="00A3112D" w:rsidP="00654A69">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Sobra mensal após dívida</w:t>
            </w:r>
          </w:p>
        </w:tc>
        <w:tc>
          <w:tcPr>
            <w:tcW w:w="0" w:type="auto"/>
            <w:vAlign w:val="center"/>
            <w:hideMark/>
          </w:tcPr>
          <w:p w14:paraId="122AAEDD" w14:textId="77777777" w:rsidR="00A3112D" w:rsidRPr="00B74E01" w:rsidRDefault="00A3112D" w:rsidP="00654A69">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R$ 33.713,75</w:t>
            </w:r>
          </w:p>
        </w:tc>
      </w:tr>
      <w:tr w:rsidR="00A3112D" w:rsidRPr="00B74E01" w14:paraId="2EAECEA2" w14:textId="77777777" w:rsidTr="002E7EED">
        <w:trPr>
          <w:tblCellSpacing w:w="15" w:type="dxa"/>
        </w:trPr>
        <w:tc>
          <w:tcPr>
            <w:tcW w:w="0" w:type="auto"/>
            <w:vAlign w:val="center"/>
            <w:hideMark/>
          </w:tcPr>
          <w:p w14:paraId="5E43C73A" w14:textId="77777777" w:rsidR="00A3112D" w:rsidRPr="00B74E01" w:rsidRDefault="00A3112D" w:rsidP="00654A69">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DSCR após carência</w:t>
            </w:r>
          </w:p>
        </w:tc>
        <w:tc>
          <w:tcPr>
            <w:tcW w:w="0" w:type="auto"/>
            <w:vAlign w:val="center"/>
            <w:hideMark/>
          </w:tcPr>
          <w:p w14:paraId="693EF0F5" w14:textId="77777777" w:rsidR="00A3112D" w:rsidRPr="00B74E01" w:rsidRDefault="00A3112D" w:rsidP="00654A69">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1,12x</w:t>
            </w:r>
          </w:p>
        </w:tc>
      </w:tr>
    </w:tbl>
    <w:p w14:paraId="0339D859"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leitura técnica é objetiva: o projeto fecha positivamente, mas com margem restrita. Por isso, a viabilidade mínima depende de garantias adequadas, previsibilidade de pagamento, conta vinculada ou Fundo Garantidor, e matriz de riscos bem estruturada.</w:t>
      </w:r>
    </w:p>
    <w:p w14:paraId="5D2D8A59" w14:textId="643AA881" w:rsidR="00A3112D" w:rsidRDefault="00A3112D" w:rsidP="00B74E01">
      <w:pPr>
        <w:spacing w:after="0" w:line="360" w:lineRule="auto"/>
        <w:ind w:firstLine="709"/>
        <w:jc w:val="both"/>
        <w:rPr>
          <w:rFonts w:eastAsia="Times New Roman" w:cs="Arial"/>
          <w:kern w:val="0"/>
          <w:lang w:eastAsia="pt-BR"/>
          <w14:ligatures w14:val="none"/>
        </w:rPr>
      </w:pPr>
    </w:p>
    <w:p w14:paraId="1A4E692E" w14:textId="77777777" w:rsidR="00654A69" w:rsidRPr="00B74E01" w:rsidRDefault="00654A69" w:rsidP="00B74E01">
      <w:pPr>
        <w:spacing w:after="0" w:line="360" w:lineRule="auto"/>
        <w:ind w:firstLine="709"/>
        <w:jc w:val="both"/>
        <w:rPr>
          <w:rFonts w:eastAsia="Times New Roman" w:cs="Arial"/>
          <w:kern w:val="0"/>
          <w:lang w:eastAsia="pt-BR"/>
          <w14:ligatures w14:val="none"/>
        </w:rPr>
      </w:pPr>
    </w:p>
    <w:p w14:paraId="37216522" w14:textId="77777777" w:rsidR="00A3112D" w:rsidRPr="00B74E01" w:rsidRDefault="00A3112D" w:rsidP="00654A69">
      <w:pPr>
        <w:pStyle w:val="Ttulo2"/>
        <w:rPr>
          <w:rFonts w:eastAsia="Times New Roman"/>
          <w:lang w:eastAsia="pt-BR"/>
        </w:rPr>
      </w:pPr>
      <w:bookmarkStart w:id="236" w:name="_Toc230204238"/>
      <w:r w:rsidRPr="00B74E01">
        <w:rPr>
          <w:rFonts w:eastAsia="Times New Roman"/>
          <w:lang w:eastAsia="pt-BR"/>
        </w:rPr>
        <w:lastRenderedPageBreak/>
        <w:t>18.3. Viabilidade no cenário ampliado com receitas acessórias</w:t>
      </w:r>
      <w:bookmarkEnd w:id="236"/>
    </w:p>
    <w:p w14:paraId="173189F1"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O cenário ampliado considera, além das receitas principais, o acréscimo líquido das receitas acessórias.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564"/>
        <w:gridCol w:w="1855"/>
        <w:gridCol w:w="2004"/>
      </w:tblGrid>
      <w:tr w:rsidR="00A3112D" w:rsidRPr="00B74E01" w14:paraId="6567BD59" w14:textId="77777777" w:rsidTr="002E7EED">
        <w:trPr>
          <w:tblHeader/>
          <w:tblCellSpacing w:w="15" w:type="dxa"/>
        </w:trPr>
        <w:tc>
          <w:tcPr>
            <w:tcW w:w="0" w:type="auto"/>
            <w:vAlign w:val="center"/>
            <w:hideMark/>
          </w:tcPr>
          <w:p w14:paraId="6285AC0E" w14:textId="77777777" w:rsidR="00A3112D" w:rsidRPr="00B74E01" w:rsidRDefault="00A3112D" w:rsidP="00654A69">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Indicador</w:t>
            </w:r>
          </w:p>
        </w:tc>
        <w:tc>
          <w:tcPr>
            <w:tcW w:w="0" w:type="auto"/>
            <w:vAlign w:val="center"/>
            <w:hideMark/>
          </w:tcPr>
          <w:p w14:paraId="3D267632" w14:textId="77777777" w:rsidR="00A3112D" w:rsidRPr="00B74E01" w:rsidRDefault="00A3112D" w:rsidP="00654A69">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Valor mensal</w:t>
            </w:r>
          </w:p>
        </w:tc>
        <w:tc>
          <w:tcPr>
            <w:tcW w:w="0" w:type="auto"/>
            <w:vAlign w:val="center"/>
            <w:hideMark/>
          </w:tcPr>
          <w:p w14:paraId="07911F3B" w14:textId="77777777" w:rsidR="00A3112D" w:rsidRPr="00B74E01" w:rsidRDefault="00A3112D" w:rsidP="00654A69">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Valor anual</w:t>
            </w:r>
          </w:p>
        </w:tc>
      </w:tr>
      <w:tr w:rsidR="00A3112D" w:rsidRPr="00B74E01" w14:paraId="7EB23C5E" w14:textId="77777777" w:rsidTr="002E7EED">
        <w:trPr>
          <w:tblCellSpacing w:w="15" w:type="dxa"/>
        </w:trPr>
        <w:tc>
          <w:tcPr>
            <w:tcW w:w="0" w:type="auto"/>
            <w:vAlign w:val="center"/>
            <w:hideMark/>
          </w:tcPr>
          <w:p w14:paraId="57D7F1E5" w14:textId="77777777" w:rsidR="00A3112D" w:rsidRPr="00B74E01" w:rsidRDefault="00A3112D" w:rsidP="00654A69">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EBITDA sem receitas acessórias</w:t>
            </w:r>
          </w:p>
        </w:tc>
        <w:tc>
          <w:tcPr>
            <w:tcW w:w="0" w:type="auto"/>
            <w:vAlign w:val="center"/>
            <w:hideMark/>
          </w:tcPr>
          <w:p w14:paraId="1267D3FB" w14:textId="77777777" w:rsidR="00A3112D" w:rsidRPr="00B74E01" w:rsidRDefault="00A3112D" w:rsidP="00654A69">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R$ 314.606,70</w:t>
            </w:r>
          </w:p>
        </w:tc>
        <w:tc>
          <w:tcPr>
            <w:tcW w:w="0" w:type="auto"/>
            <w:vAlign w:val="center"/>
            <w:hideMark/>
          </w:tcPr>
          <w:p w14:paraId="343C0C57" w14:textId="77777777" w:rsidR="00A3112D" w:rsidRPr="00B74E01" w:rsidRDefault="00A3112D" w:rsidP="00654A69">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R$ 3.775.280,29</w:t>
            </w:r>
          </w:p>
        </w:tc>
      </w:tr>
      <w:tr w:rsidR="00A3112D" w:rsidRPr="00B74E01" w14:paraId="7D24E487" w14:textId="77777777" w:rsidTr="002E7EED">
        <w:trPr>
          <w:tblCellSpacing w:w="15" w:type="dxa"/>
        </w:trPr>
        <w:tc>
          <w:tcPr>
            <w:tcW w:w="0" w:type="auto"/>
            <w:vAlign w:val="center"/>
            <w:hideMark/>
          </w:tcPr>
          <w:p w14:paraId="16C2EF64" w14:textId="77777777" w:rsidR="00A3112D" w:rsidRPr="00B74E01" w:rsidRDefault="00A3112D" w:rsidP="00654A69">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Acréscimo líquido das receitas acessórias</w:t>
            </w:r>
          </w:p>
        </w:tc>
        <w:tc>
          <w:tcPr>
            <w:tcW w:w="0" w:type="auto"/>
            <w:vAlign w:val="center"/>
            <w:hideMark/>
          </w:tcPr>
          <w:p w14:paraId="4F6691F0" w14:textId="77777777" w:rsidR="00A3112D" w:rsidRPr="00B74E01" w:rsidRDefault="00A3112D" w:rsidP="00654A69">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R$ 792.485,06</w:t>
            </w:r>
          </w:p>
        </w:tc>
        <w:tc>
          <w:tcPr>
            <w:tcW w:w="0" w:type="auto"/>
            <w:vAlign w:val="center"/>
            <w:hideMark/>
          </w:tcPr>
          <w:p w14:paraId="2CF99063" w14:textId="77777777" w:rsidR="00A3112D" w:rsidRPr="00B74E01" w:rsidRDefault="00A3112D" w:rsidP="00654A69">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R$ 9.509.820,68</w:t>
            </w:r>
          </w:p>
        </w:tc>
      </w:tr>
      <w:tr w:rsidR="00A3112D" w:rsidRPr="00B74E01" w14:paraId="4F0FA17E" w14:textId="77777777" w:rsidTr="002E7EED">
        <w:trPr>
          <w:tblCellSpacing w:w="15" w:type="dxa"/>
        </w:trPr>
        <w:tc>
          <w:tcPr>
            <w:tcW w:w="0" w:type="auto"/>
            <w:vAlign w:val="center"/>
            <w:hideMark/>
          </w:tcPr>
          <w:p w14:paraId="0B600296" w14:textId="77777777" w:rsidR="00A3112D" w:rsidRPr="00B74E01" w:rsidRDefault="00A3112D" w:rsidP="00654A69">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EBITDA com receitas acessórias</w:t>
            </w:r>
          </w:p>
        </w:tc>
        <w:tc>
          <w:tcPr>
            <w:tcW w:w="0" w:type="auto"/>
            <w:vAlign w:val="center"/>
            <w:hideMark/>
          </w:tcPr>
          <w:p w14:paraId="7D4FEB90" w14:textId="77777777" w:rsidR="00A3112D" w:rsidRPr="00B74E01" w:rsidRDefault="00A3112D" w:rsidP="00654A69">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R$ 1.107.091,76</w:t>
            </w:r>
          </w:p>
        </w:tc>
        <w:tc>
          <w:tcPr>
            <w:tcW w:w="0" w:type="auto"/>
            <w:vAlign w:val="center"/>
            <w:hideMark/>
          </w:tcPr>
          <w:p w14:paraId="7E0CE08E" w14:textId="77777777" w:rsidR="00A3112D" w:rsidRPr="00B74E01" w:rsidRDefault="00A3112D" w:rsidP="00654A69">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R$ 13.285.100,97</w:t>
            </w:r>
          </w:p>
        </w:tc>
      </w:tr>
    </w:tbl>
    <w:p w14:paraId="25B34CFF"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Com receitas acessórias, a cobertura da dívida melhora substancialmente:</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338"/>
        <w:gridCol w:w="1670"/>
      </w:tblGrid>
      <w:tr w:rsidR="00A3112D" w:rsidRPr="00B74E01" w14:paraId="1D6435D2" w14:textId="77777777" w:rsidTr="002E7EED">
        <w:trPr>
          <w:tblHeader/>
          <w:tblCellSpacing w:w="15" w:type="dxa"/>
        </w:trPr>
        <w:tc>
          <w:tcPr>
            <w:tcW w:w="0" w:type="auto"/>
            <w:vAlign w:val="center"/>
            <w:hideMark/>
          </w:tcPr>
          <w:p w14:paraId="6A9D8D87" w14:textId="77777777" w:rsidR="00A3112D" w:rsidRPr="00B74E01" w:rsidRDefault="00A3112D" w:rsidP="00654A69">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Indicador</w:t>
            </w:r>
          </w:p>
        </w:tc>
        <w:tc>
          <w:tcPr>
            <w:tcW w:w="0" w:type="auto"/>
            <w:vAlign w:val="center"/>
            <w:hideMark/>
          </w:tcPr>
          <w:p w14:paraId="394B6B68" w14:textId="77777777" w:rsidR="00A3112D" w:rsidRPr="00B74E01" w:rsidRDefault="00A3112D" w:rsidP="00654A69">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Valor</w:t>
            </w:r>
          </w:p>
        </w:tc>
      </w:tr>
      <w:tr w:rsidR="00A3112D" w:rsidRPr="00B74E01" w14:paraId="43F04997" w14:textId="77777777" w:rsidTr="002E7EED">
        <w:trPr>
          <w:tblCellSpacing w:w="15" w:type="dxa"/>
        </w:trPr>
        <w:tc>
          <w:tcPr>
            <w:tcW w:w="0" w:type="auto"/>
            <w:vAlign w:val="center"/>
            <w:hideMark/>
          </w:tcPr>
          <w:p w14:paraId="2871863E" w14:textId="77777777" w:rsidR="00A3112D" w:rsidRPr="00B74E01" w:rsidRDefault="00A3112D" w:rsidP="00654A69">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Serviço mensal da dívida após carência</w:t>
            </w:r>
          </w:p>
        </w:tc>
        <w:tc>
          <w:tcPr>
            <w:tcW w:w="0" w:type="auto"/>
            <w:vAlign w:val="center"/>
            <w:hideMark/>
          </w:tcPr>
          <w:p w14:paraId="2637C0E8" w14:textId="77777777" w:rsidR="00A3112D" w:rsidRPr="00B74E01" w:rsidRDefault="00A3112D" w:rsidP="00654A69">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R$ 280.892,95</w:t>
            </w:r>
          </w:p>
        </w:tc>
      </w:tr>
      <w:tr w:rsidR="00A3112D" w:rsidRPr="00B74E01" w14:paraId="734672B8" w14:textId="77777777" w:rsidTr="002E7EED">
        <w:trPr>
          <w:tblCellSpacing w:w="15" w:type="dxa"/>
        </w:trPr>
        <w:tc>
          <w:tcPr>
            <w:tcW w:w="0" w:type="auto"/>
            <w:vAlign w:val="center"/>
            <w:hideMark/>
          </w:tcPr>
          <w:p w14:paraId="7444005E" w14:textId="77777777" w:rsidR="00A3112D" w:rsidRPr="00B74E01" w:rsidRDefault="00A3112D" w:rsidP="00654A69">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Sobra mensal após dívida</w:t>
            </w:r>
          </w:p>
        </w:tc>
        <w:tc>
          <w:tcPr>
            <w:tcW w:w="0" w:type="auto"/>
            <w:vAlign w:val="center"/>
            <w:hideMark/>
          </w:tcPr>
          <w:p w14:paraId="6FCF002B" w14:textId="77777777" w:rsidR="00A3112D" w:rsidRPr="00B74E01" w:rsidRDefault="00A3112D" w:rsidP="00654A69">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R$ 826.198,81</w:t>
            </w:r>
          </w:p>
        </w:tc>
      </w:tr>
      <w:tr w:rsidR="00A3112D" w:rsidRPr="00B74E01" w14:paraId="6A4058FD" w14:textId="77777777" w:rsidTr="002E7EED">
        <w:trPr>
          <w:tblCellSpacing w:w="15" w:type="dxa"/>
        </w:trPr>
        <w:tc>
          <w:tcPr>
            <w:tcW w:w="0" w:type="auto"/>
            <w:vAlign w:val="center"/>
            <w:hideMark/>
          </w:tcPr>
          <w:p w14:paraId="70ABFBD8" w14:textId="77777777" w:rsidR="00A3112D" w:rsidRPr="00B74E01" w:rsidRDefault="00A3112D" w:rsidP="00654A69">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DSCR após carência</w:t>
            </w:r>
          </w:p>
        </w:tc>
        <w:tc>
          <w:tcPr>
            <w:tcW w:w="0" w:type="auto"/>
            <w:vAlign w:val="center"/>
            <w:hideMark/>
          </w:tcPr>
          <w:p w14:paraId="10E9892E" w14:textId="77777777" w:rsidR="00A3112D" w:rsidRPr="00B74E01" w:rsidRDefault="00A3112D" w:rsidP="00654A69">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3,94x</w:t>
            </w:r>
          </w:p>
        </w:tc>
      </w:tr>
    </w:tbl>
    <w:p w14:paraId="41A2D35A"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Esse cenário demonstra forte atratividade financeira. Contudo, as receitas acessórias não devem ser tratadas como garantidas, pois dependem de mercado, qualidade dos subprodutos, certificação, compradores, preço e regulação.</w:t>
      </w:r>
    </w:p>
    <w:p w14:paraId="081B0230" w14:textId="77777777" w:rsidR="00A3112D" w:rsidRPr="00B74E01" w:rsidRDefault="00A3112D" w:rsidP="00654A69">
      <w:pPr>
        <w:pStyle w:val="Ttulo2"/>
        <w:rPr>
          <w:rFonts w:eastAsia="Times New Roman"/>
          <w:lang w:eastAsia="pt-BR"/>
        </w:rPr>
      </w:pPr>
      <w:bookmarkStart w:id="237" w:name="_Toc230204239"/>
      <w:r w:rsidRPr="00B74E01">
        <w:rPr>
          <w:rFonts w:eastAsia="Times New Roman"/>
          <w:lang w:eastAsia="pt-BR"/>
        </w:rPr>
        <w:t>18.4. Vantajosidade econômica municipal</w:t>
      </w:r>
      <w:bookmarkEnd w:id="237"/>
    </w:p>
    <w:p w14:paraId="0F2F963A"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vantajosidade municipal se evidencia especialmente na comparação entre a economia energética estimada e o custo da destinação/tratamento do RSU no cenário-base.</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540"/>
        <w:gridCol w:w="1653"/>
        <w:gridCol w:w="1868"/>
      </w:tblGrid>
      <w:tr w:rsidR="00A3112D" w:rsidRPr="00B74E01" w14:paraId="70839AEE" w14:textId="77777777" w:rsidTr="002E7EED">
        <w:trPr>
          <w:tblHeader/>
          <w:tblCellSpacing w:w="15" w:type="dxa"/>
        </w:trPr>
        <w:tc>
          <w:tcPr>
            <w:tcW w:w="0" w:type="auto"/>
            <w:vAlign w:val="center"/>
            <w:hideMark/>
          </w:tcPr>
          <w:p w14:paraId="2FA2D7AF" w14:textId="77777777" w:rsidR="00A3112D" w:rsidRPr="00B74E01" w:rsidRDefault="00A3112D" w:rsidP="00654A69">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Item</w:t>
            </w:r>
          </w:p>
        </w:tc>
        <w:tc>
          <w:tcPr>
            <w:tcW w:w="0" w:type="auto"/>
            <w:vAlign w:val="center"/>
            <w:hideMark/>
          </w:tcPr>
          <w:p w14:paraId="15391949" w14:textId="77777777" w:rsidR="00A3112D" w:rsidRPr="00B74E01" w:rsidRDefault="00A3112D" w:rsidP="00654A69">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Valor mensal</w:t>
            </w:r>
          </w:p>
        </w:tc>
        <w:tc>
          <w:tcPr>
            <w:tcW w:w="0" w:type="auto"/>
            <w:vAlign w:val="center"/>
            <w:hideMark/>
          </w:tcPr>
          <w:p w14:paraId="4A8BCEA6" w14:textId="77777777" w:rsidR="00A3112D" w:rsidRPr="00B74E01" w:rsidRDefault="00A3112D" w:rsidP="00654A69">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Valor anual</w:t>
            </w:r>
          </w:p>
        </w:tc>
      </w:tr>
      <w:tr w:rsidR="00A3112D" w:rsidRPr="00B74E01" w14:paraId="10E1D8D3" w14:textId="77777777" w:rsidTr="002E7EED">
        <w:trPr>
          <w:tblCellSpacing w:w="15" w:type="dxa"/>
        </w:trPr>
        <w:tc>
          <w:tcPr>
            <w:tcW w:w="0" w:type="auto"/>
            <w:vAlign w:val="center"/>
            <w:hideMark/>
          </w:tcPr>
          <w:p w14:paraId="03DB9A7F" w14:textId="77777777" w:rsidR="00A3112D" w:rsidRPr="00B74E01" w:rsidRDefault="00A3112D" w:rsidP="00654A69">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Economia estimada com energia elétrica</w:t>
            </w:r>
          </w:p>
        </w:tc>
        <w:tc>
          <w:tcPr>
            <w:tcW w:w="0" w:type="auto"/>
            <w:vAlign w:val="center"/>
            <w:hideMark/>
          </w:tcPr>
          <w:p w14:paraId="1AC29B55" w14:textId="77777777" w:rsidR="00A3112D" w:rsidRPr="00B74E01" w:rsidRDefault="00A3112D" w:rsidP="00654A69">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R$ 255.835,21</w:t>
            </w:r>
          </w:p>
        </w:tc>
        <w:tc>
          <w:tcPr>
            <w:tcW w:w="0" w:type="auto"/>
            <w:vAlign w:val="center"/>
            <w:hideMark/>
          </w:tcPr>
          <w:p w14:paraId="36CDD143" w14:textId="77777777" w:rsidR="00A3112D" w:rsidRPr="00B74E01" w:rsidRDefault="00A3112D" w:rsidP="00654A69">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R$ 3.070.022,52</w:t>
            </w:r>
          </w:p>
        </w:tc>
      </w:tr>
      <w:tr w:rsidR="00A3112D" w:rsidRPr="00B74E01" w14:paraId="74AF66E3" w14:textId="77777777" w:rsidTr="002E7EED">
        <w:trPr>
          <w:tblCellSpacing w:w="15" w:type="dxa"/>
        </w:trPr>
        <w:tc>
          <w:tcPr>
            <w:tcW w:w="0" w:type="auto"/>
            <w:vAlign w:val="center"/>
            <w:hideMark/>
          </w:tcPr>
          <w:p w14:paraId="4347D631" w14:textId="77777777" w:rsidR="00A3112D" w:rsidRPr="00B74E01" w:rsidRDefault="00A3112D" w:rsidP="00654A69">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Custo da destinação/tratamento do RSU — R$ 95/t</w:t>
            </w:r>
          </w:p>
        </w:tc>
        <w:tc>
          <w:tcPr>
            <w:tcW w:w="0" w:type="auto"/>
            <w:vAlign w:val="center"/>
            <w:hideMark/>
          </w:tcPr>
          <w:p w14:paraId="35F0F0D7" w14:textId="77777777" w:rsidR="00A3112D" w:rsidRPr="00B74E01" w:rsidRDefault="00A3112D" w:rsidP="00654A69">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R$ 231.166,67</w:t>
            </w:r>
          </w:p>
        </w:tc>
        <w:tc>
          <w:tcPr>
            <w:tcW w:w="0" w:type="auto"/>
            <w:vAlign w:val="center"/>
            <w:hideMark/>
          </w:tcPr>
          <w:p w14:paraId="7754362D" w14:textId="77777777" w:rsidR="00A3112D" w:rsidRPr="00B74E01" w:rsidRDefault="00A3112D" w:rsidP="00654A69">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R$ 2.774.000,00</w:t>
            </w:r>
          </w:p>
        </w:tc>
      </w:tr>
      <w:tr w:rsidR="00A3112D" w:rsidRPr="00B74E01" w14:paraId="06226BD4" w14:textId="77777777" w:rsidTr="002E7EED">
        <w:trPr>
          <w:tblCellSpacing w:w="15" w:type="dxa"/>
        </w:trPr>
        <w:tc>
          <w:tcPr>
            <w:tcW w:w="0" w:type="auto"/>
            <w:vAlign w:val="center"/>
            <w:hideMark/>
          </w:tcPr>
          <w:p w14:paraId="080B0D20" w14:textId="77777777" w:rsidR="00A3112D" w:rsidRPr="00B74E01" w:rsidRDefault="00A3112D" w:rsidP="00654A69">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Saldo positivo estimado ao Município</w:t>
            </w:r>
          </w:p>
        </w:tc>
        <w:tc>
          <w:tcPr>
            <w:tcW w:w="0" w:type="auto"/>
            <w:vAlign w:val="center"/>
            <w:hideMark/>
          </w:tcPr>
          <w:p w14:paraId="2B034571" w14:textId="77777777" w:rsidR="00A3112D" w:rsidRPr="00B74E01" w:rsidRDefault="00A3112D" w:rsidP="00654A69">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R$ 24.668,54</w:t>
            </w:r>
          </w:p>
        </w:tc>
        <w:tc>
          <w:tcPr>
            <w:tcW w:w="0" w:type="auto"/>
            <w:vAlign w:val="center"/>
            <w:hideMark/>
          </w:tcPr>
          <w:p w14:paraId="378BB819" w14:textId="77777777" w:rsidR="00A3112D" w:rsidRPr="00B74E01" w:rsidRDefault="00A3112D" w:rsidP="00654A69">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R$ 296.022,52</w:t>
            </w:r>
          </w:p>
        </w:tc>
      </w:tr>
    </w:tbl>
    <w:p w14:paraId="718F6833"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lastRenderedPageBreak/>
        <w:t>No cenário-base, a economia energética cobre integralmente a destinação/tratamento do RSU e ainda gera saldo positivo, recomendado para destinação ao Fundo Municipal de Meio Ambiente e Tecnologia Pública.</w:t>
      </w:r>
    </w:p>
    <w:p w14:paraId="259D519C"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No cenário superior regional de </w:t>
      </w:r>
      <w:r w:rsidRPr="00B74E01">
        <w:rPr>
          <w:rFonts w:eastAsia="Times New Roman" w:cs="Arial"/>
          <w:b/>
          <w:bCs/>
          <w:kern w:val="0"/>
          <w:lang w:eastAsia="pt-BR"/>
          <w14:ligatures w14:val="none"/>
        </w:rPr>
        <w:t>R$ 140/t</w:t>
      </w:r>
      <w:r w:rsidRPr="00B74E01">
        <w:rPr>
          <w:rFonts w:eastAsia="Times New Roman" w:cs="Arial"/>
          <w:kern w:val="0"/>
          <w:lang w:eastAsia="pt-BR"/>
          <w14:ligatures w14:val="none"/>
        </w:rPr>
        <w:t>, a economia energética não cobre integralmente a destinação, mas reduz de forma relevante o impacto líquido municipal.</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564"/>
        <w:gridCol w:w="1670"/>
      </w:tblGrid>
      <w:tr w:rsidR="00A3112D" w:rsidRPr="00B74E01" w14:paraId="35B073BE" w14:textId="77777777" w:rsidTr="002E7EED">
        <w:trPr>
          <w:tblHeader/>
          <w:tblCellSpacing w:w="15" w:type="dxa"/>
        </w:trPr>
        <w:tc>
          <w:tcPr>
            <w:tcW w:w="0" w:type="auto"/>
            <w:vAlign w:val="center"/>
            <w:hideMark/>
          </w:tcPr>
          <w:p w14:paraId="1F508280" w14:textId="77777777" w:rsidR="00A3112D" w:rsidRPr="00B74E01" w:rsidRDefault="00A3112D" w:rsidP="00654A69">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Item</w:t>
            </w:r>
          </w:p>
        </w:tc>
        <w:tc>
          <w:tcPr>
            <w:tcW w:w="0" w:type="auto"/>
            <w:vAlign w:val="center"/>
            <w:hideMark/>
          </w:tcPr>
          <w:p w14:paraId="6EAB1E25" w14:textId="77777777" w:rsidR="00A3112D" w:rsidRPr="00B74E01" w:rsidRDefault="00A3112D" w:rsidP="00654A69">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Valor mensal</w:t>
            </w:r>
          </w:p>
        </w:tc>
      </w:tr>
      <w:tr w:rsidR="00A3112D" w:rsidRPr="00B74E01" w14:paraId="6D068B63" w14:textId="77777777" w:rsidTr="002E7EED">
        <w:trPr>
          <w:tblCellSpacing w:w="15" w:type="dxa"/>
        </w:trPr>
        <w:tc>
          <w:tcPr>
            <w:tcW w:w="0" w:type="auto"/>
            <w:vAlign w:val="center"/>
            <w:hideMark/>
          </w:tcPr>
          <w:p w14:paraId="4D551511" w14:textId="77777777" w:rsidR="00A3112D" w:rsidRPr="00B74E01" w:rsidRDefault="00A3112D" w:rsidP="00654A69">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Economia energética estimada</w:t>
            </w:r>
          </w:p>
        </w:tc>
        <w:tc>
          <w:tcPr>
            <w:tcW w:w="0" w:type="auto"/>
            <w:vAlign w:val="center"/>
            <w:hideMark/>
          </w:tcPr>
          <w:p w14:paraId="54160D3C" w14:textId="77777777" w:rsidR="00A3112D" w:rsidRPr="00B74E01" w:rsidRDefault="00A3112D" w:rsidP="00654A69">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R$ 255.835,21</w:t>
            </w:r>
          </w:p>
        </w:tc>
      </w:tr>
      <w:tr w:rsidR="00A3112D" w:rsidRPr="00B74E01" w14:paraId="0BC87898" w14:textId="77777777" w:rsidTr="002E7EED">
        <w:trPr>
          <w:tblCellSpacing w:w="15" w:type="dxa"/>
        </w:trPr>
        <w:tc>
          <w:tcPr>
            <w:tcW w:w="0" w:type="auto"/>
            <w:vAlign w:val="center"/>
            <w:hideMark/>
          </w:tcPr>
          <w:p w14:paraId="2F1E57F1" w14:textId="77777777" w:rsidR="00A3112D" w:rsidRPr="00B74E01" w:rsidRDefault="00A3112D" w:rsidP="00654A69">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Custo da destinação — R$ 140/t</w:t>
            </w:r>
          </w:p>
        </w:tc>
        <w:tc>
          <w:tcPr>
            <w:tcW w:w="0" w:type="auto"/>
            <w:vAlign w:val="center"/>
            <w:hideMark/>
          </w:tcPr>
          <w:p w14:paraId="3A207F82" w14:textId="77777777" w:rsidR="00A3112D" w:rsidRPr="00B74E01" w:rsidRDefault="00A3112D" w:rsidP="00654A69">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R$ 340.666,67</w:t>
            </w:r>
          </w:p>
        </w:tc>
      </w:tr>
      <w:tr w:rsidR="00A3112D" w:rsidRPr="00B74E01" w14:paraId="07FE0D5B" w14:textId="77777777" w:rsidTr="002E7EED">
        <w:trPr>
          <w:tblCellSpacing w:w="15" w:type="dxa"/>
        </w:trPr>
        <w:tc>
          <w:tcPr>
            <w:tcW w:w="0" w:type="auto"/>
            <w:vAlign w:val="center"/>
            <w:hideMark/>
          </w:tcPr>
          <w:p w14:paraId="24C714F2" w14:textId="77777777" w:rsidR="00A3112D" w:rsidRPr="00B74E01" w:rsidRDefault="00A3112D" w:rsidP="00654A69">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Saldo líquido</w:t>
            </w:r>
          </w:p>
        </w:tc>
        <w:tc>
          <w:tcPr>
            <w:tcW w:w="0" w:type="auto"/>
            <w:vAlign w:val="center"/>
            <w:hideMark/>
          </w:tcPr>
          <w:p w14:paraId="047B4476" w14:textId="77777777" w:rsidR="00A3112D" w:rsidRPr="00B74E01" w:rsidRDefault="00A3112D" w:rsidP="00654A69">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-R$ 84.831,46</w:t>
            </w:r>
          </w:p>
        </w:tc>
      </w:tr>
    </w:tbl>
    <w:p w14:paraId="38530F29"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Essa comparação é importante porque a destinação convencional em aterro sanitário pode alcançar valores próximos a </w:t>
      </w:r>
      <w:r w:rsidRPr="00B74E01">
        <w:rPr>
          <w:rFonts w:eastAsia="Times New Roman" w:cs="Arial"/>
          <w:b/>
          <w:bCs/>
          <w:kern w:val="0"/>
          <w:lang w:eastAsia="pt-BR"/>
          <w14:ligatures w14:val="none"/>
        </w:rPr>
        <w:t>R$ 140/t</w:t>
      </w:r>
      <w:r w:rsidRPr="00B74E01">
        <w:rPr>
          <w:rFonts w:eastAsia="Times New Roman" w:cs="Arial"/>
          <w:kern w:val="0"/>
          <w:lang w:eastAsia="pt-BR"/>
          <w14:ligatures w14:val="none"/>
        </w:rPr>
        <w:t>, sem entregar economia energética, valorização de subprodutos, potencial de receitas acessórias ou fortalecimento do Fundo Municipal.</w:t>
      </w:r>
    </w:p>
    <w:p w14:paraId="7E5AD2FC" w14:textId="77777777" w:rsidR="00A3112D" w:rsidRPr="00B74E01" w:rsidRDefault="00A3112D" w:rsidP="00654A69">
      <w:pPr>
        <w:pStyle w:val="Ttulo2"/>
        <w:rPr>
          <w:rFonts w:eastAsia="Times New Roman"/>
          <w:lang w:eastAsia="pt-BR"/>
        </w:rPr>
      </w:pPr>
      <w:bookmarkStart w:id="238" w:name="_Toc230204240"/>
      <w:r w:rsidRPr="00B74E01">
        <w:rPr>
          <w:rFonts w:eastAsia="Times New Roman"/>
          <w:lang w:eastAsia="pt-BR"/>
        </w:rPr>
        <w:t xml:space="preserve">18.5. </w:t>
      </w:r>
      <w:proofErr w:type="spellStart"/>
      <w:r w:rsidRPr="00B74E01">
        <w:rPr>
          <w:rFonts w:eastAsia="Times New Roman"/>
          <w:lang w:eastAsia="pt-BR"/>
        </w:rPr>
        <w:t>Bancabilidade</w:t>
      </w:r>
      <w:proofErr w:type="spellEnd"/>
      <w:r w:rsidRPr="00B74E01">
        <w:rPr>
          <w:rFonts w:eastAsia="Times New Roman"/>
          <w:lang w:eastAsia="pt-BR"/>
        </w:rPr>
        <w:t xml:space="preserve"> do projeto</w:t>
      </w:r>
      <w:bookmarkEnd w:id="238"/>
    </w:p>
    <w:p w14:paraId="7D5D0042"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 </w:t>
      </w:r>
      <w:proofErr w:type="spellStart"/>
      <w:r w:rsidRPr="00B74E01">
        <w:rPr>
          <w:rFonts w:eastAsia="Times New Roman" w:cs="Arial"/>
          <w:kern w:val="0"/>
          <w:lang w:eastAsia="pt-BR"/>
          <w14:ligatures w14:val="none"/>
        </w:rPr>
        <w:t>bancabilidade</w:t>
      </w:r>
      <w:proofErr w:type="spellEnd"/>
      <w:r w:rsidRPr="00B74E01">
        <w:rPr>
          <w:rFonts w:eastAsia="Times New Roman" w:cs="Arial"/>
          <w:kern w:val="0"/>
          <w:lang w:eastAsia="pt-BR"/>
          <w14:ligatures w14:val="none"/>
        </w:rPr>
        <w:t xml:space="preserve"> depende menos de discursos otimistas e mais de três pilares objetivos: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605"/>
        <w:gridCol w:w="6456"/>
      </w:tblGrid>
      <w:tr w:rsidR="00A3112D" w:rsidRPr="00B74E01" w14:paraId="6D9D65B0" w14:textId="77777777" w:rsidTr="002E7EED">
        <w:trPr>
          <w:tblHeader/>
          <w:tblCellSpacing w:w="15" w:type="dxa"/>
        </w:trPr>
        <w:tc>
          <w:tcPr>
            <w:tcW w:w="0" w:type="auto"/>
            <w:vAlign w:val="center"/>
            <w:hideMark/>
          </w:tcPr>
          <w:p w14:paraId="73DFE7C6" w14:textId="77777777" w:rsidR="00A3112D" w:rsidRPr="00B74E01" w:rsidRDefault="00A3112D" w:rsidP="00224275">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Pilar</w:t>
            </w:r>
          </w:p>
        </w:tc>
        <w:tc>
          <w:tcPr>
            <w:tcW w:w="0" w:type="auto"/>
            <w:vAlign w:val="center"/>
            <w:hideMark/>
          </w:tcPr>
          <w:p w14:paraId="6FCB843F" w14:textId="77777777" w:rsidR="00A3112D" w:rsidRPr="00B74E01" w:rsidRDefault="00A3112D" w:rsidP="00224275">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Situação na modelagem</w:t>
            </w:r>
          </w:p>
        </w:tc>
      </w:tr>
      <w:tr w:rsidR="00A3112D" w:rsidRPr="00B74E01" w14:paraId="5FDAF86E" w14:textId="77777777" w:rsidTr="002E7EED">
        <w:trPr>
          <w:tblCellSpacing w:w="15" w:type="dxa"/>
        </w:trPr>
        <w:tc>
          <w:tcPr>
            <w:tcW w:w="0" w:type="auto"/>
            <w:vAlign w:val="center"/>
            <w:hideMark/>
          </w:tcPr>
          <w:p w14:paraId="4A52F411" w14:textId="77777777" w:rsidR="00A3112D" w:rsidRPr="00B74E01" w:rsidRDefault="00A3112D" w:rsidP="0022427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 principal contratada</w:t>
            </w:r>
          </w:p>
        </w:tc>
        <w:tc>
          <w:tcPr>
            <w:tcW w:w="0" w:type="auto"/>
            <w:vAlign w:val="center"/>
            <w:hideMark/>
          </w:tcPr>
          <w:p w14:paraId="6B6A1600" w14:textId="77777777" w:rsidR="00A3112D" w:rsidRPr="00B74E01" w:rsidRDefault="00A3112D" w:rsidP="0022427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Existe, é mensurável e recorrente</w:t>
            </w:r>
          </w:p>
        </w:tc>
      </w:tr>
      <w:tr w:rsidR="00A3112D" w:rsidRPr="00B74E01" w14:paraId="1F8186F0" w14:textId="77777777" w:rsidTr="002E7EED">
        <w:trPr>
          <w:tblCellSpacing w:w="15" w:type="dxa"/>
        </w:trPr>
        <w:tc>
          <w:tcPr>
            <w:tcW w:w="0" w:type="auto"/>
            <w:vAlign w:val="center"/>
            <w:hideMark/>
          </w:tcPr>
          <w:p w14:paraId="6E798CAB" w14:textId="77777777" w:rsidR="00A3112D" w:rsidRPr="00B74E01" w:rsidRDefault="00A3112D" w:rsidP="0022427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Garantia de pagamento</w:t>
            </w:r>
          </w:p>
        </w:tc>
        <w:tc>
          <w:tcPr>
            <w:tcW w:w="0" w:type="auto"/>
            <w:vAlign w:val="center"/>
            <w:hideMark/>
          </w:tcPr>
          <w:p w14:paraId="48166DDD" w14:textId="77777777" w:rsidR="00A3112D" w:rsidRPr="00B74E01" w:rsidRDefault="00A3112D" w:rsidP="0022427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Recomendado Fundo Garantidor ou conta vinculada</w:t>
            </w:r>
          </w:p>
        </w:tc>
      </w:tr>
      <w:tr w:rsidR="00A3112D" w:rsidRPr="00B74E01" w14:paraId="09EB75A7" w14:textId="77777777" w:rsidTr="002E7EED">
        <w:trPr>
          <w:tblCellSpacing w:w="15" w:type="dxa"/>
        </w:trPr>
        <w:tc>
          <w:tcPr>
            <w:tcW w:w="0" w:type="auto"/>
            <w:vAlign w:val="center"/>
            <w:hideMark/>
          </w:tcPr>
          <w:p w14:paraId="47225BE3" w14:textId="77777777" w:rsidR="00A3112D" w:rsidRPr="00B74E01" w:rsidRDefault="00A3112D" w:rsidP="0022427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Matriz de riscos</w:t>
            </w:r>
          </w:p>
        </w:tc>
        <w:tc>
          <w:tcPr>
            <w:tcW w:w="0" w:type="auto"/>
            <w:vAlign w:val="center"/>
            <w:hideMark/>
          </w:tcPr>
          <w:p w14:paraId="0C2BDDDF" w14:textId="77777777" w:rsidR="00A3112D" w:rsidRPr="00B74E01" w:rsidRDefault="00A3112D" w:rsidP="0022427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Deve alocar à SPE os riscos empresariais e ao Município os riscos públicos</w:t>
            </w:r>
          </w:p>
        </w:tc>
      </w:tr>
    </w:tbl>
    <w:p w14:paraId="290D3FA4"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O projeto é </w:t>
      </w:r>
      <w:proofErr w:type="spellStart"/>
      <w:r w:rsidRPr="00B74E01">
        <w:rPr>
          <w:rFonts w:eastAsia="Times New Roman" w:cs="Arial"/>
          <w:kern w:val="0"/>
          <w:lang w:eastAsia="pt-BR"/>
          <w14:ligatures w14:val="none"/>
        </w:rPr>
        <w:t>bancável</w:t>
      </w:r>
      <w:proofErr w:type="spellEnd"/>
      <w:r w:rsidRPr="00B74E01">
        <w:rPr>
          <w:rFonts w:eastAsia="Times New Roman" w:cs="Arial"/>
          <w:kern w:val="0"/>
          <w:lang w:eastAsia="pt-BR"/>
          <w14:ligatures w14:val="none"/>
        </w:rPr>
        <w:t xml:space="preserve"> em tese, mas exige cuidado. O DSCR sem receitas acessórias é positivo, porém estreito. Isso significa que financiadores poderão exigir:</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404"/>
        <w:gridCol w:w="4378"/>
      </w:tblGrid>
      <w:tr w:rsidR="00A3112D" w:rsidRPr="00B74E01" w14:paraId="3B061790" w14:textId="77777777" w:rsidTr="002E7EED">
        <w:trPr>
          <w:tblHeader/>
          <w:tblCellSpacing w:w="15" w:type="dxa"/>
        </w:trPr>
        <w:tc>
          <w:tcPr>
            <w:tcW w:w="0" w:type="auto"/>
            <w:vAlign w:val="center"/>
            <w:hideMark/>
          </w:tcPr>
          <w:p w14:paraId="7C4F445A" w14:textId="77777777" w:rsidR="00A3112D" w:rsidRPr="00B74E01" w:rsidRDefault="00A3112D" w:rsidP="00224275">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lastRenderedPageBreak/>
              <w:t>Exigência provável</w:t>
            </w:r>
          </w:p>
        </w:tc>
        <w:tc>
          <w:tcPr>
            <w:tcW w:w="0" w:type="auto"/>
            <w:vAlign w:val="center"/>
            <w:hideMark/>
          </w:tcPr>
          <w:p w14:paraId="07FE1F5E" w14:textId="77777777" w:rsidR="00A3112D" w:rsidRPr="00B74E01" w:rsidRDefault="00A3112D" w:rsidP="00224275">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Finalidade</w:t>
            </w:r>
          </w:p>
        </w:tc>
      </w:tr>
      <w:tr w:rsidR="00A3112D" w:rsidRPr="00B74E01" w14:paraId="008E3868" w14:textId="77777777" w:rsidTr="002E7EED">
        <w:trPr>
          <w:tblCellSpacing w:w="15" w:type="dxa"/>
        </w:trPr>
        <w:tc>
          <w:tcPr>
            <w:tcW w:w="0" w:type="auto"/>
            <w:vAlign w:val="center"/>
            <w:hideMark/>
          </w:tcPr>
          <w:p w14:paraId="73C2D4EA" w14:textId="77777777" w:rsidR="00A3112D" w:rsidRPr="00B74E01" w:rsidRDefault="00A3112D" w:rsidP="0022427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Garantia de 6 meses da receita principal</w:t>
            </w:r>
          </w:p>
        </w:tc>
        <w:tc>
          <w:tcPr>
            <w:tcW w:w="0" w:type="auto"/>
            <w:vAlign w:val="center"/>
            <w:hideMark/>
          </w:tcPr>
          <w:p w14:paraId="146EFA8A" w14:textId="77777777" w:rsidR="00A3112D" w:rsidRPr="00B74E01" w:rsidRDefault="00A3112D" w:rsidP="0022427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Reduzir risco de inadimplemento</w:t>
            </w:r>
          </w:p>
        </w:tc>
      </w:tr>
      <w:tr w:rsidR="00A3112D" w:rsidRPr="00B74E01" w14:paraId="1DEE363E" w14:textId="77777777" w:rsidTr="002E7EED">
        <w:trPr>
          <w:tblCellSpacing w:w="15" w:type="dxa"/>
        </w:trPr>
        <w:tc>
          <w:tcPr>
            <w:tcW w:w="0" w:type="auto"/>
            <w:vAlign w:val="center"/>
            <w:hideMark/>
          </w:tcPr>
          <w:p w14:paraId="6B16B111" w14:textId="77777777" w:rsidR="00A3112D" w:rsidRPr="00B74E01" w:rsidRDefault="00A3112D" w:rsidP="0022427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Conta vinculada</w:t>
            </w:r>
          </w:p>
        </w:tc>
        <w:tc>
          <w:tcPr>
            <w:tcW w:w="0" w:type="auto"/>
            <w:vAlign w:val="center"/>
            <w:hideMark/>
          </w:tcPr>
          <w:p w14:paraId="6093B75C" w14:textId="77777777" w:rsidR="00A3112D" w:rsidRPr="00B74E01" w:rsidRDefault="00A3112D" w:rsidP="0022427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Disciplinar fluxo de pagamento</w:t>
            </w:r>
          </w:p>
        </w:tc>
      </w:tr>
      <w:tr w:rsidR="00A3112D" w:rsidRPr="00B74E01" w14:paraId="28156BCC" w14:textId="77777777" w:rsidTr="002E7EED">
        <w:trPr>
          <w:tblCellSpacing w:w="15" w:type="dxa"/>
        </w:trPr>
        <w:tc>
          <w:tcPr>
            <w:tcW w:w="0" w:type="auto"/>
            <w:vAlign w:val="center"/>
            <w:hideMark/>
          </w:tcPr>
          <w:p w14:paraId="56A398A0" w14:textId="77777777" w:rsidR="00A3112D" w:rsidRPr="00B74E01" w:rsidRDefault="00A3112D" w:rsidP="0022427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Conta reserva da dívida</w:t>
            </w:r>
          </w:p>
        </w:tc>
        <w:tc>
          <w:tcPr>
            <w:tcW w:w="0" w:type="auto"/>
            <w:vAlign w:val="center"/>
            <w:hideMark/>
          </w:tcPr>
          <w:p w14:paraId="5D23237D" w14:textId="77777777" w:rsidR="00A3112D" w:rsidRPr="00B74E01" w:rsidRDefault="00A3112D" w:rsidP="0022427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Proteger o serviço da dívida</w:t>
            </w:r>
          </w:p>
        </w:tc>
      </w:tr>
      <w:tr w:rsidR="00A3112D" w:rsidRPr="00B74E01" w14:paraId="07699E38" w14:textId="77777777" w:rsidTr="002E7EED">
        <w:trPr>
          <w:tblCellSpacing w:w="15" w:type="dxa"/>
        </w:trPr>
        <w:tc>
          <w:tcPr>
            <w:tcW w:w="0" w:type="auto"/>
            <w:vAlign w:val="center"/>
            <w:hideMark/>
          </w:tcPr>
          <w:p w14:paraId="58D52E79" w14:textId="77777777" w:rsidR="00A3112D" w:rsidRPr="00B74E01" w:rsidRDefault="00A3112D" w:rsidP="0022427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Comprovação técnica da tecnologia</w:t>
            </w:r>
          </w:p>
        </w:tc>
        <w:tc>
          <w:tcPr>
            <w:tcW w:w="0" w:type="auto"/>
            <w:vAlign w:val="center"/>
            <w:hideMark/>
          </w:tcPr>
          <w:p w14:paraId="0564CF19" w14:textId="77777777" w:rsidR="00A3112D" w:rsidRPr="00B74E01" w:rsidRDefault="00A3112D" w:rsidP="0022427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Reduzir risco operacional</w:t>
            </w:r>
          </w:p>
        </w:tc>
      </w:tr>
      <w:tr w:rsidR="00A3112D" w:rsidRPr="00B74E01" w14:paraId="6A3B7B98" w14:textId="77777777" w:rsidTr="002E7EED">
        <w:trPr>
          <w:tblCellSpacing w:w="15" w:type="dxa"/>
        </w:trPr>
        <w:tc>
          <w:tcPr>
            <w:tcW w:w="0" w:type="auto"/>
            <w:vAlign w:val="center"/>
            <w:hideMark/>
          </w:tcPr>
          <w:p w14:paraId="79E77D4B" w14:textId="77777777" w:rsidR="00A3112D" w:rsidRPr="00B74E01" w:rsidRDefault="00A3112D" w:rsidP="0022427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Operação assistida</w:t>
            </w:r>
          </w:p>
        </w:tc>
        <w:tc>
          <w:tcPr>
            <w:tcW w:w="0" w:type="auto"/>
            <w:vAlign w:val="center"/>
            <w:hideMark/>
          </w:tcPr>
          <w:p w14:paraId="40BE93DE" w14:textId="77777777" w:rsidR="00A3112D" w:rsidRPr="00B74E01" w:rsidRDefault="00A3112D" w:rsidP="0022427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Reduzir risco de implantação</w:t>
            </w:r>
          </w:p>
        </w:tc>
      </w:tr>
      <w:tr w:rsidR="00A3112D" w:rsidRPr="00B74E01" w14:paraId="184E2447" w14:textId="77777777" w:rsidTr="002E7EED">
        <w:trPr>
          <w:tblCellSpacing w:w="15" w:type="dxa"/>
        </w:trPr>
        <w:tc>
          <w:tcPr>
            <w:tcW w:w="0" w:type="auto"/>
            <w:vAlign w:val="center"/>
            <w:hideMark/>
          </w:tcPr>
          <w:p w14:paraId="07016F28" w14:textId="77777777" w:rsidR="00A3112D" w:rsidRPr="00B74E01" w:rsidRDefault="00A3112D" w:rsidP="0022427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 xml:space="preserve">Contrato </w:t>
            </w:r>
            <w:proofErr w:type="spellStart"/>
            <w:r w:rsidRPr="00B74E01">
              <w:rPr>
                <w:rFonts w:eastAsia="Times New Roman" w:cs="Arial"/>
                <w:kern w:val="0"/>
                <w:lang w:eastAsia="pt-BR"/>
                <w14:ligatures w14:val="none"/>
              </w:rPr>
              <w:t>turnkey</w:t>
            </w:r>
            <w:proofErr w:type="spellEnd"/>
          </w:p>
        </w:tc>
        <w:tc>
          <w:tcPr>
            <w:tcW w:w="0" w:type="auto"/>
            <w:vAlign w:val="center"/>
            <w:hideMark/>
          </w:tcPr>
          <w:p w14:paraId="5D120B73" w14:textId="77777777" w:rsidR="00A3112D" w:rsidRPr="00B74E01" w:rsidRDefault="00A3112D" w:rsidP="0022427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Concentrar responsabilidade de entrega</w:t>
            </w:r>
          </w:p>
        </w:tc>
      </w:tr>
      <w:tr w:rsidR="00A3112D" w:rsidRPr="00B74E01" w14:paraId="67568D10" w14:textId="77777777" w:rsidTr="002E7EED">
        <w:trPr>
          <w:tblCellSpacing w:w="15" w:type="dxa"/>
        </w:trPr>
        <w:tc>
          <w:tcPr>
            <w:tcW w:w="0" w:type="auto"/>
            <w:vAlign w:val="center"/>
            <w:hideMark/>
          </w:tcPr>
          <w:p w14:paraId="08D2880B" w14:textId="77777777" w:rsidR="00A3112D" w:rsidRPr="00B74E01" w:rsidRDefault="00A3112D" w:rsidP="0022427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Validação das receitas acessórias</w:t>
            </w:r>
          </w:p>
        </w:tc>
        <w:tc>
          <w:tcPr>
            <w:tcW w:w="0" w:type="auto"/>
            <w:vAlign w:val="center"/>
            <w:hideMark/>
          </w:tcPr>
          <w:p w14:paraId="0FB9D615" w14:textId="77777777" w:rsidR="00A3112D" w:rsidRPr="00B74E01" w:rsidRDefault="00A3112D" w:rsidP="0022427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Melhorar conforto financeiro</w:t>
            </w:r>
          </w:p>
        </w:tc>
      </w:tr>
    </w:tbl>
    <w:p w14:paraId="7E6E89CE"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Sem esses elementos, o projeto pode ser questionado ou perder atratividade, mesmo com bons números na planilha.</w:t>
      </w:r>
    </w:p>
    <w:p w14:paraId="163A4C09" w14:textId="77777777" w:rsidR="00A3112D" w:rsidRPr="00B74E01" w:rsidRDefault="00A3112D" w:rsidP="00224275">
      <w:pPr>
        <w:pStyle w:val="Ttulo2"/>
        <w:rPr>
          <w:rFonts w:eastAsia="Times New Roman"/>
          <w:lang w:eastAsia="pt-BR"/>
        </w:rPr>
      </w:pPr>
      <w:bookmarkStart w:id="239" w:name="_Toc230204241"/>
      <w:r w:rsidRPr="00B74E01">
        <w:rPr>
          <w:rFonts w:eastAsia="Times New Roman"/>
          <w:lang w:eastAsia="pt-BR"/>
        </w:rPr>
        <w:t xml:space="preserve">18.6. </w:t>
      </w:r>
      <w:proofErr w:type="spellStart"/>
      <w:r w:rsidRPr="00B74E01">
        <w:rPr>
          <w:rFonts w:eastAsia="Times New Roman"/>
          <w:lang w:eastAsia="pt-BR"/>
        </w:rPr>
        <w:t>Defensabilidade</w:t>
      </w:r>
      <w:proofErr w:type="spellEnd"/>
      <w:r w:rsidRPr="00B74E01">
        <w:rPr>
          <w:rFonts w:eastAsia="Times New Roman"/>
          <w:lang w:eastAsia="pt-BR"/>
        </w:rPr>
        <w:t xml:space="preserve"> perante banca avaliadora e órgãos de controle</w:t>
      </w:r>
      <w:bookmarkEnd w:id="239"/>
    </w:p>
    <w:p w14:paraId="5583AD3D"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 </w:t>
      </w:r>
      <w:proofErr w:type="spellStart"/>
      <w:r w:rsidRPr="00B74E01">
        <w:rPr>
          <w:rFonts w:eastAsia="Times New Roman" w:cs="Arial"/>
          <w:kern w:val="0"/>
          <w:lang w:eastAsia="pt-BR"/>
          <w14:ligatures w14:val="none"/>
        </w:rPr>
        <w:t>defensabilidade</w:t>
      </w:r>
      <w:proofErr w:type="spellEnd"/>
      <w:r w:rsidRPr="00B74E01">
        <w:rPr>
          <w:rFonts w:eastAsia="Times New Roman" w:cs="Arial"/>
          <w:kern w:val="0"/>
          <w:lang w:eastAsia="pt-BR"/>
          <w14:ligatures w14:val="none"/>
        </w:rPr>
        <w:t xml:space="preserve"> do caderno depende de prudência. Não adianta construir uma modelagem aparentemente muito rentável se ela for reprovada pela banca avaliadora, pelo Tribunal de Contas ou pelo Ministério Público.</w:t>
      </w:r>
    </w:p>
    <w:p w14:paraId="3799F14D"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modelagem deve demonstrar:</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000"/>
        <w:gridCol w:w="5061"/>
      </w:tblGrid>
      <w:tr w:rsidR="00A3112D" w:rsidRPr="00B74E01" w14:paraId="56C865C5" w14:textId="77777777" w:rsidTr="002E7EED">
        <w:trPr>
          <w:tblHeader/>
          <w:tblCellSpacing w:w="15" w:type="dxa"/>
        </w:trPr>
        <w:tc>
          <w:tcPr>
            <w:tcW w:w="0" w:type="auto"/>
            <w:vAlign w:val="center"/>
            <w:hideMark/>
          </w:tcPr>
          <w:p w14:paraId="27CADF48" w14:textId="77777777" w:rsidR="00A3112D" w:rsidRPr="00B74E01" w:rsidRDefault="00A3112D" w:rsidP="00224275">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 xml:space="preserve">Critério de </w:t>
            </w:r>
            <w:proofErr w:type="spellStart"/>
            <w:r w:rsidRPr="00B74E01">
              <w:rPr>
                <w:rFonts w:eastAsia="Times New Roman" w:cs="Arial"/>
                <w:b/>
                <w:bCs/>
                <w:kern w:val="0"/>
                <w:lang w:eastAsia="pt-BR"/>
                <w14:ligatures w14:val="none"/>
              </w:rPr>
              <w:t>defensabilidade</w:t>
            </w:r>
            <w:proofErr w:type="spellEnd"/>
          </w:p>
        </w:tc>
        <w:tc>
          <w:tcPr>
            <w:tcW w:w="0" w:type="auto"/>
            <w:vAlign w:val="center"/>
            <w:hideMark/>
          </w:tcPr>
          <w:p w14:paraId="2CE48B80" w14:textId="77777777" w:rsidR="00A3112D" w:rsidRPr="00B74E01" w:rsidRDefault="00A3112D" w:rsidP="00224275">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Tratamento no caderno</w:t>
            </w:r>
          </w:p>
        </w:tc>
      </w:tr>
      <w:tr w:rsidR="00A3112D" w:rsidRPr="00B74E01" w14:paraId="0CFC7D77" w14:textId="77777777" w:rsidTr="002E7EED">
        <w:trPr>
          <w:tblCellSpacing w:w="15" w:type="dxa"/>
        </w:trPr>
        <w:tc>
          <w:tcPr>
            <w:tcW w:w="0" w:type="auto"/>
            <w:vAlign w:val="center"/>
            <w:hideMark/>
          </w:tcPr>
          <w:p w14:paraId="60F52037" w14:textId="77777777" w:rsidR="00A3112D" w:rsidRPr="00B74E01" w:rsidRDefault="00A3112D" w:rsidP="0022427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Separação entre receitas principais e acessórias</w:t>
            </w:r>
          </w:p>
        </w:tc>
        <w:tc>
          <w:tcPr>
            <w:tcW w:w="0" w:type="auto"/>
            <w:vAlign w:val="center"/>
            <w:hideMark/>
          </w:tcPr>
          <w:p w14:paraId="36E1BC2B" w14:textId="77777777" w:rsidR="00A3112D" w:rsidRPr="00B74E01" w:rsidRDefault="00A3112D" w:rsidP="0022427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Mantida</w:t>
            </w:r>
          </w:p>
        </w:tc>
      </w:tr>
      <w:tr w:rsidR="00A3112D" w:rsidRPr="00B74E01" w14:paraId="5341AA8B" w14:textId="77777777" w:rsidTr="002E7EED">
        <w:trPr>
          <w:tblCellSpacing w:w="15" w:type="dxa"/>
        </w:trPr>
        <w:tc>
          <w:tcPr>
            <w:tcW w:w="0" w:type="auto"/>
            <w:vAlign w:val="center"/>
            <w:hideMark/>
          </w:tcPr>
          <w:p w14:paraId="4D65E86A" w14:textId="77777777" w:rsidR="00A3112D" w:rsidRPr="00B74E01" w:rsidRDefault="00A3112D" w:rsidP="0022427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Viabilidade mínima sem receitas acessórias</w:t>
            </w:r>
          </w:p>
        </w:tc>
        <w:tc>
          <w:tcPr>
            <w:tcW w:w="0" w:type="auto"/>
            <w:vAlign w:val="center"/>
            <w:hideMark/>
          </w:tcPr>
          <w:p w14:paraId="59920E76" w14:textId="77777777" w:rsidR="00A3112D" w:rsidRPr="00B74E01" w:rsidRDefault="00A3112D" w:rsidP="0022427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Demonstrada</w:t>
            </w:r>
          </w:p>
        </w:tc>
      </w:tr>
      <w:tr w:rsidR="00A3112D" w:rsidRPr="00B74E01" w14:paraId="0EBB3D2D" w14:textId="77777777" w:rsidTr="002E7EED">
        <w:trPr>
          <w:tblCellSpacing w:w="15" w:type="dxa"/>
        </w:trPr>
        <w:tc>
          <w:tcPr>
            <w:tcW w:w="0" w:type="auto"/>
            <w:vAlign w:val="center"/>
            <w:hideMark/>
          </w:tcPr>
          <w:p w14:paraId="193882FF" w14:textId="77777777" w:rsidR="00A3112D" w:rsidRPr="00B74E01" w:rsidRDefault="00A3112D" w:rsidP="0022427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Risco das receitas acessórias</w:t>
            </w:r>
          </w:p>
        </w:tc>
        <w:tc>
          <w:tcPr>
            <w:tcW w:w="0" w:type="auto"/>
            <w:vAlign w:val="center"/>
            <w:hideMark/>
          </w:tcPr>
          <w:p w14:paraId="280624B7" w14:textId="77777777" w:rsidR="00A3112D" w:rsidRPr="00B74E01" w:rsidRDefault="00A3112D" w:rsidP="0022427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Alocado à SPE</w:t>
            </w:r>
          </w:p>
        </w:tc>
      </w:tr>
      <w:tr w:rsidR="00A3112D" w:rsidRPr="00B74E01" w14:paraId="45063053" w14:textId="77777777" w:rsidTr="002E7EED">
        <w:trPr>
          <w:tblCellSpacing w:w="15" w:type="dxa"/>
        </w:trPr>
        <w:tc>
          <w:tcPr>
            <w:tcW w:w="0" w:type="auto"/>
            <w:vAlign w:val="center"/>
            <w:hideMark/>
          </w:tcPr>
          <w:p w14:paraId="40269FC5" w14:textId="77777777" w:rsidR="00A3112D" w:rsidRPr="00B74E01" w:rsidRDefault="00A3112D" w:rsidP="0022427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Garantia apenas sobre receitas principais</w:t>
            </w:r>
          </w:p>
        </w:tc>
        <w:tc>
          <w:tcPr>
            <w:tcW w:w="0" w:type="auto"/>
            <w:vAlign w:val="center"/>
            <w:hideMark/>
          </w:tcPr>
          <w:p w14:paraId="24CC19CA" w14:textId="77777777" w:rsidR="00A3112D" w:rsidRPr="00B74E01" w:rsidRDefault="00A3112D" w:rsidP="0022427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Recomendada</w:t>
            </w:r>
          </w:p>
        </w:tc>
      </w:tr>
      <w:tr w:rsidR="00A3112D" w:rsidRPr="00B74E01" w14:paraId="13937E2C" w14:textId="77777777" w:rsidTr="002E7EED">
        <w:trPr>
          <w:tblCellSpacing w:w="15" w:type="dxa"/>
        </w:trPr>
        <w:tc>
          <w:tcPr>
            <w:tcW w:w="0" w:type="auto"/>
            <w:vAlign w:val="center"/>
            <w:hideMark/>
          </w:tcPr>
          <w:p w14:paraId="1978C71B" w14:textId="77777777" w:rsidR="00A3112D" w:rsidRPr="00B74E01" w:rsidRDefault="00A3112D" w:rsidP="0022427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Quantidade mínima contratada de RSU</w:t>
            </w:r>
          </w:p>
        </w:tc>
        <w:tc>
          <w:tcPr>
            <w:tcW w:w="0" w:type="auto"/>
            <w:vAlign w:val="center"/>
            <w:hideMark/>
          </w:tcPr>
          <w:p w14:paraId="497B2050" w14:textId="77777777" w:rsidR="00A3112D" w:rsidRPr="00B74E01" w:rsidRDefault="00A3112D" w:rsidP="0022427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Definida em 80 t/dia</w:t>
            </w:r>
          </w:p>
        </w:tc>
      </w:tr>
      <w:tr w:rsidR="00A3112D" w:rsidRPr="00B74E01" w14:paraId="014269C9" w14:textId="77777777" w:rsidTr="002E7EED">
        <w:trPr>
          <w:tblCellSpacing w:w="15" w:type="dxa"/>
        </w:trPr>
        <w:tc>
          <w:tcPr>
            <w:tcW w:w="0" w:type="auto"/>
            <w:vAlign w:val="center"/>
            <w:hideMark/>
          </w:tcPr>
          <w:p w14:paraId="1C5C210C" w14:textId="77777777" w:rsidR="00A3112D" w:rsidRPr="00B74E01" w:rsidRDefault="00A3112D" w:rsidP="0022427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lastRenderedPageBreak/>
              <w:t>Cautela com energia</w:t>
            </w:r>
          </w:p>
        </w:tc>
        <w:tc>
          <w:tcPr>
            <w:tcW w:w="0" w:type="auto"/>
            <w:vAlign w:val="center"/>
            <w:hideMark/>
          </w:tcPr>
          <w:p w14:paraId="156C92A4" w14:textId="77777777" w:rsidR="00A3112D" w:rsidRPr="00B74E01" w:rsidRDefault="00A3112D" w:rsidP="0022427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Tratada como disponibilização de capacidade energética</w:t>
            </w:r>
          </w:p>
        </w:tc>
      </w:tr>
      <w:tr w:rsidR="00A3112D" w:rsidRPr="00B74E01" w14:paraId="62B52F66" w14:textId="77777777" w:rsidTr="002E7EED">
        <w:trPr>
          <w:tblCellSpacing w:w="15" w:type="dxa"/>
        </w:trPr>
        <w:tc>
          <w:tcPr>
            <w:tcW w:w="0" w:type="auto"/>
            <w:vAlign w:val="center"/>
            <w:hideMark/>
          </w:tcPr>
          <w:p w14:paraId="6BE0ED14" w14:textId="77777777" w:rsidR="00A3112D" w:rsidRPr="00B74E01" w:rsidRDefault="00A3112D" w:rsidP="0022427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CAPEX e OPEX</w:t>
            </w:r>
          </w:p>
        </w:tc>
        <w:tc>
          <w:tcPr>
            <w:tcW w:w="0" w:type="auto"/>
            <w:vAlign w:val="center"/>
            <w:hideMark/>
          </w:tcPr>
          <w:p w14:paraId="2EF406CA" w14:textId="77777777" w:rsidR="00A3112D" w:rsidRPr="00B74E01" w:rsidRDefault="00A3112D" w:rsidP="0022427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Apresentados com composição e responsabilidade dos licitantes</w:t>
            </w:r>
          </w:p>
        </w:tc>
      </w:tr>
      <w:tr w:rsidR="00A3112D" w:rsidRPr="00B74E01" w14:paraId="19629504" w14:textId="77777777" w:rsidTr="002E7EED">
        <w:trPr>
          <w:tblCellSpacing w:w="15" w:type="dxa"/>
        </w:trPr>
        <w:tc>
          <w:tcPr>
            <w:tcW w:w="0" w:type="auto"/>
            <w:vAlign w:val="center"/>
            <w:hideMark/>
          </w:tcPr>
          <w:p w14:paraId="5BE848D9" w14:textId="77777777" w:rsidR="00A3112D" w:rsidRPr="00B74E01" w:rsidRDefault="00A3112D" w:rsidP="0022427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Sensibilidade</w:t>
            </w:r>
          </w:p>
        </w:tc>
        <w:tc>
          <w:tcPr>
            <w:tcW w:w="0" w:type="auto"/>
            <w:vAlign w:val="center"/>
            <w:hideMark/>
          </w:tcPr>
          <w:p w14:paraId="793FA324" w14:textId="77777777" w:rsidR="00A3112D" w:rsidRPr="00B74E01" w:rsidRDefault="00A3112D" w:rsidP="0022427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Testada em tarifa, juros, OPEX, CAPEX e acessórias</w:t>
            </w:r>
          </w:p>
        </w:tc>
      </w:tr>
      <w:tr w:rsidR="00A3112D" w:rsidRPr="00B74E01" w14:paraId="2B2CF945" w14:textId="77777777" w:rsidTr="002E7EED">
        <w:trPr>
          <w:tblCellSpacing w:w="15" w:type="dxa"/>
        </w:trPr>
        <w:tc>
          <w:tcPr>
            <w:tcW w:w="0" w:type="auto"/>
            <w:vAlign w:val="center"/>
            <w:hideMark/>
          </w:tcPr>
          <w:p w14:paraId="75FB7485" w14:textId="77777777" w:rsidR="00A3112D" w:rsidRPr="00B74E01" w:rsidRDefault="00A3112D" w:rsidP="0022427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Reequilíbrio</w:t>
            </w:r>
          </w:p>
        </w:tc>
        <w:tc>
          <w:tcPr>
            <w:tcW w:w="0" w:type="auto"/>
            <w:vAlign w:val="center"/>
            <w:hideMark/>
          </w:tcPr>
          <w:p w14:paraId="4AB209C0" w14:textId="77777777" w:rsidR="00A3112D" w:rsidRPr="00B74E01" w:rsidRDefault="00A3112D" w:rsidP="0022427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Limitado à matriz de riscos</w:t>
            </w:r>
          </w:p>
        </w:tc>
      </w:tr>
      <w:tr w:rsidR="00A3112D" w:rsidRPr="00B74E01" w14:paraId="4B5F2296" w14:textId="77777777" w:rsidTr="002E7EED">
        <w:trPr>
          <w:tblCellSpacing w:w="15" w:type="dxa"/>
        </w:trPr>
        <w:tc>
          <w:tcPr>
            <w:tcW w:w="0" w:type="auto"/>
            <w:vAlign w:val="center"/>
            <w:hideMark/>
          </w:tcPr>
          <w:p w14:paraId="7763A2D5" w14:textId="77777777" w:rsidR="00A3112D" w:rsidRPr="00B74E01" w:rsidRDefault="00A3112D" w:rsidP="0022427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Comparação regional</w:t>
            </w:r>
          </w:p>
        </w:tc>
        <w:tc>
          <w:tcPr>
            <w:tcW w:w="0" w:type="auto"/>
            <w:vAlign w:val="center"/>
            <w:hideMark/>
          </w:tcPr>
          <w:p w14:paraId="446AAC41" w14:textId="77777777" w:rsidR="00A3112D" w:rsidRPr="00B74E01" w:rsidRDefault="00A3112D" w:rsidP="0022427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Inclui faixa de R$ 95/t a R$ 140/t</w:t>
            </w:r>
          </w:p>
        </w:tc>
      </w:tr>
    </w:tbl>
    <w:p w14:paraId="1BBEC0B1"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Essa abordagem reduz a fragilidade do projeto. Em vez de vender uma promessa, o caderno apresenta uma estrutura técnica com riscos identificados, alocados e mitigados.</w:t>
      </w:r>
    </w:p>
    <w:p w14:paraId="290E85D4" w14:textId="77777777" w:rsidR="00A3112D" w:rsidRPr="00B74E01" w:rsidRDefault="00A3112D" w:rsidP="00224275">
      <w:pPr>
        <w:pStyle w:val="Ttulo2"/>
        <w:rPr>
          <w:rFonts w:eastAsia="Times New Roman"/>
          <w:lang w:eastAsia="pt-BR"/>
        </w:rPr>
      </w:pPr>
      <w:bookmarkStart w:id="240" w:name="_Toc230204242"/>
      <w:r w:rsidRPr="00B74E01">
        <w:rPr>
          <w:rFonts w:eastAsia="Times New Roman"/>
          <w:lang w:eastAsia="pt-BR"/>
        </w:rPr>
        <w:t>18.7. Pontos críticos que devem permanecer no edital e contrato</w:t>
      </w:r>
      <w:bookmarkEnd w:id="240"/>
    </w:p>
    <w:p w14:paraId="2D30CD17"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Para que a viabilidade demonstrada na modelagem seja preservada na licitação e na contratação, os seguintes pontos devem permanecer expressamente previstos: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578"/>
        <w:gridCol w:w="3323"/>
      </w:tblGrid>
      <w:tr w:rsidR="00A3112D" w:rsidRPr="00B74E01" w14:paraId="6EB4A4CB" w14:textId="77777777" w:rsidTr="002E7EED">
        <w:trPr>
          <w:tblHeade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4438B23D" w14:textId="77777777" w:rsidR="00A3112D" w:rsidRPr="00B74E01" w:rsidRDefault="00A3112D" w:rsidP="00224275">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Ponto crítico</w:t>
            </w:r>
          </w:p>
        </w:tc>
        <w:tc>
          <w:tcPr>
            <w:tcW w:w="0" w:type="auto"/>
            <w:tcBorders>
              <w:top w:val="single" w:sz="4" w:space="0" w:color="auto"/>
              <w:left w:val="single" w:sz="4" w:space="0" w:color="auto"/>
              <w:bottom w:val="single" w:sz="4" w:space="0" w:color="auto"/>
              <w:right w:val="single" w:sz="4" w:space="0" w:color="auto"/>
            </w:tcBorders>
            <w:vAlign w:val="center"/>
            <w:hideMark/>
          </w:tcPr>
          <w:p w14:paraId="4E1AA18E" w14:textId="77777777" w:rsidR="00A3112D" w:rsidRPr="00B74E01" w:rsidRDefault="00A3112D" w:rsidP="00224275">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Razão</w:t>
            </w:r>
          </w:p>
        </w:tc>
      </w:tr>
      <w:tr w:rsidR="00A3112D" w:rsidRPr="00B74E01" w14:paraId="63A9FCD5" w14:textId="77777777" w:rsidTr="002E7EED">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2322E247" w14:textId="77777777" w:rsidR="00A3112D" w:rsidRPr="00B74E01" w:rsidRDefault="00A3112D" w:rsidP="0022427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Quantidade mínima contratada de 80 t/dia</w:t>
            </w:r>
          </w:p>
        </w:tc>
        <w:tc>
          <w:tcPr>
            <w:tcW w:w="0" w:type="auto"/>
            <w:tcBorders>
              <w:top w:val="single" w:sz="4" w:space="0" w:color="auto"/>
              <w:left w:val="single" w:sz="4" w:space="0" w:color="auto"/>
              <w:bottom w:val="single" w:sz="4" w:space="0" w:color="auto"/>
              <w:right w:val="single" w:sz="4" w:space="0" w:color="auto"/>
            </w:tcBorders>
            <w:vAlign w:val="center"/>
            <w:hideMark/>
          </w:tcPr>
          <w:p w14:paraId="0C4F923E" w14:textId="77777777" w:rsidR="00A3112D" w:rsidRPr="00B74E01" w:rsidRDefault="00A3112D" w:rsidP="0022427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Estabiliza a receita principal</w:t>
            </w:r>
          </w:p>
        </w:tc>
      </w:tr>
      <w:tr w:rsidR="00A3112D" w:rsidRPr="00B74E01" w14:paraId="4B54B563" w14:textId="77777777" w:rsidTr="002E7EED">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0B556CF2" w14:textId="77777777" w:rsidR="00A3112D" w:rsidRPr="00B74E01" w:rsidRDefault="00A3112D" w:rsidP="0022427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Remuneração energética contratual clara</w:t>
            </w:r>
          </w:p>
        </w:tc>
        <w:tc>
          <w:tcPr>
            <w:tcW w:w="0" w:type="auto"/>
            <w:tcBorders>
              <w:top w:val="single" w:sz="4" w:space="0" w:color="auto"/>
              <w:left w:val="single" w:sz="4" w:space="0" w:color="auto"/>
              <w:bottom w:val="single" w:sz="4" w:space="0" w:color="auto"/>
              <w:right w:val="single" w:sz="4" w:space="0" w:color="auto"/>
            </w:tcBorders>
            <w:vAlign w:val="center"/>
            <w:hideMark/>
          </w:tcPr>
          <w:p w14:paraId="6741332A" w14:textId="77777777" w:rsidR="00A3112D" w:rsidRPr="00B74E01" w:rsidRDefault="00A3112D" w:rsidP="0022427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Evita insegurança regulatória</w:t>
            </w:r>
          </w:p>
        </w:tc>
      </w:tr>
      <w:tr w:rsidR="00A3112D" w:rsidRPr="00B74E01" w14:paraId="12D9F93C" w14:textId="77777777" w:rsidTr="002E7EED">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0BBF7CB9" w14:textId="77777777" w:rsidR="00A3112D" w:rsidRPr="00B74E01" w:rsidRDefault="00A3112D" w:rsidP="0022427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Fundo Garantidor ou conta vinculada</w:t>
            </w:r>
          </w:p>
        </w:tc>
        <w:tc>
          <w:tcPr>
            <w:tcW w:w="0" w:type="auto"/>
            <w:tcBorders>
              <w:top w:val="single" w:sz="4" w:space="0" w:color="auto"/>
              <w:left w:val="single" w:sz="4" w:space="0" w:color="auto"/>
              <w:bottom w:val="single" w:sz="4" w:space="0" w:color="auto"/>
              <w:right w:val="single" w:sz="4" w:space="0" w:color="auto"/>
            </w:tcBorders>
            <w:vAlign w:val="center"/>
            <w:hideMark/>
          </w:tcPr>
          <w:p w14:paraId="4C206BF2" w14:textId="77777777" w:rsidR="00A3112D" w:rsidRPr="00B74E01" w:rsidRDefault="00A3112D" w:rsidP="0022427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Protege o fluxo principal</w:t>
            </w:r>
          </w:p>
        </w:tc>
      </w:tr>
      <w:tr w:rsidR="00A3112D" w:rsidRPr="00B74E01" w14:paraId="45F639D7" w14:textId="77777777" w:rsidTr="002E7EED">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4F3B2FDD" w14:textId="77777777" w:rsidR="00A3112D" w:rsidRPr="00B74E01" w:rsidRDefault="00A3112D" w:rsidP="0022427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Receitas acessórias como risco da SPE</w:t>
            </w:r>
          </w:p>
        </w:tc>
        <w:tc>
          <w:tcPr>
            <w:tcW w:w="0" w:type="auto"/>
            <w:tcBorders>
              <w:top w:val="single" w:sz="4" w:space="0" w:color="auto"/>
              <w:left w:val="single" w:sz="4" w:space="0" w:color="auto"/>
              <w:bottom w:val="single" w:sz="4" w:space="0" w:color="auto"/>
              <w:right w:val="single" w:sz="4" w:space="0" w:color="auto"/>
            </w:tcBorders>
            <w:vAlign w:val="center"/>
            <w:hideMark/>
          </w:tcPr>
          <w:p w14:paraId="2CA80C8D" w14:textId="77777777" w:rsidR="00A3112D" w:rsidRPr="00B74E01" w:rsidRDefault="00A3112D" w:rsidP="0022427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Protege o Município</w:t>
            </w:r>
          </w:p>
        </w:tc>
      </w:tr>
      <w:tr w:rsidR="00A3112D" w:rsidRPr="00B74E01" w14:paraId="23EF3FD6" w14:textId="77777777" w:rsidTr="002E7EED">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1215C4ED" w14:textId="77777777" w:rsidR="00A3112D" w:rsidRPr="00B74E01" w:rsidRDefault="00A3112D" w:rsidP="0022427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Operação assistida por 1 ano</w:t>
            </w:r>
          </w:p>
        </w:tc>
        <w:tc>
          <w:tcPr>
            <w:tcW w:w="0" w:type="auto"/>
            <w:tcBorders>
              <w:top w:val="single" w:sz="4" w:space="0" w:color="auto"/>
              <w:left w:val="single" w:sz="4" w:space="0" w:color="auto"/>
              <w:bottom w:val="single" w:sz="4" w:space="0" w:color="auto"/>
              <w:right w:val="single" w:sz="4" w:space="0" w:color="auto"/>
            </w:tcBorders>
            <w:vAlign w:val="center"/>
            <w:hideMark/>
          </w:tcPr>
          <w:p w14:paraId="68306713" w14:textId="77777777" w:rsidR="00A3112D" w:rsidRPr="00B74E01" w:rsidRDefault="00A3112D" w:rsidP="0022427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Reduz risco tecnológico</w:t>
            </w:r>
          </w:p>
        </w:tc>
      </w:tr>
      <w:tr w:rsidR="00A3112D" w:rsidRPr="00B74E01" w14:paraId="2151CC92" w14:textId="77777777" w:rsidTr="002E7EED">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2C70B8DB" w14:textId="77777777" w:rsidR="00A3112D" w:rsidRPr="00B74E01" w:rsidRDefault="00A3112D" w:rsidP="0022427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 xml:space="preserve">Implantação em modelo </w:t>
            </w:r>
            <w:proofErr w:type="spellStart"/>
            <w:r w:rsidRPr="00B74E01">
              <w:rPr>
                <w:rFonts w:eastAsia="Times New Roman" w:cs="Arial"/>
                <w:kern w:val="0"/>
                <w:lang w:eastAsia="pt-BR"/>
                <w14:ligatures w14:val="none"/>
              </w:rPr>
              <w:t>turnkey</w:t>
            </w:r>
            <w:proofErr w:type="spellEnd"/>
          </w:p>
        </w:tc>
        <w:tc>
          <w:tcPr>
            <w:tcW w:w="0" w:type="auto"/>
            <w:tcBorders>
              <w:top w:val="single" w:sz="4" w:space="0" w:color="auto"/>
              <w:left w:val="single" w:sz="4" w:space="0" w:color="auto"/>
              <w:bottom w:val="single" w:sz="4" w:space="0" w:color="auto"/>
              <w:right w:val="single" w:sz="4" w:space="0" w:color="auto"/>
            </w:tcBorders>
            <w:vAlign w:val="center"/>
            <w:hideMark/>
          </w:tcPr>
          <w:p w14:paraId="7B70614D" w14:textId="77777777" w:rsidR="00A3112D" w:rsidRPr="00B74E01" w:rsidRDefault="00A3112D" w:rsidP="0022427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Reduz risco de integração</w:t>
            </w:r>
          </w:p>
        </w:tc>
      </w:tr>
      <w:tr w:rsidR="00A3112D" w:rsidRPr="00B74E01" w14:paraId="02353FF9" w14:textId="77777777" w:rsidTr="002E7EED">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5A21D1C8" w14:textId="77777777" w:rsidR="00A3112D" w:rsidRPr="00B74E01" w:rsidRDefault="00A3112D" w:rsidP="0022427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Indicadores de desempenho</w:t>
            </w:r>
          </w:p>
        </w:tc>
        <w:tc>
          <w:tcPr>
            <w:tcW w:w="0" w:type="auto"/>
            <w:tcBorders>
              <w:top w:val="single" w:sz="4" w:space="0" w:color="auto"/>
              <w:left w:val="single" w:sz="4" w:space="0" w:color="auto"/>
              <w:bottom w:val="single" w:sz="4" w:space="0" w:color="auto"/>
              <w:right w:val="single" w:sz="4" w:space="0" w:color="auto"/>
            </w:tcBorders>
            <w:vAlign w:val="center"/>
            <w:hideMark/>
          </w:tcPr>
          <w:p w14:paraId="5E79D034" w14:textId="77777777" w:rsidR="00A3112D" w:rsidRPr="00B74E01" w:rsidRDefault="00A3112D" w:rsidP="0022427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Permitem fiscalização objetiva</w:t>
            </w:r>
          </w:p>
        </w:tc>
      </w:tr>
      <w:tr w:rsidR="00A3112D" w:rsidRPr="00B74E01" w14:paraId="1B4170AC" w14:textId="77777777" w:rsidTr="002E7EED">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4FE3E835" w14:textId="77777777" w:rsidR="00A3112D" w:rsidRPr="00B74E01" w:rsidRDefault="00A3112D" w:rsidP="0022427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Matriz de riscos detalhada</w:t>
            </w:r>
          </w:p>
        </w:tc>
        <w:tc>
          <w:tcPr>
            <w:tcW w:w="0" w:type="auto"/>
            <w:tcBorders>
              <w:top w:val="single" w:sz="4" w:space="0" w:color="auto"/>
              <w:left w:val="single" w:sz="4" w:space="0" w:color="auto"/>
              <w:bottom w:val="single" w:sz="4" w:space="0" w:color="auto"/>
              <w:right w:val="single" w:sz="4" w:space="0" w:color="auto"/>
            </w:tcBorders>
            <w:vAlign w:val="center"/>
            <w:hideMark/>
          </w:tcPr>
          <w:p w14:paraId="75500E4C" w14:textId="77777777" w:rsidR="00A3112D" w:rsidRPr="00B74E01" w:rsidRDefault="00A3112D" w:rsidP="0022427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Evita pleitos indevidos</w:t>
            </w:r>
          </w:p>
        </w:tc>
      </w:tr>
      <w:tr w:rsidR="00A3112D" w:rsidRPr="00B74E01" w14:paraId="07F74DD2" w14:textId="77777777" w:rsidTr="002E7EED">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388C4216" w14:textId="77777777" w:rsidR="00A3112D" w:rsidRPr="00B74E01" w:rsidRDefault="00A3112D" w:rsidP="0022427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Regras de glosa</w:t>
            </w:r>
          </w:p>
        </w:tc>
        <w:tc>
          <w:tcPr>
            <w:tcW w:w="0" w:type="auto"/>
            <w:tcBorders>
              <w:top w:val="single" w:sz="4" w:space="0" w:color="auto"/>
              <w:left w:val="single" w:sz="4" w:space="0" w:color="auto"/>
              <w:bottom w:val="single" w:sz="4" w:space="0" w:color="auto"/>
              <w:right w:val="single" w:sz="4" w:space="0" w:color="auto"/>
            </w:tcBorders>
            <w:vAlign w:val="center"/>
            <w:hideMark/>
          </w:tcPr>
          <w:p w14:paraId="77D02A65" w14:textId="77777777" w:rsidR="00A3112D" w:rsidRPr="00B74E01" w:rsidRDefault="00A3112D" w:rsidP="0022427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Protegem o interesse público</w:t>
            </w:r>
          </w:p>
        </w:tc>
      </w:tr>
      <w:tr w:rsidR="00A3112D" w:rsidRPr="00B74E01" w14:paraId="200A0784" w14:textId="77777777" w:rsidTr="002E7EED">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35711EC6" w14:textId="77777777" w:rsidR="00A3112D" w:rsidRPr="00B74E01" w:rsidRDefault="00A3112D" w:rsidP="0022427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lastRenderedPageBreak/>
              <w:t>Procedimento de reequilíbrio</w:t>
            </w:r>
          </w:p>
        </w:tc>
        <w:tc>
          <w:tcPr>
            <w:tcW w:w="0" w:type="auto"/>
            <w:tcBorders>
              <w:top w:val="single" w:sz="4" w:space="0" w:color="auto"/>
              <w:left w:val="single" w:sz="4" w:space="0" w:color="auto"/>
              <w:bottom w:val="single" w:sz="4" w:space="0" w:color="auto"/>
              <w:right w:val="single" w:sz="4" w:space="0" w:color="auto"/>
            </w:tcBorders>
            <w:vAlign w:val="center"/>
            <w:hideMark/>
          </w:tcPr>
          <w:p w14:paraId="4FB64F38" w14:textId="77777777" w:rsidR="00A3112D" w:rsidRPr="00B74E01" w:rsidRDefault="00A3112D" w:rsidP="00224275">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Garante segurança jurídica</w:t>
            </w:r>
          </w:p>
        </w:tc>
      </w:tr>
    </w:tbl>
    <w:p w14:paraId="3BCF0335"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 retirada desses elementos pode comprometer a </w:t>
      </w:r>
      <w:proofErr w:type="spellStart"/>
      <w:r w:rsidRPr="00B74E01">
        <w:rPr>
          <w:rFonts w:eastAsia="Times New Roman" w:cs="Arial"/>
          <w:kern w:val="0"/>
          <w:lang w:eastAsia="pt-BR"/>
          <w14:ligatures w14:val="none"/>
        </w:rPr>
        <w:t>bancabilidade</w:t>
      </w:r>
      <w:proofErr w:type="spellEnd"/>
      <w:r w:rsidRPr="00B74E01">
        <w:rPr>
          <w:rFonts w:eastAsia="Times New Roman" w:cs="Arial"/>
          <w:kern w:val="0"/>
          <w:lang w:eastAsia="pt-BR"/>
          <w14:ligatures w14:val="none"/>
        </w:rPr>
        <w:t xml:space="preserve"> ou enfraquecer a defesa do projeto.</w:t>
      </w:r>
    </w:p>
    <w:p w14:paraId="0F5E05F2" w14:textId="77777777" w:rsidR="00A3112D" w:rsidRPr="00B74E01" w:rsidRDefault="00A3112D" w:rsidP="00224275">
      <w:pPr>
        <w:pStyle w:val="Ttulo2"/>
        <w:rPr>
          <w:rFonts w:eastAsia="Times New Roman"/>
          <w:lang w:eastAsia="pt-BR"/>
        </w:rPr>
      </w:pPr>
      <w:bookmarkStart w:id="241" w:name="_Toc230204243"/>
      <w:r w:rsidRPr="00B74E01">
        <w:rPr>
          <w:rFonts w:eastAsia="Times New Roman"/>
          <w:lang w:eastAsia="pt-BR"/>
        </w:rPr>
        <w:t>18.8. Conclusão final da viabilidade</w:t>
      </w:r>
      <w:bookmarkEnd w:id="241"/>
    </w:p>
    <w:p w14:paraId="2516D308"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modelagem econômico-financeira indica que a PPP é preliminarmente viável, desde que estruturada com garantias adequadas, matriz de riscos clara, separação entre receitas principais e acessórias, tratamento jurídico-regulatório adequado da rubrica energética e exigência de comprovação técnica e financeira pelos licitantes.</w:t>
      </w:r>
    </w:p>
    <w:p w14:paraId="77AAA3A2"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No cenário mínimo, a operação fecha positivamente, mas com margem restrita. No cenário ampliado, com receitas acessórias, a operação torna-se robusta e atrativa.</w:t>
      </w:r>
    </w:p>
    <w:p w14:paraId="685473DD"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principal vantagem pública está na possibilidade de o Município reorganizar duas despesas e obrigações relevantes — energia elétrica e destinação de RSU — em uma solução integrada, capaz de gerar economia, investimento privado, tratamento ambiental, inovação e potencial de retorno ao Fundo Municipal de Meio Ambiente e Tecnologia Pública.</w:t>
      </w:r>
    </w:p>
    <w:p w14:paraId="0AEDC26D"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conclusão técnica é favorável à continuidade da estruturação, desde que o caderno não seja apresentado como promessa de resultado garantido, mas como modelagem prudente, auditável e defensável.</w:t>
      </w:r>
    </w:p>
    <w:p w14:paraId="5E487A9B"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 PPP deve ser defendida pelo conjunto da solução: </w:t>
      </w:r>
      <w:r w:rsidRPr="00B74E01">
        <w:rPr>
          <w:rFonts w:eastAsia="Times New Roman" w:cs="Arial"/>
          <w:b/>
          <w:bCs/>
          <w:kern w:val="0"/>
          <w:lang w:eastAsia="pt-BR"/>
          <w14:ligatures w14:val="none"/>
        </w:rPr>
        <w:t>tratamento do RSU, economia energética, redução de passivo ambiental, investimento privado, governança contratual, matriz de riscos e potencial de receitas acessórias</w:t>
      </w:r>
      <w:r w:rsidRPr="00B74E01">
        <w:rPr>
          <w:rFonts w:eastAsia="Times New Roman" w:cs="Arial"/>
          <w:kern w:val="0"/>
          <w:lang w:eastAsia="pt-BR"/>
          <w14:ligatures w14:val="none"/>
        </w:rPr>
        <w:t>. Essa é a leitura que melhor resiste à análise de investidores, financiadores, banca avaliadora, Tribunal de Contas e Ministério Público.</w:t>
      </w:r>
    </w:p>
    <w:p w14:paraId="1D947031" w14:textId="2B7EA915" w:rsidR="00A3112D" w:rsidRDefault="00A3112D" w:rsidP="00B74E01">
      <w:pPr>
        <w:spacing w:after="0" w:line="360" w:lineRule="auto"/>
        <w:ind w:firstLine="709"/>
        <w:jc w:val="both"/>
        <w:rPr>
          <w:rFonts w:eastAsia="Times New Roman" w:cs="Arial"/>
          <w:kern w:val="0"/>
          <w:lang w:eastAsia="pt-BR"/>
          <w14:ligatures w14:val="none"/>
        </w:rPr>
      </w:pPr>
    </w:p>
    <w:p w14:paraId="0DD27A5C" w14:textId="77777777" w:rsidR="00116C3A" w:rsidRDefault="00116C3A" w:rsidP="00B74E01">
      <w:pPr>
        <w:spacing w:after="0" w:line="360" w:lineRule="auto"/>
        <w:ind w:firstLine="709"/>
        <w:jc w:val="both"/>
        <w:rPr>
          <w:rFonts w:eastAsia="Times New Roman" w:cs="Arial"/>
          <w:kern w:val="0"/>
          <w:lang w:eastAsia="pt-BR"/>
          <w14:ligatures w14:val="none"/>
        </w:rPr>
      </w:pPr>
    </w:p>
    <w:p w14:paraId="258D2A9C" w14:textId="77777777" w:rsidR="00116C3A" w:rsidRPr="00B74E01" w:rsidRDefault="00116C3A" w:rsidP="00B74E01">
      <w:pPr>
        <w:spacing w:after="0" w:line="360" w:lineRule="auto"/>
        <w:ind w:firstLine="709"/>
        <w:jc w:val="both"/>
        <w:rPr>
          <w:rFonts w:eastAsia="Times New Roman" w:cs="Arial"/>
          <w:kern w:val="0"/>
          <w:lang w:eastAsia="pt-BR"/>
          <w14:ligatures w14:val="none"/>
        </w:rPr>
      </w:pPr>
    </w:p>
    <w:p w14:paraId="1A05FEB4" w14:textId="77777777" w:rsidR="00A3112D" w:rsidRPr="00B74E01" w:rsidRDefault="00A3112D" w:rsidP="00116C3A">
      <w:pPr>
        <w:pStyle w:val="Ttulo1"/>
        <w:rPr>
          <w:rFonts w:eastAsia="Times New Roman"/>
          <w:lang w:eastAsia="pt-BR"/>
        </w:rPr>
      </w:pPr>
      <w:bookmarkStart w:id="242" w:name="_Toc230204244"/>
      <w:r w:rsidRPr="00B74E01">
        <w:rPr>
          <w:rFonts w:eastAsia="Times New Roman"/>
          <w:lang w:eastAsia="pt-BR"/>
        </w:rPr>
        <w:lastRenderedPageBreak/>
        <w:t>19. Diretrizes para Edital, Licitação e Propostas dos Concorrentes</w:t>
      </w:r>
      <w:bookmarkEnd w:id="242"/>
    </w:p>
    <w:p w14:paraId="7308F9FB"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modelagem econômico-financeira somente terá utilidade prática se suas premissas forem corretamente refletidas no edital, na minuta contratual, nos anexos técnicos e nos critérios de julgamento da licitação.</w:t>
      </w:r>
    </w:p>
    <w:p w14:paraId="3A6B1409"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finalidade deste tópico é indicar as diretrizes mínimas que deverão orientar a futura licitação, assegurando que os concorrentes apresentem propostas tecnicamente consistentes, financeiramente exequíveis e compatíveis com os riscos assumidos.</w:t>
      </w:r>
    </w:p>
    <w:p w14:paraId="38EC6EDE"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O edital não deve engessar soluções nem direcionar fornecedores. Deve, contudo, exigir comprovação suficiente de capacidade técnica, econômica, financeira, operacional e regulatória, de modo a proteger o Município </w:t>
      </w:r>
      <w:proofErr w:type="gramStart"/>
      <w:r w:rsidRPr="00B74E01">
        <w:rPr>
          <w:rFonts w:eastAsia="Times New Roman" w:cs="Arial"/>
          <w:kern w:val="0"/>
          <w:lang w:eastAsia="pt-BR"/>
          <w14:ligatures w14:val="none"/>
        </w:rPr>
        <w:t>contra propostas</w:t>
      </w:r>
      <w:proofErr w:type="gramEnd"/>
      <w:r w:rsidRPr="00B74E01">
        <w:rPr>
          <w:rFonts w:eastAsia="Times New Roman" w:cs="Arial"/>
          <w:kern w:val="0"/>
          <w:lang w:eastAsia="pt-BR"/>
          <w14:ligatures w14:val="none"/>
        </w:rPr>
        <w:t xml:space="preserve"> aventureiras, subdimensionadas ou incompatíveis com a complexidade da PPP.</w:t>
      </w:r>
    </w:p>
    <w:p w14:paraId="23103DE3" w14:textId="77777777" w:rsidR="00A3112D" w:rsidRPr="00B74E01" w:rsidRDefault="00A3112D" w:rsidP="00116C3A">
      <w:pPr>
        <w:pStyle w:val="Ttulo2"/>
        <w:rPr>
          <w:rFonts w:eastAsia="Times New Roman"/>
          <w:lang w:eastAsia="pt-BR"/>
        </w:rPr>
      </w:pPr>
      <w:bookmarkStart w:id="243" w:name="_Toc230204245"/>
      <w:r w:rsidRPr="00B74E01">
        <w:rPr>
          <w:rFonts w:eastAsia="Times New Roman"/>
          <w:lang w:eastAsia="pt-BR"/>
        </w:rPr>
        <w:t>19.1. Princípios para estruturação do edital</w:t>
      </w:r>
      <w:bookmarkEnd w:id="243"/>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547"/>
        <w:gridCol w:w="6514"/>
      </w:tblGrid>
      <w:tr w:rsidR="00A3112D" w:rsidRPr="00B74E01" w14:paraId="2CD60A38" w14:textId="77777777" w:rsidTr="002E7EED">
        <w:trPr>
          <w:tblHeader/>
          <w:tblCellSpacing w:w="15" w:type="dxa"/>
        </w:trPr>
        <w:tc>
          <w:tcPr>
            <w:tcW w:w="0" w:type="auto"/>
            <w:vAlign w:val="center"/>
            <w:hideMark/>
          </w:tcPr>
          <w:p w14:paraId="4122F8D8" w14:textId="77777777" w:rsidR="00A3112D" w:rsidRPr="00B74E01" w:rsidRDefault="00A3112D" w:rsidP="00116C3A">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Princípio</w:t>
            </w:r>
          </w:p>
        </w:tc>
        <w:tc>
          <w:tcPr>
            <w:tcW w:w="0" w:type="auto"/>
            <w:vAlign w:val="center"/>
            <w:hideMark/>
          </w:tcPr>
          <w:p w14:paraId="75B145F7" w14:textId="77777777" w:rsidR="00A3112D" w:rsidRPr="00B74E01" w:rsidRDefault="00A3112D" w:rsidP="00116C3A">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Aplicação prática</w:t>
            </w:r>
          </w:p>
        </w:tc>
      </w:tr>
      <w:tr w:rsidR="00A3112D" w:rsidRPr="00B74E01" w14:paraId="14128F47" w14:textId="77777777" w:rsidTr="002E7EED">
        <w:trPr>
          <w:tblCellSpacing w:w="15" w:type="dxa"/>
        </w:trPr>
        <w:tc>
          <w:tcPr>
            <w:tcW w:w="0" w:type="auto"/>
            <w:vAlign w:val="center"/>
            <w:hideMark/>
          </w:tcPr>
          <w:p w14:paraId="2A52D8FE" w14:textId="77777777" w:rsidR="00A3112D" w:rsidRPr="00B74E01" w:rsidRDefault="00A3112D" w:rsidP="00116C3A">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Competitividade</w:t>
            </w:r>
          </w:p>
        </w:tc>
        <w:tc>
          <w:tcPr>
            <w:tcW w:w="0" w:type="auto"/>
            <w:vAlign w:val="center"/>
            <w:hideMark/>
          </w:tcPr>
          <w:p w14:paraId="475B4929" w14:textId="77777777" w:rsidR="00A3112D" w:rsidRPr="00B74E01" w:rsidRDefault="00A3112D" w:rsidP="00116C3A">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Evitar exigências desnecessariamente restritivas ou direcionadas</w:t>
            </w:r>
          </w:p>
        </w:tc>
      </w:tr>
      <w:tr w:rsidR="00A3112D" w:rsidRPr="00B74E01" w14:paraId="1150ED80" w14:textId="77777777" w:rsidTr="002E7EED">
        <w:trPr>
          <w:tblCellSpacing w:w="15" w:type="dxa"/>
        </w:trPr>
        <w:tc>
          <w:tcPr>
            <w:tcW w:w="0" w:type="auto"/>
            <w:vAlign w:val="center"/>
            <w:hideMark/>
          </w:tcPr>
          <w:p w14:paraId="270F410E" w14:textId="77777777" w:rsidR="00A3112D" w:rsidRPr="00B74E01" w:rsidRDefault="00A3112D" w:rsidP="00116C3A">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Segurança técnica</w:t>
            </w:r>
          </w:p>
        </w:tc>
        <w:tc>
          <w:tcPr>
            <w:tcW w:w="0" w:type="auto"/>
            <w:vAlign w:val="center"/>
            <w:hideMark/>
          </w:tcPr>
          <w:p w14:paraId="0F3F7AA6" w14:textId="77777777" w:rsidR="00A3112D" w:rsidRPr="00B74E01" w:rsidRDefault="00A3112D" w:rsidP="00116C3A">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Exigir comprovação de tecnologia, desempenho e operação</w:t>
            </w:r>
          </w:p>
        </w:tc>
      </w:tr>
      <w:tr w:rsidR="00A3112D" w:rsidRPr="00B74E01" w14:paraId="77D23D63" w14:textId="77777777" w:rsidTr="002E7EED">
        <w:trPr>
          <w:tblCellSpacing w:w="15" w:type="dxa"/>
        </w:trPr>
        <w:tc>
          <w:tcPr>
            <w:tcW w:w="0" w:type="auto"/>
            <w:vAlign w:val="center"/>
            <w:hideMark/>
          </w:tcPr>
          <w:p w14:paraId="68B40E01" w14:textId="77777777" w:rsidR="00A3112D" w:rsidRPr="00B74E01" w:rsidRDefault="00A3112D" w:rsidP="00116C3A">
            <w:pPr>
              <w:spacing w:after="0" w:line="360" w:lineRule="auto"/>
              <w:jc w:val="both"/>
              <w:rPr>
                <w:rFonts w:eastAsia="Times New Roman" w:cs="Arial"/>
                <w:kern w:val="0"/>
                <w:lang w:eastAsia="pt-BR"/>
                <w14:ligatures w14:val="none"/>
              </w:rPr>
            </w:pPr>
            <w:proofErr w:type="spellStart"/>
            <w:r w:rsidRPr="00B74E01">
              <w:rPr>
                <w:rFonts w:eastAsia="Times New Roman" w:cs="Arial"/>
                <w:kern w:val="0"/>
                <w:lang w:eastAsia="pt-BR"/>
                <w14:ligatures w14:val="none"/>
              </w:rPr>
              <w:t>Bancabilidade</w:t>
            </w:r>
            <w:proofErr w:type="spellEnd"/>
          </w:p>
        </w:tc>
        <w:tc>
          <w:tcPr>
            <w:tcW w:w="0" w:type="auto"/>
            <w:vAlign w:val="center"/>
            <w:hideMark/>
          </w:tcPr>
          <w:p w14:paraId="5E8A39A4" w14:textId="77777777" w:rsidR="00A3112D" w:rsidRPr="00B74E01" w:rsidRDefault="00A3112D" w:rsidP="00116C3A">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Garantir receita principal protegida, matriz de riscos e garantias adequadas</w:t>
            </w:r>
          </w:p>
        </w:tc>
      </w:tr>
      <w:tr w:rsidR="00A3112D" w:rsidRPr="00B74E01" w14:paraId="5DB3086D" w14:textId="77777777" w:rsidTr="002E7EED">
        <w:trPr>
          <w:tblCellSpacing w:w="15" w:type="dxa"/>
        </w:trPr>
        <w:tc>
          <w:tcPr>
            <w:tcW w:w="0" w:type="auto"/>
            <w:vAlign w:val="center"/>
            <w:hideMark/>
          </w:tcPr>
          <w:p w14:paraId="578A05FC" w14:textId="77777777" w:rsidR="00A3112D" w:rsidRPr="00B74E01" w:rsidRDefault="00A3112D" w:rsidP="00116C3A">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Prudência financeira</w:t>
            </w:r>
          </w:p>
        </w:tc>
        <w:tc>
          <w:tcPr>
            <w:tcW w:w="0" w:type="auto"/>
            <w:vAlign w:val="center"/>
            <w:hideMark/>
          </w:tcPr>
          <w:p w14:paraId="65147AAC" w14:textId="77777777" w:rsidR="00A3112D" w:rsidRPr="00B74E01" w:rsidRDefault="00A3112D" w:rsidP="00116C3A">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Separar receitas principais de receitas acessórias</w:t>
            </w:r>
          </w:p>
        </w:tc>
      </w:tr>
      <w:tr w:rsidR="00A3112D" w:rsidRPr="00B74E01" w14:paraId="63563B09" w14:textId="77777777" w:rsidTr="002E7EED">
        <w:trPr>
          <w:tblCellSpacing w:w="15" w:type="dxa"/>
        </w:trPr>
        <w:tc>
          <w:tcPr>
            <w:tcW w:w="0" w:type="auto"/>
            <w:vAlign w:val="center"/>
            <w:hideMark/>
          </w:tcPr>
          <w:p w14:paraId="385725AD" w14:textId="77777777" w:rsidR="00A3112D" w:rsidRPr="00B74E01" w:rsidRDefault="00A3112D" w:rsidP="00116C3A">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Auditabilidade</w:t>
            </w:r>
          </w:p>
        </w:tc>
        <w:tc>
          <w:tcPr>
            <w:tcW w:w="0" w:type="auto"/>
            <w:vAlign w:val="center"/>
            <w:hideMark/>
          </w:tcPr>
          <w:p w14:paraId="024D1CCB" w14:textId="77777777" w:rsidR="00A3112D" w:rsidRPr="00B74E01" w:rsidRDefault="00A3112D" w:rsidP="00116C3A">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Exigir memória de cálculo, critérios objetivos e documentos verificáveis</w:t>
            </w:r>
          </w:p>
        </w:tc>
      </w:tr>
      <w:tr w:rsidR="00A3112D" w:rsidRPr="00B74E01" w14:paraId="18AB0837" w14:textId="77777777" w:rsidTr="002E7EED">
        <w:trPr>
          <w:tblCellSpacing w:w="15" w:type="dxa"/>
        </w:trPr>
        <w:tc>
          <w:tcPr>
            <w:tcW w:w="0" w:type="auto"/>
            <w:vAlign w:val="center"/>
            <w:hideMark/>
          </w:tcPr>
          <w:p w14:paraId="7E23B750" w14:textId="77777777" w:rsidR="00A3112D" w:rsidRPr="00B74E01" w:rsidRDefault="00A3112D" w:rsidP="00116C3A">
            <w:pPr>
              <w:spacing w:after="0" w:line="360" w:lineRule="auto"/>
              <w:jc w:val="both"/>
              <w:rPr>
                <w:rFonts w:eastAsia="Times New Roman" w:cs="Arial"/>
                <w:kern w:val="0"/>
                <w:lang w:eastAsia="pt-BR"/>
                <w14:ligatures w14:val="none"/>
              </w:rPr>
            </w:pPr>
            <w:proofErr w:type="spellStart"/>
            <w:r w:rsidRPr="00B74E01">
              <w:rPr>
                <w:rFonts w:eastAsia="Times New Roman" w:cs="Arial"/>
                <w:kern w:val="0"/>
                <w:lang w:eastAsia="pt-BR"/>
                <w14:ligatures w14:val="none"/>
              </w:rPr>
              <w:t>Defensabilidade</w:t>
            </w:r>
            <w:proofErr w:type="spellEnd"/>
          </w:p>
        </w:tc>
        <w:tc>
          <w:tcPr>
            <w:tcW w:w="0" w:type="auto"/>
            <w:vAlign w:val="center"/>
            <w:hideMark/>
          </w:tcPr>
          <w:p w14:paraId="3B3C7040" w14:textId="77777777" w:rsidR="00A3112D" w:rsidRPr="00B74E01" w:rsidRDefault="00A3112D" w:rsidP="00116C3A">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Reduzir risco de impugnação por banca, Tribunal de Contas ou Ministério Público</w:t>
            </w:r>
          </w:p>
        </w:tc>
      </w:tr>
      <w:tr w:rsidR="00A3112D" w:rsidRPr="00B74E01" w14:paraId="165BD5CF" w14:textId="77777777" w:rsidTr="002E7EED">
        <w:trPr>
          <w:tblCellSpacing w:w="15" w:type="dxa"/>
        </w:trPr>
        <w:tc>
          <w:tcPr>
            <w:tcW w:w="0" w:type="auto"/>
            <w:vAlign w:val="center"/>
            <w:hideMark/>
          </w:tcPr>
          <w:p w14:paraId="7466EBF6" w14:textId="77777777" w:rsidR="00A3112D" w:rsidRPr="00B74E01" w:rsidRDefault="00A3112D" w:rsidP="00116C3A">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Flexibilidade controlada</w:t>
            </w:r>
          </w:p>
        </w:tc>
        <w:tc>
          <w:tcPr>
            <w:tcW w:w="0" w:type="auto"/>
            <w:vAlign w:val="center"/>
            <w:hideMark/>
          </w:tcPr>
          <w:p w14:paraId="2B772F3C" w14:textId="77777777" w:rsidR="00A3112D" w:rsidRPr="00B74E01" w:rsidRDefault="00A3112D" w:rsidP="00116C3A">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Permitir soluções equivalentes, desde que atendam aos requisitos mínimos</w:t>
            </w:r>
          </w:p>
        </w:tc>
      </w:tr>
      <w:tr w:rsidR="00A3112D" w:rsidRPr="00B74E01" w14:paraId="08C2106B" w14:textId="77777777" w:rsidTr="002E7EED">
        <w:trPr>
          <w:tblCellSpacing w:w="15" w:type="dxa"/>
        </w:trPr>
        <w:tc>
          <w:tcPr>
            <w:tcW w:w="0" w:type="auto"/>
            <w:vAlign w:val="center"/>
            <w:hideMark/>
          </w:tcPr>
          <w:p w14:paraId="5C2624D6" w14:textId="77777777" w:rsidR="00A3112D" w:rsidRPr="00B74E01" w:rsidRDefault="00A3112D" w:rsidP="00116C3A">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lastRenderedPageBreak/>
              <w:t>Responsabilidade privada</w:t>
            </w:r>
          </w:p>
        </w:tc>
        <w:tc>
          <w:tcPr>
            <w:tcW w:w="0" w:type="auto"/>
            <w:vAlign w:val="center"/>
            <w:hideMark/>
          </w:tcPr>
          <w:p w14:paraId="3E602040" w14:textId="77777777" w:rsidR="00A3112D" w:rsidRPr="00B74E01" w:rsidRDefault="00A3112D" w:rsidP="00116C3A">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Alocar à SPE riscos de CAPEX, OPEX, operação, tecnologia e receitas acessórias</w:t>
            </w:r>
          </w:p>
        </w:tc>
      </w:tr>
    </w:tbl>
    <w:p w14:paraId="17FC9232"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O edital deve buscar equilíbrio: ser robusto o suficiente para proteger o interesse público, mas flexível o bastante para permitir competição e inovação.</w:t>
      </w:r>
    </w:p>
    <w:p w14:paraId="2B97B73A" w14:textId="77777777" w:rsidR="00A3112D" w:rsidRPr="00B74E01" w:rsidRDefault="00A3112D" w:rsidP="00116C3A">
      <w:pPr>
        <w:pStyle w:val="Ttulo2"/>
        <w:rPr>
          <w:rFonts w:eastAsia="Times New Roman"/>
          <w:lang w:eastAsia="pt-BR"/>
        </w:rPr>
      </w:pPr>
      <w:bookmarkStart w:id="244" w:name="_Toc230204246"/>
      <w:r w:rsidRPr="00B74E01">
        <w:rPr>
          <w:rFonts w:eastAsia="Times New Roman"/>
          <w:lang w:eastAsia="pt-BR"/>
        </w:rPr>
        <w:t>19.2. Exigências mínimas da proposta técnica</w:t>
      </w:r>
      <w:bookmarkEnd w:id="244"/>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244"/>
        <w:gridCol w:w="5817"/>
      </w:tblGrid>
      <w:tr w:rsidR="00A3112D" w:rsidRPr="00B74E01" w14:paraId="15E1A22E" w14:textId="77777777" w:rsidTr="002E7EED">
        <w:trPr>
          <w:tblHeader/>
          <w:tblCellSpacing w:w="15" w:type="dxa"/>
        </w:trPr>
        <w:tc>
          <w:tcPr>
            <w:tcW w:w="0" w:type="auto"/>
            <w:vAlign w:val="center"/>
            <w:hideMark/>
          </w:tcPr>
          <w:p w14:paraId="765CF127" w14:textId="77777777" w:rsidR="00A3112D" w:rsidRPr="00B74E01" w:rsidRDefault="00A3112D" w:rsidP="00116C3A">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Item da proposta técnica</w:t>
            </w:r>
          </w:p>
        </w:tc>
        <w:tc>
          <w:tcPr>
            <w:tcW w:w="0" w:type="auto"/>
            <w:vAlign w:val="center"/>
            <w:hideMark/>
          </w:tcPr>
          <w:p w14:paraId="669C5123" w14:textId="77777777" w:rsidR="00A3112D" w:rsidRPr="00B74E01" w:rsidRDefault="00A3112D" w:rsidP="00116C3A">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Finalidade</w:t>
            </w:r>
          </w:p>
        </w:tc>
      </w:tr>
      <w:tr w:rsidR="00A3112D" w:rsidRPr="00B74E01" w14:paraId="1BD574D5" w14:textId="77777777" w:rsidTr="002E7EED">
        <w:trPr>
          <w:tblCellSpacing w:w="15" w:type="dxa"/>
        </w:trPr>
        <w:tc>
          <w:tcPr>
            <w:tcW w:w="0" w:type="auto"/>
            <w:vAlign w:val="center"/>
            <w:hideMark/>
          </w:tcPr>
          <w:p w14:paraId="0C1778DC" w14:textId="77777777" w:rsidR="00A3112D" w:rsidRPr="00B74E01" w:rsidRDefault="00A3112D" w:rsidP="00116C3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Descrição completa da solução tecnológica</w:t>
            </w:r>
          </w:p>
        </w:tc>
        <w:tc>
          <w:tcPr>
            <w:tcW w:w="0" w:type="auto"/>
            <w:vAlign w:val="center"/>
            <w:hideMark/>
          </w:tcPr>
          <w:p w14:paraId="7B844199" w14:textId="77777777" w:rsidR="00A3112D" w:rsidRPr="00B74E01" w:rsidRDefault="00A3112D" w:rsidP="00116C3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Demonstrar aderência ao objeto da PPP</w:t>
            </w:r>
          </w:p>
        </w:tc>
      </w:tr>
      <w:tr w:rsidR="00A3112D" w:rsidRPr="00B74E01" w14:paraId="1BA601E6" w14:textId="77777777" w:rsidTr="002E7EED">
        <w:trPr>
          <w:tblCellSpacing w:w="15" w:type="dxa"/>
        </w:trPr>
        <w:tc>
          <w:tcPr>
            <w:tcW w:w="0" w:type="auto"/>
            <w:vAlign w:val="center"/>
            <w:hideMark/>
          </w:tcPr>
          <w:p w14:paraId="66EFD8BB" w14:textId="77777777" w:rsidR="00A3112D" w:rsidRPr="00B74E01" w:rsidRDefault="00A3112D" w:rsidP="00116C3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Capacidade de tratamento de RSU</w:t>
            </w:r>
          </w:p>
        </w:tc>
        <w:tc>
          <w:tcPr>
            <w:tcW w:w="0" w:type="auto"/>
            <w:vAlign w:val="center"/>
            <w:hideMark/>
          </w:tcPr>
          <w:p w14:paraId="1A5A7778" w14:textId="77777777" w:rsidR="00A3112D" w:rsidRPr="00B74E01" w:rsidRDefault="00A3112D" w:rsidP="00116C3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Comprovar atendimento à quantidade mínima contratada de 80 t/dia</w:t>
            </w:r>
          </w:p>
        </w:tc>
      </w:tr>
      <w:tr w:rsidR="00A3112D" w:rsidRPr="00B74E01" w14:paraId="5CEA7E6E" w14:textId="77777777" w:rsidTr="002E7EED">
        <w:trPr>
          <w:tblCellSpacing w:w="15" w:type="dxa"/>
        </w:trPr>
        <w:tc>
          <w:tcPr>
            <w:tcW w:w="0" w:type="auto"/>
            <w:vAlign w:val="center"/>
            <w:hideMark/>
          </w:tcPr>
          <w:p w14:paraId="4AA39D16" w14:textId="77777777" w:rsidR="00A3112D" w:rsidRPr="00B74E01" w:rsidRDefault="00A3112D" w:rsidP="00116C3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Fluxograma operacional</w:t>
            </w:r>
          </w:p>
        </w:tc>
        <w:tc>
          <w:tcPr>
            <w:tcW w:w="0" w:type="auto"/>
            <w:vAlign w:val="center"/>
            <w:hideMark/>
          </w:tcPr>
          <w:p w14:paraId="01CE283E" w14:textId="77777777" w:rsidR="00A3112D" w:rsidRPr="00B74E01" w:rsidRDefault="00A3112D" w:rsidP="00116C3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Demonstrar etapas de recebimento, pesagem, tratamento, geração energética e subprodutos</w:t>
            </w:r>
          </w:p>
        </w:tc>
      </w:tr>
      <w:tr w:rsidR="00A3112D" w:rsidRPr="00B74E01" w14:paraId="07C8AD6C" w14:textId="77777777" w:rsidTr="002E7EED">
        <w:trPr>
          <w:tblCellSpacing w:w="15" w:type="dxa"/>
        </w:trPr>
        <w:tc>
          <w:tcPr>
            <w:tcW w:w="0" w:type="auto"/>
            <w:vAlign w:val="center"/>
            <w:hideMark/>
          </w:tcPr>
          <w:p w14:paraId="2B012CBD" w14:textId="77777777" w:rsidR="00A3112D" w:rsidRPr="00B74E01" w:rsidRDefault="00A3112D" w:rsidP="00116C3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Layout preliminar da planta</w:t>
            </w:r>
          </w:p>
        </w:tc>
        <w:tc>
          <w:tcPr>
            <w:tcW w:w="0" w:type="auto"/>
            <w:vAlign w:val="center"/>
            <w:hideMark/>
          </w:tcPr>
          <w:p w14:paraId="671E12EB" w14:textId="77777777" w:rsidR="00A3112D" w:rsidRPr="00B74E01" w:rsidRDefault="00A3112D" w:rsidP="00116C3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Comprovar compatibilidade com a área de 7 hectares</w:t>
            </w:r>
          </w:p>
        </w:tc>
      </w:tr>
      <w:tr w:rsidR="00A3112D" w:rsidRPr="00B74E01" w14:paraId="4D4C94ED" w14:textId="77777777" w:rsidTr="002E7EED">
        <w:trPr>
          <w:tblCellSpacing w:w="15" w:type="dxa"/>
        </w:trPr>
        <w:tc>
          <w:tcPr>
            <w:tcW w:w="0" w:type="auto"/>
            <w:vAlign w:val="center"/>
            <w:hideMark/>
          </w:tcPr>
          <w:p w14:paraId="38B1B8DD" w14:textId="77777777" w:rsidR="00A3112D" w:rsidRPr="00B74E01" w:rsidRDefault="00A3112D" w:rsidP="00116C3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Plano de implantação</w:t>
            </w:r>
          </w:p>
        </w:tc>
        <w:tc>
          <w:tcPr>
            <w:tcW w:w="0" w:type="auto"/>
            <w:vAlign w:val="center"/>
            <w:hideMark/>
          </w:tcPr>
          <w:p w14:paraId="150DCBB5" w14:textId="77777777" w:rsidR="00A3112D" w:rsidRPr="00B74E01" w:rsidRDefault="00A3112D" w:rsidP="00116C3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Demonstrar prazo, fases, cronograma físico e comissionamento</w:t>
            </w:r>
          </w:p>
        </w:tc>
      </w:tr>
      <w:tr w:rsidR="00A3112D" w:rsidRPr="00B74E01" w14:paraId="6C46760D" w14:textId="77777777" w:rsidTr="002E7EED">
        <w:trPr>
          <w:tblCellSpacing w:w="15" w:type="dxa"/>
        </w:trPr>
        <w:tc>
          <w:tcPr>
            <w:tcW w:w="0" w:type="auto"/>
            <w:vAlign w:val="center"/>
            <w:hideMark/>
          </w:tcPr>
          <w:p w14:paraId="0DFA2E74" w14:textId="77777777" w:rsidR="00A3112D" w:rsidRPr="00B74E01" w:rsidRDefault="00A3112D" w:rsidP="00116C3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Plano de operação assistida</w:t>
            </w:r>
          </w:p>
        </w:tc>
        <w:tc>
          <w:tcPr>
            <w:tcW w:w="0" w:type="auto"/>
            <w:vAlign w:val="center"/>
            <w:hideMark/>
          </w:tcPr>
          <w:p w14:paraId="51D4D043" w14:textId="77777777" w:rsidR="00A3112D" w:rsidRPr="00B74E01" w:rsidRDefault="00A3112D" w:rsidP="00116C3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Comprovar suporte mínimo de 1 ano</w:t>
            </w:r>
          </w:p>
        </w:tc>
      </w:tr>
      <w:tr w:rsidR="00A3112D" w:rsidRPr="00B74E01" w14:paraId="3AB22570" w14:textId="77777777" w:rsidTr="002E7EED">
        <w:trPr>
          <w:tblCellSpacing w:w="15" w:type="dxa"/>
        </w:trPr>
        <w:tc>
          <w:tcPr>
            <w:tcW w:w="0" w:type="auto"/>
            <w:vAlign w:val="center"/>
            <w:hideMark/>
          </w:tcPr>
          <w:p w14:paraId="662BB726" w14:textId="77777777" w:rsidR="00A3112D" w:rsidRPr="00B74E01" w:rsidRDefault="00A3112D" w:rsidP="00116C3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Plano de manutenção</w:t>
            </w:r>
          </w:p>
        </w:tc>
        <w:tc>
          <w:tcPr>
            <w:tcW w:w="0" w:type="auto"/>
            <w:vAlign w:val="center"/>
            <w:hideMark/>
          </w:tcPr>
          <w:p w14:paraId="361E1255" w14:textId="77777777" w:rsidR="00A3112D" w:rsidRPr="00B74E01" w:rsidRDefault="00A3112D" w:rsidP="00116C3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Reduzir risco de indisponibilidade</w:t>
            </w:r>
          </w:p>
        </w:tc>
      </w:tr>
      <w:tr w:rsidR="00A3112D" w:rsidRPr="00B74E01" w14:paraId="0CA75BF9" w14:textId="77777777" w:rsidTr="002E7EED">
        <w:trPr>
          <w:tblCellSpacing w:w="15" w:type="dxa"/>
        </w:trPr>
        <w:tc>
          <w:tcPr>
            <w:tcW w:w="0" w:type="auto"/>
            <w:vAlign w:val="center"/>
            <w:hideMark/>
          </w:tcPr>
          <w:p w14:paraId="5F531C5E" w14:textId="77777777" w:rsidR="00A3112D" w:rsidRPr="00B74E01" w:rsidRDefault="00A3112D" w:rsidP="00116C3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Plano de segurança do trabalho</w:t>
            </w:r>
          </w:p>
        </w:tc>
        <w:tc>
          <w:tcPr>
            <w:tcW w:w="0" w:type="auto"/>
            <w:vAlign w:val="center"/>
            <w:hideMark/>
          </w:tcPr>
          <w:p w14:paraId="12742475" w14:textId="77777777" w:rsidR="00A3112D" w:rsidRPr="00B74E01" w:rsidRDefault="00A3112D" w:rsidP="00116C3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Atender exigências legais e operacionais</w:t>
            </w:r>
          </w:p>
        </w:tc>
      </w:tr>
      <w:tr w:rsidR="00A3112D" w:rsidRPr="00B74E01" w14:paraId="0B8103F3" w14:textId="77777777" w:rsidTr="002E7EED">
        <w:trPr>
          <w:tblCellSpacing w:w="15" w:type="dxa"/>
        </w:trPr>
        <w:tc>
          <w:tcPr>
            <w:tcW w:w="0" w:type="auto"/>
            <w:vAlign w:val="center"/>
            <w:hideMark/>
          </w:tcPr>
          <w:p w14:paraId="0B800D2B" w14:textId="77777777" w:rsidR="00A3112D" w:rsidRPr="00B74E01" w:rsidRDefault="00A3112D" w:rsidP="00116C3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Plano ambiental</w:t>
            </w:r>
          </w:p>
        </w:tc>
        <w:tc>
          <w:tcPr>
            <w:tcW w:w="0" w:type="auto"/>
            <w:vAlign w:val="center"/>
            <w:hideMark/>
          </w:tcPr>
          <w:p w14:paraId="4A85D674" w14:textId="77777777" w:rsidR="00A3112D" w:rsidRPr="00B74E01" w:rsidRDefault="00A3112D" w:rsidP="00116C3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Demonstrar gestão de emissões, condicionantes, resíduos e monitoramento</w:t>
            </w:r>
          </w:p>
        </w:tc>
      </w:tr>
      <w:tr w:rsidR="00A3112D" w:rsidRPr="00B74E01" w14:paraId="5784E09F" w14:textId="77777777" w:rsidTr="002E7EED">
        <w:trPr>
          <w:tblCellSpacing w:w="15" w:type="dxa"/>
        </w:trPr>
        <w:tc>
          <w:tcPr>
            <w:tcW w:w="0" w:type="auto"/>
            <w:vAlign w:val="center"/>
            <w:hideMark/>
          </w:tcPr>
          <w:p w14:paraId="6F8132A7" w14:textId="77777777" w:rsidR="00A3112D" w:rsidRPr="00B74E01" w:rsidRDefault="00A3112D" w:rsidP="00116C3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Plano de controle de qualidade dos subprodutos</w:t>
            </w:r>
          </w:p>
        </w:tc>
        <w:tc>
          <w:tcPr>
            <w:tcW w:w="0" w:type="auto"/>
            <w:vAlign w:val="center"/>
            <w:hideMark/>
          </w:tcPr>
          <w:p w14:paraId="4A812568" w14:textId="77777777" w:rsidR="00A3112D" w:rsidRPr="00B74E01" w:rsidRDefault="00A3112D" w:rsidP="00116C3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Evitar receitas acessórias irreais ou sem base técnica</w:t>
            </w:r>
          </w:p>
        </w:tc>
      </w:tr>
    </w:tbl>
    <w:p w14:paraId="1FAA0570"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Essas exigências deverão ser apresentadas pelos concorrentes na fase própria da licitação, e não previamente à publicação do edital.</w:t>
      </w:r>
    </w:p>
    <w:p w14:paraId="589F4CB6" w14:textId="6936D580" w:rsidR="00A3112D" w:rsidRPr="00B74E01" w:rsidRDefault="00A3112D" w:rsidP="00B74E01">
      <w:pPr>
        <w:spacing w:after="0" w:line="360" w:lineRule="auto"/>
        <w:ind w:firstLine="709"/>
        <w:jc w:val="both"/>
        <w:rPr>
          <w:rFonts w:eastAsia="Times New Roman" w:cs="Arial"/>
          <w:kern w:val="0"/>
          <w:lang w:eastAsia="pt-BR"/>
          <w14:ligatures w14:val="none"/>
        </w:rPr>
      </w:pPr>
    </w:p>
    <w:p w14:paraId="724ED6B4" w14:textId="77777777" w:rsidR="00A3112D" w:rsidRPr="00B74E01" w:rsidRDefault="00A3112D" w:rsidP="00116C3A">
      <w:pPr>
        <w:pStyle w:val="Ttulo2"/>
        <w:rPr>
          <w:rFonts w:eastAsia="Times New Roman"/>
          <w:lang w:eastAsia="pt-BR"/>
        </w:rPr>
      </w:pPr>
      <w:bookmarkStart w:id="245" w:name="_Toc230204247"/>
      <w:r w:rsidRPr="00B74E01">
        <w:rPr>
          <w:rFonts w:eastAsia="Times New Roman"/>
          <w:lang w:eastAsia="pt-BR"/>
        </w:rPr>
        <w:lastRenderedPageBreak/>
        <w:t>19.3. Exigências sobre tecnologia e fornecedor</w:t>
      </w:r>
      <w:bookmarkEnd w:id="245"/>
    </w:p>
    <w:p w14:paraId="558FA981"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O edital poderá admitir a comprovação da experiência do fabricante, fornecedor, integrador ou operador da tecnologia, desde que a exigência seja objetiva, proporcional e não restritiva à competição.</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677"/>
        <w:gridCol w:w="4384"/>
      </w:tblGrid>
      <w:tr w:rsidR="00A3112D" w:rsidRPr="00B74E01" w14:paraId="3DEE1557" w14:textId="77777777" w:rsidTr="002E7EED">
        <w:trPr>
          <w:tblHeader/>
          <w:tblCellSpacing w:w="15" w:type="dxa"/>
        </w:trPr>
        <w:tc>
          <w:tcPr>
            <w:tcW w:w="0" w:type="auto"/>
            <w:vAlign w:val="center"/>
            <w:hideMark/>
          </w:tcPr>
          <w:p w14:paraId="0366AC48" w14:textId="77777777" w:rsidR="00A3112D" w:rsidRPr="00B74E01" w:rsidRDefault="00A3112D" w:rsidP="00116C3A">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Exigência possível</w:t>
            </w:r>
          </w:p>
        </w:tc>
        <w:tc>
          <w:tcPr>
            <w:tcW w:w="0" w:type="auto"/>
            <w:vAlign w:val="center"/>
            <w:hideMark/>
          </w:tcPr>
          <w:p w14:paraId="14EC07A6" w14:textId="77777777" w:rsidR="00A3112D" w:rsidRPr="00B74E01" w:rsidRDefault="00A3112D" w:rsidP="00116C3A">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Cuidado necessário</w:t>
            </w:r>
          </w:p>
        </w:tc>
      </w:tr>
      <w:tr w:rsidR="00A3112D" w:rsidRPr="00B74E01" w14:paraId="33289C09" w14:textId="77777777" w:rsidTr="002E7EED">
        <w:trPr>
          <w:tblCellSpacing w:w="15" w:type="dxa"/>
        </w:trPr>
        <w:tc>
          <w:tcPr>
            <w:tcW w:w="0" w:type="auto"/>
            <w:vAlign w:val="center"/>
            <w:hideMark/>
          </w:tcPr>
          <w:p w14:paraId="71B5809F" w14:textId="77777777" w:rsidR="00A3112D" w:rsidRPr="00B74E01" w:rsidRDefault="00A3112D" w:rsidP="00116C3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Experiência anterior do fabricante ou fornecedor</w:t>
            </w:r>
          </w:p>
        </w:tc>
        <w:tc>
          <w:tcPr>
            <w:tcW w:w="0" w:type="auto"/>
            <w:vAlign w:val="center"/>
            <w:hideMark/>
          </w:tcPr>
          <w:p w14:paraId="5B1441AE" w14:textId="77777777" w:rsidR="00A3112D" w:rsidRPr="00B74E01" w:rsidRDefault="00A3112D" w:rsidP="00116C3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Não direcionar para marca específica</w:t>
            </w:r>
          </w:p>
        </w:tc>
      </w:tr>
      <w:tr w:rsidR="00A3112D" w:rsidRPr="00B74E01" w14:paraId="7E144684" w14:textId="77777777" w:rsidTr="002E7EED">
        <w:trPr>
          <w:tblCellSpacing w:w="15" w:type="dxa"/>
        </w:trPr>
        <w:tc>
          <w:tcPr>
            <w:tcW w:w="0" w:type="auto"/>
            <w:vAlign w:val="center"/>
            <w:hideMark/>
          </w:tcPr>
          <w:p w14:paraId="37F6C75B" w14:textId="77777777" w:rsidR="00A3112D" w:rsidRPr="00B74E01" w:rsidRDefault="00A3112D" w:rsidP="00116C3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Garantia de desempenho dos equipamentos</w:t>
            </w:r>
          </w:p>
        </w:tc>
        <w:tc>
          <w:tcPr>
            <w:tcW w:w="0" w:type="auto"/>
            <w:vAlign w:val="center"/>
            <w:hideMark/>
          </w:tcPr>
          <w:p w14:paraId="114ACFD8" w14:textId="77777777" w:rsidR="00A3112D" w:rsidRPr="00B74E01" w:rsidRDefault="00A3112D" w:rsidP="00116C3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Definir parâmetros objetivos</w:t>
            </w:r>
          </w:p>
        </w:tc>
      </w:tr>
      <w:tr w:rsidR="00A3112D" w:rsidRPr="00B74E01" w14:paraId="132B1889" w14:textId="77777777" w:rsidTr="002E7EED">
        <w:trPr>
          <w:tblCellSpacing w:w="15" w:type="dxa"/>
        </w:trPr>
        <w:tc>
          <w:tcPr>
            <w:tcW w:w="0" w:type="auto"/>
            <w:vAlign w:val="center"/>
            <w:hideMark/>
          </w:tcPr>
          <w:p w14:paraId="6AE226DE" w14:textId="77777777" w:rsidR="00A3112D" w:rsidRPr="00B74E01" w:rsidRDefault="00A3112D" w:rsidP="00116C3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Manual de operação e manutenção</w:t>
            </w:r>
          </w:p>
        </w:tc>
        <w:tc>
          <w:tcPr>
            <w:tcW w:w="0" w:type="auto"/>
            <w:vAlign w:val="center"/>
            <w:hideMark/>
          </w:tcPr>
          <w:p w14:paraId="00FA08AA" w14:textId="77777777" w:rsidR="00A3112D" w:rsidRPr="00B74E01" w:rsidRDefault="00A3112D" w:rsidP="00116C3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Exigir na fase contratual ou de implantação</w:t>
            </w:r>
          </w:p>
        </w:tc>
      </w:tr>
      <w:tr w:rsidR="00A3112D" w:rsidRPr="00B74E01" w14:paraId="41E68AF4" w14:textId="77777777" w:rsidTr="002E7EED">
        <w:trPr>
          <w:tblCellSpacing w:w="15" w:type="dxa"/>
        </w:trPr>
        <w:tc>
          <w:tcPr>
            <w:tcW w:w="0" w:type="auto"/>
            <w:vAlign w:val="center"/>
            <w:hideMark/>
          </w:tcPr>
          <w:p w14:paraId="7758EAC7" w14:textId="77777777" w:rsidR="00A3112D" w:rsidRPr="00B74E01" w:rsidRDefault="00A3112D" w:rsidP="00116C3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Assistência técnica</w:t>
            </w:r>
          </w:p>
        </w:tc>
        <w:tc>
          <w:tcPr>
            <w:tcW w:w="0" w:type="auto"/>
            <w:vAlign w:val="center"/>
            <w:hideMark/>
          </w:tcPr>
          <w:p w14:paraId="2933C3AD" w14:textId="77777777" w:rsidR="00A3112D" w:rsidRPr="00B74E01" w:rsidRDefault="00A3112D" w:rsidP="00116C3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Prever prazo, escopo e responsabilidade</w:t>
            </w:r>
          </w:p>
        </w:tc>
      </w:tr>
      <w:tr w:rsidR="00A3112D" w:rsidRPr="00B74E01" w14:paraId="4A697D59" w14:textId="77777777" w:rsidTr="002E7EED">
        <w:trPr>
          <w:tblCellSpacing w:w="15" w:type="dxa"/>
        </w:trPr>
        <w:tc>
          <w:tcPr>
            <w:tcW w:w="0" w:type="auto"/>
            <w:vAlign w:val="center"/>
            <w:hideMark/>
          </w:tcPr>
          <w:p w14:paraId="446D9AF1" w14:textId="77777777" w:rsidR="00A3112D" w:rsidRPr="00B74E01" w:rsidRDefault="00A3112D" w:rsidP="00116C3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Operação assistida por 1 ano</w:t>
            </w:r>
          </w:p>
        </w:tc>
        <w:tc>
          <w:tcPr>
            <w:tcW w:w="0" w:type="auto"/>
            <w:vAlign w:val="center"/>
            <w:hideMark/>
          </w:tcPr>
          <w:p w14:paraId="3BDDE365" w14:textId="77777777" w:rsidR="00A3112D" w:rsidRPr="00B74E01" w:rsidRDefault="00A3112D" w:rsidP="00116C3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Exigir como obrigação da SPE ou fornecedor</w:t>
            </w:r>
          </w:p>
        </w:tc>
      </w:tr>
      <w:tr w:rsidR="00A3112D" w:rsidRPr="00B74E01" w14:paraId="75A3C7D1" w14:textId="77777777" w:rsidTr="002E7EED">
        <w:trPr>
          <w:tblCellSpacing w:w="15" w:type="dxa"/>
        </w:trPr>
        <w:tc>
          <w:tcPr>
            <w:tcW w:w="0" w:type="auto"/>
            <w:vAlign w:val="center"/>
            <w:hideMark/>
          </w:tcPr>
          <w:p w14:paraId="4BFA8923" w14:textId="77777777" w:rsidR="00A3112D" w:rsidRPr="00B74E01" w:rsidRDefault="00A3112D" w:rsidP="00116C3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Testes de aceitação e comissionamento</w:t>
            </w:r>
          </w:p>
        </w:tc>
        <w:tc>
          <w:tcPr>
            <w:tcW w:w="0" w:type="auto"/>
            <w:vAlign w:val="center"/>
            <w:hideMark/>
          </w:tcPr>
          <w:p w14:paraId="656BDA54" w14:textId="77777777" w:rsidR="00A3112D" w:rsidRPr="00B74E01" w:rsidRDefault="00A3112D" w:rsidP="00116C3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Condicionar início da operação plena</w:t>
            </w:r>
          </w:p>
        </w:tc>
      </w:tr>
      <w:tr w:rsidR="00A3112D" w:rsidRPr="00B74E01" w14:paraId="7F49E480" w14:textId="77777777" w:rsidTr="002E7EED">
        <w:trPr>
          <w:tblCellSpacing w:w="15" w:type="dxa"/>
        </w:trPr>
        <w:tc>
          <w:tcPr>
            <w:tcW w:w="0" w:type="auto"/>
            <w:vAlign w:val="center"/>
            <w:hideMark/>
          </w:tcPr>
          <w:p w14:paraId="27358E12" w14:textId="77777777" w:rsidR="00A3112D" w:rsidRPr="00B74E01" w:rsidRDefault="00A3112D" w:rsidP="00116C3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Treinamento da equipe local</w:t>
            </w:r>
          </w:p>
        </w:tc>
        <w:tc>
          <w:tcPr>
            <w:tcW w:w="0" w:type="auto"/>
            <w:vAlign w:val="center"/>
            <w:hideMark/>
          </w:tcPr>
          <w:p w14:paraId="4C9806CE" w14:textId="77777777" w:rsidR="00A3112D" w:rsidRPr="00B74E01" w:rsidRDefault="00A3112D" w:rsidP="00116C3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Incluir obrigação formal</w:t>
            </w:r>
          </w:p>
        </w:tc>
      </w:tr>
      <w:tr w:rsidR="00A3112D" w:rsidRPr="00B74E01" w14:paraId="6BCAAEF8" w14:textId="77777777" w:rsidTr="002E7EED">
        <w:trPr>
          <w:tblCellSpacing w:w="15" w:type="dxa"/>
        </w:trPr>
        <w:tc>
          <w:tcPr>
            <w:tcW w:w="0" w:type="auto"/>
            <w:vAlign w:val="center"/>
            <w:hideMark/>
          </w:tcPr>
          <w:p w14:paraId="50CFF045" w14:textId="77777777" w:rsidR="00A3112D" w:rsidRPr="00B74E01" w:rsidRDefault="00A3112D" w:rsidP="00116C3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Responsabilidade por integração</w:t>
            </w:r>
          </w:p>
        </w:tc>
        <w:tc>
          <w:tcPr>
            <w:tcW w:w="0" w:type="auto"/>
            <w:vAlign w:val="center"/>
            <w:hideMark/>
          </w:tcPr>
          <w:p w14:paraId="544164F3" w14:textId="77777777" w:rsidR="00A3112D" w:rsidRPr="00B74E01" w:rsidRDefault="00A3112D" w:rsidP="00116C3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 xml:space="preserve">Compatibilizar com modelo </w:t>
            </w:r>
            <w:proofErr w:type="spellStart"/>
            <w:r w:rsidRPr="00B74E01">
              <w:rPr>
                <w:rFonts w:eastAsia="Times New Roman" w:cs="Arial"/>
                <w:kern w:val="0"/>
                <w:lang w:eastAsia="pt-BR"/>
                <w14:ligatures w14:val="none"/>
              </w:rPr>
              <w:t>turnkey</w:t>
            </w:r>
            <w:proofErr w:type="spellEnd"/>
          </w:p>
        </w:tc>
      </w:tr>
    </w:tbl>
    <w:p w14:paraId="59A74120"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exigência de experiência do fabricante ou fornecedor é defensável quando vinculada à segurança técnica da PPP. O cuidado é não transformar essa exigência em barreira artificial à competitividade.</w:t>
      </w:r>
    </w:p>
    <w:p w14:paraId="6EA211E6" w14:textId="77777777" w:rsidR="00A3112D" w:rsidRPr="00B74E01" w:rsidRDefault="00A3112D" w:rsidP="00116C3A">
      <w:pPr>
        <w:pStyle w:val="Ttulo2"/>
        <w:rPr>
          <w:rFonts w:eastAsia="Times New Roman"/>
          <w:lang w:eastAsia="pt-BR"/>
        </w:rPr>
      </w:pPr>
      <w:bookmarkStart w:id="246" w:name="_Toc230204248"/>
      <w:r w:rsidRPr="00B74E01">
        <w:rPr>
          <w:rFonts w:eastAsia="Times New Roman"/>
          <w:lang w:eastAsia="pt-BR"/>
        </w:rPr>
        <w:t>19.4. Diretrizes para proposta econômico-financeira</w:t>
      </w:r>
      <w:bookmarkEnd w:id="246"/>
    </w:p>
    <w:p w14:paraId="5A9592A0"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proposta econômico-financeira dos licitantes deverá demonstrar a exequibilidade do projeto e a coerência entre CAPEX, OPEX, receitas, financiamento, garantias e riscos assumidos.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382"/>
        <w:gridCol w:w="5679"/>
      </w:tblGrid>
      <w:tr w:rsidR="00A3112D" w:rsidRPr="00B74E01" w14:paraId="0E354F60" w14:textId="77777777" w:rsidTr="002E7EED">
        <w:trPr>
          <w:tblHeader/>
          <w:tblCellSpacing w:w="15" w:type="dxa"/>
        </w:trPr>
        <w:tc>
          <w:tcPr>
            <w:tcW w:w="0" w:type="auto"/>
            <w:vAlign w:val="center"/>
            <w:hideMark/>
          </w:tcPr>
          <w:p w14:paraId="3726E30F" w14:textId="77777777" w:rsidR="00A3112D" w:rsidRPr="00B74E01" w:rsidRDefault="00A3112D" w:rsidP="00116C3A">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Documento ou informação</w:t>
            </w:r>
          </w:p>
        </w:tc>
        <w:tc>
          <w:tcPr>
            <w:tcW w:w="0" w:type="auto"/>
            <w:vAlign w:val="center"/>
            <w:hideMark/>
          </w:tcPr>
          <w:p w14:paraId="69E1959B" w14:textId="77777777" w:rsidR="00A3112D" w:rsidRPr="00B74E01" w:rsidRDefault="00A3112D" w:rsidP="00116C3A">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Finalidade</w:t>
            </w:r>
          </w:p>
        </w:tc>
      </w:tr>
      <w:tr w:rsidR="00A3112D" w:rsidRPr="00B74E01" w14:paraId="47649C4F" w14:textId="77777777" w:rsidTr="002E7EED">
        <w:trPr>
          <w:tblCellSpacing w:w="15" w:type="dxa"/>
        </w:trPr>
        <w:tc>
          <w:tcPr>
            <w:tcW w:w="0" w:type="auto"/>
            <w:vAlign w:val="center"/>
            <w:hideMark/>
          </w:tcPr>
          <w:p w14:paraId="2E32D737" w14:textId="77777777" w:rsidR="00A3112D" w:rsidRPr="00B74E01" w:rsidRDefault="00A3112D" w:rsidP="00116C3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Plano econômico-financeiro</w:t>
            </w:r>
          </w:p>
        </w:tc>
        <w:tc>
          <w:tcPr>
            <w:tcW w:w="0" w:type="auto"/>
            <w:vAlign w:val="center"/>
            <w:hideMark/>
          </w:tcPr>
          <w:p w14:paraId="6F771B70" w14:textId="77777777" w:rsidR="00A3112D" w:rsidRPr="00B74E01" w:rsidRDefault="00A3112D" w:rsidP="00116C3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Demonstrar viabilidade da proposta</w:t>
            </w:r>
          </w:p>
        </w:tc>
      </w:tr>
      <w:tr w:rsidR="00A3112D" w:rsidRPr="00B74E01" w14:paraId="51DDA2F2" w14:textId="77777777" w:rsidTr="002E7EED">
        <w:trPr>
          <w:tblCellSpacing w:w="15" w:type="dxa"/>
        </w:trPr>
        <w:tc>
          <w:tcPr>
            <w:tcW w:w="0" w:type="auto"/>
            <w:vAlign w:val="center"/>
            <w:hideMark/>
          </w:tcPr>
          <w:p w14:paraId="79CD7004" w14:textId="77777777" w:rsidR="00A3112D" w:rsidRPr="00B74E01" w:rsidRDefault="00A3112D" w:rsidP="00116C3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lastRenderedPageBreak/>
              <w:t>Composição do CAPEX</w:t>
            </w:r>
          </w:p>
        </w:tc>
        <w:tc>
          <w:tcPr>
            <w:tcW w:w="0" w:type="auto"/>
            <w:vAlign w:val="center"/>
            <w:hideMark/>
          </w:tcPr>
          <w:p w14:paraId="594F4A2E" w14:textId="77777777" w:rsidR="00A3112D" w:rsidRPr="00B74E01" w:rsidRDefault="00A3112D" w:rsidP="00116C3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Evidenciar custos de implantação</w:t>
            </w:r>
          </w:p>
        </w:tc>
      </w:tr>
      <w:tr w:rsidR="00A3112D" w:rsidRPr="00B74E01" w14:paraId="6EB08CD7" w14:textId="77777777" w:rsidTr="002E7EED">
        <w:trPr>
          <w:tblCellSpacing w:w="15" w:type="dxa"/>
        </w:trPr>
        <w:tc>
          <w:tcPr>
            <w:tcW w:w="0" w:type="auto"/>
            <w:vAlign w:val="center"/>
            <w:hideMark/>
          </w:tcPr>
          <w:p w14:paraId="3EC10EC2" w14:textId="77777777" w:rsidR="00A3112D" w:rsidRPr="00B74E01" w:rsidRDefault="00A3112D" w:rsidP="00116C3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Composição do OPEX</w:t>
            </w:r>
          </w:p>
        </w:tc>
        <w:tc>
          <w:tcPr>
            <w:tcW w:w="0" w:type="auto"/>
            <w:vAlign w:val="center"/>
            <w:hideMark/>
          </w:tcPr>
          <w:p w14:paraId="0F5FF116" w14:textId="77777777" w:rsidR="00A3112D" w:rsidRPr="00B74E01" w:rsidRDefault="00A3112D" w:rsidP="00116C3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Demonstrar custos de operação</w:t>
            </w:r>
          </w:p>
        </w:tc>
      </w:tr>
      <w:tr w:rsidR="00A3112D" w:rsidRPr="00B74E01" w14:paraId="64C62AD4" w14:textId="77777777" w:rsidTr="002E7EED">
        <w:trPr>
          <w:tblCellSpacing w:w="15" w:type="dxa"/>
        </w:trPr>
        <w:tc>
          <w:tcPr>
            <w:tcW w:w="0" w:type="auto"/>
            <w:vAlign w:val="center"/>
            <w:hideMark/>
          </w:tcPr>
          <w:p w14:paraId="0618089F" w14:textId="77777777" w:rsidR="00A3112D" w:rsidRPr="00B74E01" w:rsidRDefault="00A3112D" w:rsidP="00116C3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Estrutura de financiamento</w:t>
            </w:r>
          </w:p>
        </w:tc>
        <w:tc>
          <w:tcPr>
            <w:tcW w:w="0" w:type="auto"/>
            <w:vAlign w:val="center"/>
            <w:hideMark/>
          </w:tcPr>
          <w:p w14:paraId="630F809E" w14:textId="77777777" w:rsidR="00A3112D" w:rsidRPr="00B74E01" w:rsidRDefault="00A3112D" w:rsidP="00116C3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 xml:space="preserve">Indicar dívida, </w:t>
            </w:r>
            <w:proofErr w:type="spellStart"/>
            <w:r w:rsidRPr="00B74E01">
              <w:rPr>
                <w:rFonts w:eastAsia="Times New Roman" w:cs="Arial"/>
                <w:kern w:val="0"/>
                <w:lang w:eastAsia="pt-BR"/>
                <w14:ligatures w14:val="none"/>
              </w:rPr>
              <w:t>equity</w:t>
            </w:r>
            <w:proofErr w:type="spellEnd"/>
            <w:r w:rsidRPr="00B74E01">
              <w:rPr>
                <w:rFonts w:eastAsia="Times New Roman" w:cs="Arial"/>
                <w:kern w:val="0"/>
                <w:lang w:eastAsia="pt-BR"/>
                <w14:ligatures w14:val="none"/>
              </w:rPr>
              <w:t xml:space="preserve"> e fontes de recursos</w:t>
            </w:r>
          </w:p>
        </w:tc>
      </w:tr>
      <w:tr w:rsidR="00A3112D" w:rsidRPr="00B74E01" w14:paraId="7592D81A" w14:textId="77777777" w:rsidTr="002E7EED">
        <w:trPr>
          <w:tblCellSpacing w:w="15" w:type="dxa"/>
        </w:trPr>
        <w:tc>
          <w:tcPr>
            <w:tcW w:w="0" w:type="auto"/>
            <w:vAlign w:val="center"/>
            <w:hideMark/>
          </w:tcPr>
          <w:p w14:paraId="2165E368" w14:textId="77777777" w:rsidR="00A3112D" w:rsidRPr="00B74E01" w:rsidRDefault="00A3112D" w:rsidP="00116C3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Serviço da dívida estimado</w:t>
            </w:r>
          </w:p>
        </w:tc>
        <w:tc>
          <w:tcPr>
            <w:tcW w:w="0" w:type="auto"/>
            <w:vAlign w:val="center"/>
            <w:hideMark/>
          </w:tcPr>
          <w:p w14:paraId="5CD1BED5" w14:textId="77777777" w:rsidR="00A3112D" w:rsidRPr="00B74E01" w:rsidRDefault="00A3112D" w:rsidP="00116C3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Verificar capacidade de pagamento</w:t>
            </w:r>
          </w:p>
        </w:tc>
      </w:tr>
      <w:tr w:rsidR="00A3112D" w:rsidRPr="00B74E01" w14:paraId="27429650" w14:textId="77777777" w:rsidTr="002E7EED">
        <w:trPr>
          <w:tblCellSpacing w:w="15" w:type="dxa"/>
        </w:trPr>
        <w:tc>
          <w:tcPr>
            <w:tcW w:w="0" w:type="auto"/>
            <w:vAlign w:val="center"/>
            <w:hideMark/>
          </w:tcPr>
          <w:p w14:paraId="1D795EC6" w14:textId="77777777" w:rsidR="00A3112D" w:rsidRPr="00B74E01" w:rsidRDefault="00A3112D" w:rsidP="00116C3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Projeção de receitas principais</w:t>
            </w:r>
          </w:p>
        </w:tc>
        <w:tc>
          <w:tcPr>
            <w:tcW w:w="0" w:type="auto"/>
            <w:vAlign w:val="center"/>
            <w:hideMark/>
          </w:tcPr>
          <w:p w14:paraId="54359930" w14:textId="77777777" w:rsidR="00A3112D" w:rsidRPr="00B74E01" w:rsidRDefault="00A3112D" w:rsidP="00116C3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Demonstrar aderência ao contrato</w:t>
            </w:r>
          </w:p>
        </w:tc>
      </w:tr>
      <w:tr w:rsidR="00A3112D" w:rsidRPr="00B74E01" w14:paraId="5F912A04" w14:textId="77777777" w:rsidTr="002E7EED">
        <w:trPr>
          <w:tblCellSpacing w:w="15" w:type="dxa"/>
        </w:trPr>
        <w:tc>
          <w:tcPr>
            <w:tcW w:w="0" w:type="auto"/>
            <w:vAlign w:val="center"/>
            <w:hideMark/>
          </w:tcPr>
          <w:p w14:paraId="408D46AA" w14:textId="77777777" w:rsidR="00A3112D" w:rsidRPr="00B74E01" w:rsidRDefault="00A3112D" w:rsidP="00116C3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Projeção de receitas acessórias</w:t>
            </w:r>
          </w:p>
        </w:tc>
        <w:tc>
          <w:tcPr>
            <w:tcW w:w="0" w:type="auto"/>
            <w:vAlign w:val="center"/>
            <w:hideMark/>
          </w:tcPr>
          <w:p w14:paraId="06DCCC2A" w14:textId="77777777" w:rsidR="00A3112D" w:rsidRPr="00B74E01" w:rsidRDefault="00A3112D" w:rsidP="00116C3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Apresentar apenas como potencial econômico</w:t>
            </w:r>
          </w:p>
        </w:tc>
      </w:tr>
      <w:tr w:rsidR="00A3112D" w:rsidRPr="00B74E01" w14:paraId="0AA98AA4" w14:textId="77777777" w:rsidTr="002E7EED">
        <w:trPr>
          <w:tblCellSpacing w:w="15" w:type="dxa"/>
        </w:trPr>
        <w:tc>
          <w:tcPr>
            <w:tcW w:w="0" w:type="auto"/>
            <w:vAlign w:val="center"/>
            <w:hideMark/>
          </w:tcPr>
          <w:p w14:paraId="5F05D596" w14:textId="77777777" w:rsidR="00A3112D" w:rsidRPr="00B74E01" w:rsidRDefault="00A3112D" w:rsidP="00116C3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Sensibilidade financeira</w:t>
            </w:r>
          </w:p>
        </w:tc>
        <w:tc>
          <w:tcPr>
            <w:tcW w:w="0" w:type="auto"/>
            <w:vAlign w:val="center"/>
            <w:hideMark/>
          </w:tcPr>
          <w:p w14:paraId="7DDFB82D" w14:textId="77777777" w:rsidR="00A3112D" w:rsidRPr="00B74E01" w:rsidRDefault="00A3112D" w:rsidP="00116C3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Testar variações de juros, CAPEX, OPEX e acessórias</w:t>
            </w:r>
          </w:p>
        </w:tc>
      </w:tr>
      <w:tr w:rsidR="00A3112D" w:rsidRPr="00B74E01" w14:paraId="2EEC841E" w14:textId="77777777" w:rsidTr="002E7EED">
        <w:trPr>
          <w:tblCellSpacing w:w="15" w:type="dxa"/>
        </w:trPr>
        <w:tc>
          <w:tcPr>
            <w:tcW w:w="0" w:type="auto"/>
            <w:vAlign w:val="center"/>
            <w:hideMark/>
          </w:tcPr>
          <w:p w14:paraId="25386576" w14:textId="77777777" w:rsidR="00A3112D" w:rsidRPr="00B74E01" w:rsidRDefault="00A3112D" w:rsidP="00116C3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Demonstração de DSCR</w:t>
            </w:r>
          </w:p>
        </w:tc>
        <w:tc>
          <w:tcPr>
            <w:tcW w:w="0" w:type="auto"/>
            <w:vAlign w:val="center"/>
            <w:hideMark/>
          </w:tcPr>
          <w:p w14:paraId="7F9915F6" w14:textId="77777777" w:rsidR="00A3112D" w:rsidRPr="00B74E01" w:rsidRDefault="00A3112D" w:rsidP="00116C3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 xml:space="preserve">Avaliar </w:t>
            </w:r>
            <w:proofErr w:type="spellStart"/>
            <w:r w:rsidRPr="00B74E01">
              <w:rPr>
                <w:rFonts w:eastAsia="Times New Roman" w:cs="Arial"/>
                <w:kern w:val="0"/>
                <w:lang w:eastAsia="pt-BR"/>
                <w14:ligatures w14:val="none"/>
              </w:rPr>
              <w:t>bancabilidade</w:t>
            </w:r>
            <w:proofErr w:type="spellEnd"/>
          </w:p>
        </w:tc>
      </w:tr>
      <w:tr w:rsidR="00A3112D" w:rsidRPr="00B74E01" w14:paraId="10595D5A" w14:textId="77777777" w:rsidTr="002E7EED">
        <w:trPr>
          <w:tblCellSpacing w:w="15" w:type="dxa"/>
        </w:trPr>
        <w:tc>
          <w:tcPr>
            <w:tcW w:w="0" w:type="auto"/>
            <w:vAlign w:val="center"/>
            <w:hideMark/>
          </w:tcPr>
          <w:p w14:paraId="42952F37" w14:textId="77777777" w:rsidR="00A3112D" w:rsidRPr="00B74E01" w:rsidRDefault="00A3112D" w:rsidP="00116C3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Plano de garantias</w:t>
            </w:r>
          </w:p>
        </w:tc>
        <w:tc>
          <w:tcPr>
            <w:tcW w:w="0" w:type="auto"/>
            <w:vAlign w:val="center"/>
            <w:hideMark/>
          </w:tcPr>
          <w:p w14:paraId="70413349" w14:textId="77777777" w:rsidR="00A3112D" w:rsidRPr="00B74E01" w:rsidRDefault="00A3112D" w:rsidP="00116C3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Demonstrar segurança de execução e operação</w:t>
            </w:r>
          </w:p>
        </w:tc>
      </w:tr>
    </w:tbl>
    <w:p w14:paraId="4F5EF37A"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O edital deve impedir propostas artificialmente baixas, que pareçam vantajosas no preço, mas sejam inexequíveis tecnicamente ou financeiramente.</w:t>
      </w:r>
    </w:p>
    <w:p w14:paraId="4C483CBB" w14:textId="77777777" w:rsidR="00A3112D" w:rsidRPr="00B74E01" w:rsidRDefault="00A3112D" w:rsidP="00116C3A">
      <w:pPr>
        <w:pStyle w:val="Ttulo2"/>
        <w:rPr>
          <w:rFonts w:eastAsia="Times New Roman"/>
          <w:lang w:eastAsia="pt-BR"/>
        </w:rPr>
      </w:pPr>
      <w:bookmarkStart w:id="247" w:name="_Toc230204249"/>
      <w:r w:rsidRPr="00B74E01">
        <w:rPr>
          <w:rFonts w:eastAsia="Times New Roman"/>
          <w:lang w:eastAsia="pt-BR"/>
        </w:rPr>
        <w:t>19.5. Critérios de julgamento recomendáveis</w:t>
      </w:r>
      <w:bookmarkEnd w:id="247"/>
    </w:p>
    <w:p w14:paraId="0A4EAA0E"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 definição do critério de julgamento deverá ser compatível com a natureza da PPP. Em projetos complexos, a escolha não deve se limitar ao menor preço isolado se isso comprometer qualidade, segurança técnica e </w:t>
      </w:r>
      <w:proofErr w:type="spellStart"/>
      <w:r w:rsidRPr="00B74E01">
        <w:rPr>
          <w:rFonts w:eastAsia="Times New Roman" w:cs="Arial"/>
          <w:kern w:val="0"/>
          <w:lang w:eastAsia="pt-BR"/>
          <w14:ligatures w14:val="none"/>
        </w:rPr>
        <w:t>bancabilidade</w:t>
      </w:r>
      <w:proofErr w:type="spellEnd"/>
      <w:r w:rsidRPr="00B74E01">
        <w:rPr>
          <w:rFonts w:eastAsia="Times New Roman" w:cs="Arial"/>
          <w:kern w:val="0"/>
          <w:lang w:eastAsia="pt-BR"/>
          <w14:ligatures w14:val="none"/>
        </w:rPr>
        <w:t>.</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170"/>
        <w:gridCol w:w="4891"/>
      </w:tblGrid>
      <w:tr w:rsidR="00A3112D" w:rsidRPr="00B74E01" w14:paraId="104011CF" w14:textId="77777777" w:rsidTr="002E7EED">
        <w:trPr>
          <w:tblHeader/>
          <w:tblCellSpacing w:w="15" w:type="dxa"/>
        </w:trPr>
        <w:tc>
          <w:tcPr>
            <w:tcW w:w="0" w:type="auto"/>
            <w:vAlign w:val="center"/>
            <w:hideMark/>
          </w:tcPr>
          <w:p w14:paraId="06DE7F94" w14:textId="77777777" w:rsidR="00A3112D" w:rsidRPr="00B74E01" w:rsidRDefault="00A3112D" w:rsidP="003E105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Critério possível</w:t>
            </w:r>
          </w:p>
        </w:tc>
        <w:tc>
          <w:tcPr>
            <w:tcW w:w="0" w:type="auto"/>
            <w:vAlign w:val="center"/>
            <w:hideMark/>
          </w:tcPr>
          <w:p w14:paraId="20D115DA" w14:textId="77777777" w:rsidR="00A3112D" w:rsidRPr="00B74E01" w:rsidRDefault="00A3112D" w:rsidP="003E105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Observação</w:t>
            </w:r>
          </w:p>
        </w:tc>
      </w:tr>
      <w:tr w:rsidR="00A3112D" w:rsidRPr="00B74E01" w14:paraId="10136B08" w14:textId="77777777" w:rsidTr="002E7EED">
        <w:trPr>
          <w:tblCellSpacing w:w="15" w:type="dxa"/>
        </w:trPr>
        <w:tc>
          <w:tcPr>
            <w:tcW w:w="0" w:type="auto"/>
            <w:vAlign w:val="center"/>
            <w:hideMark/>
          </w:tcPr>
          <w:p w14:paraId="04F7DBDD" w14:textId="77777777" w:rsidR="00A3112D" w:rsidRPr="00B74E01" w:rsidRDefault="00A3112D" w:rsidP="003E105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Menor contraprestação pública</w:t>
            </w:r>
          </w:p>
        </w:tc>
        <w:tc>
          <w:tcPr>
            <w:tcW w:w="0" w:type="auto"/>
            <w:vAlign w:val="center"/>
            <w:hideMark/>
          </w:tcPr>
          <w:p w14:paraId="33BA6076" w14:textId="77777777" w:rsidR="00A3112D" w:rsidRPr="00B74E01" w:rsidRDefault="00A3112D" w:rsidP="003E105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Favorece modicidade, mas exige forte qualificação técnica</w:t>
            </w:r>
          </w:p>
        </w:tc>
      </w:tr>
      <w:tr w:rsidR="00A3112D" w:rsidRPr="00B74E01" w14:paraId="7FC8656B" w14:textId="77777777" w:rsidTr="002E7EED">
        <w:trPr>
          <w:tblCellSpacing w:w="15" w:type="dxa"/>
        </w:trPr>
        <w:tc>
          <w:tcPr>
            <w:tcW w:w="0" w:type="auto"/>
            <w:vAlign w:val="center"/>
            <w:hideMark/>
          </w:tcPr>
          <w:p w14:paraId="53FDD56A" w14:textId="77777777" w:rsidR="00A3112D" w:rsidRPr="00B74E01" w:rsidRDefault="00A3112D" w:rsidP="003E105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Maior desconto sobre referência energética</w:t>
            </w:r>
          </w:p>
        </w:tc>
        <w:tc>
          <w:tcPr>
            <w:tcW w:w="0" w:type="auto"/>
            <w:vAlign w:val="center"/>
            <w:hideMark/>
          </w:tcPr>
          <w:p w14:paraId="4BF13699" w14:textId="77777777" w:rsidR="00A3112D" w:rsidRPr="00B74E01" w:rsidRDefault="00A3112D" w:rsidP="003E105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Pode reforçar vantajosidade municipal</w:t>
            </w:r>
          </w:p>
        </w:tc>
      </w:tr>
      <w:tr w:rsidR="00A3112D" w:rsidRPr="00B74E01" w14:paraId="0C5D5674" w14:textId="77777777" w:rsidTr="002E7EED">
        <w:trPr>
          <w:tblCellSpacing w:w="15" w:type="dxa"/>
        </w:trPr>
        <w:tc>
          <w:tcPr>
            <w:tcW w:w="0" w:type="auto"/>
            <w:vAlign w:val="center"/>
            <w:hideMark/>
          </w:tcPr>
          <w:p w14:paraId="45E7B1E8" w14:textId="77777777" w:rsidR="00A3112D" w:rsidRPr="00B74E01" w:rsidRDefault="00A3112D" w:rsidP="003E105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Melhor combinação técnica e preço</w:t>
            </w:r>
          </w:p>
        </w:tc>
        <w:tc>
          <w:tcPr>
            <w:tcW w:w="0" w:type="auto"/>
            <w:vAlign w:val="center"/>
            <w:hideMark/>
          </w:tcPr>
          <w:p w14:paraId="64A0EAD2" w14:textId="77777777" w:rsidR="00A3112D" w:rsidRPr="00B74E01" w:rsidRDefault="00A3112D" w:rsidP="003E105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Pode ser adequada para tecnologia complexa</w:t>
            </w:r>
          </w:p>
        </w:tc>
      </w:tr>
      <w:tr w:rsidR="00A3112D" w:rsidRPr="00B74E01" w14:paraId="472A5E88" w14:textId="77777777" w:rsidTr="002E7EED">
        <w:trPr>
          <w:tblCellSpacing w:w="15" w:type="dxa"/>
        </w:trPr>
        <w:tc>
          <w:tcPr>
            <w:tcW w:w="0" w:type="auto"/>
            <w:vAlign w:val="center"/>
            <w:hideMark/>
          </w:tcPr>
          <w:p w14:paraId="73CA63A6" w14:textId="77777777" w:rsidR="00A3112D" w:rsidRPr="00B74E01" w:rsidRDefault="00A3112D" w:rsidP="003E105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Menor tarifa de destinação</w:t>
            </w:r>
          </w:p>
        </w:tc>
        <w:tc>
          <w:tcPr>
            <w:tcW w:w="0" w:type="auto"/>
            <w:vAlign w:val="center"/>
            <w:hideMark/>
          </w:tcPr>
          <w:p w14:paraId="365DCA65" w14:textId="77777777" w:rsidR="00A3112D" w:rsidRPr="00B74E01" w:rsidRDefault="00A3112D" w:rsidP="003E105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Deve preservar exequibilidade e qualidade</w:t>
            </w:r>
          </w:p>
        </w:tc>
      </w:tr>
      <w:tr w:rsidR="00A3112D" w:rsidRPr="00B74E01" w14:paraId="1DF35442" w14:textId="77777777" w:rsidTr="002E7EED">
        <w:trPr>
          <w:tblCellSpacing w:w="15" w:type="dxa"/>
        </w:trPr>
        <w:tc>
          <w:tcPr>
            <w:tcW w:w="0" w:type="auto"/>
            <w:vAlign w:val="center"/>
            <w:hideMark/>
          </w:tcPr>
          <w:p w14:paraId="3F795914" w14:textId="77777777" w:rsidR="00A3112D" w:rsidRPr="00B74E01" w:rsidRDefault="00A3112D" w:rsidP="003E105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lastRenderedPageBreak/>
              <w:t>Maior compartilhamento de receitas acessórias</w:t>
            </w:r>
          </w:p>
        </w:tc>
        <w:tc>
          <w:tcPr>
            <w:tcW w:w="0" w:type="auto"/>
            <w:vAlign w:val="center"/>
            <w:hideMark/>
          </w:tcPr>
          <w:p w14:paraId="2D5B2DA8" w14:textId="77777777" w:rsidR="00A3112D" w:rsidRPr="00B74E01" w:rsidRDefault="00A3112D" w:rsidP="003E105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Deve ser tratado com cautela</w:t>
            </w:r>
          </w:p>
        </w:tc>
      </w:tr>
      <w:tr w:rsidR="00A3112D" w:rsidRPr="00B74E01" w14:paraId="086CC388" w14:textId="77777777" w:rsidTr="002E7EED">
        <w:trPr>
          <w:tblCellSpacing w:w="15" w:type="dxa"/>
        </w:trPr>
        <w:tc>
          <w:tcPr>
            <w:tcW w:w="0" w:type="auto"/>
            <w:vAlign w:val="center"/>
            <w:hideMark/>
          </w:tcPr>
          <w:p w14:paraId="1AF433BB" w14:textId="77777777" w:rsidR="00A3112D" w:rsidRPr="00B74E01" w:rsidRDefault="00A3112D" w:rsidP="003E105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Melhor proposta econômica global</w:t>
            </w:r>
          </w:p>
        </w:tc>
        <w:tc>
          <w:tcPr>
            <w:tcW w:w="0" w:type="auto"/>
            <w:vAlign w:val="center"/>
            <w:hideMark/>
          </w:tcPr>
          <w:p w14:paraId="257158EA" w14:textId="77777777" w:rsidR="00A3112D" w:rsidRPr="00B74E01" w:rsidRDefault="00A3112D" w:rsidP="003E105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Pode capturar o conjunto da solução</w:t>
            </w:r>
          </w:p>
        </w:tc>
      </w:tr>
    </w:tbl>
    <w:p w14:paraId="4F95E690"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recomendação é que o edital utilize critério que preserve a vantajosidade global, evitando que uma proposta de menor valor comprometa a segurança operacional, ambiental ou financeira da PPP.</w:t>
      </w:r>
    </w:p>
    <w:p w14:paraId="53C73D15" w14:textId="77777777" w:rsidR="00A3112D" w:rsidRPr="00B74E01" w:rsidRDefault="00A3112D" w:rsidP="003E1054">
      <w:pPr>
        <w:pStyle w:val="Ttulo2"/>
        <w:rPr>
          <w:rFonts w:eastAsia="Times New Roman"/>
          <w:lang w:eastAsia="pt-BR"/>
        </w:rPr>
      </w:pPr>
      <w:bookmarkStart w:id="248" w:name="_Toc230204250"/>
      <w:r w:rsidRPr="00B74E01">
        <w:rPr>
          <w:rFonts w:eastAsia="Times New Roman"/>
          <w:lang w:eastAsia="pt-BR"/>
        </w:rPr>
        <w:t>19.6. Pontos que não devem ser deixados em aberto</w:t>
      </w:r>
      <w:bookmarkEnd w:id="248"/>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364"/>
        <w:gridCol w:w="4697"/>
      </w:tblGrid>
      <w:tr w:rsidR="00A3112D" w:rsidRPr="00B74E01" w14:paraId="45A0BEE0" w14:textId="77777777" w:rsidTr="002E7EED">
        <w:trPr>
          <w:tblHeader/>
          <w:tblCellSpacing w:w="15" w:type="dxa"/>
        </w:trPr>
        <w:tc>
          <w:tcPr>
            <w:tcW w:w="0" w:type="auto"/>
            <w:vAlign w:val="center"/>
            <w:hideMark/>
          </w:tcPr>
          <w:p w14:paraId="1D7F289F" w14:textId="77777777" w:rsidR="00A3112D" w:rsidRPr="00B74E01" w:rsidRDefault="00A3112D" w:rsidP="003E105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Ponto crítico</w:t>
            </w:r>
          </w:p>
        </w:tc>
        <w:tc>
          <w:tcPr>
            <w:tcW w:w="0" w:type="auto"/>
            <w:vAlign w:val="center"/>
            <w:hideMark/>
          </w:tcPr>
          <w:p w14:paraId="32461502" w14:textId="77777777" w:rsidR="00A3112D" w:rsidRPr="00B74E01" w:rsidRDefault="00A3112D" w:rsidP="003E1054">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Risco se ficar indefinido</w:t>
            </w:r>
          </w:p>
        </w:tc>
      </w:tr>
      <w:tr w:rsidR="00A3112D" w:rsidRPr="00B74E01" w14:paraId="182911EA" w14:textId="77777777" w:rsidTr="002E7EED">
        <w:trPr>
          <w:tblCellSpacing w:w="15" w:type="dxa"/>
        </w:trPr>
        <w:tc>
          <w:tcPr>
            <w:tcW w:w="0" w:type="auto"/>
            <w:vAlign w:val="center"/>
            <w:hideMark/>
          </w:tcPr>
          <w:p w14:paraId="42C76659" w14:textId="77777777" w:rsidR="00A3112D" w:rsidRPr="00B74E01" w:rsidRDefault="00A3112D" w:rsidP="003E105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Quantidade mínima contratada de 80 t/dia</w:t>
            </w:r>
          </w:p>
        </w:tc>
        <w:tc>
          <w:tcPr>
            <w:tcW w:w="0" w:type="auto"/>
            <w:vAlign w:val="center"/>
            <w:hideMark/>
          </w:tcPr>
          <w:p w14:paraId="76AE4F67" w14:textId="77777777" w:rsidR="00A3112D" w:rsidRPr="00B74E01" w:rsidRDefault="00A3112D" w:rsidP="003E105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 xml:space="preserve">Risco de demanda e perda de </w:t>
            </w:r>
            <w:proofErr w:type="spellStart"/>
            <w:r w:rsidRPr="00B74E01">
              <w:rPr>
                <w:rFonts w:eastAsia="Times New Roman" w:cs="Arial"/>
                <w:kern w:val="0"/>
                <w:lang w:eastAsia="pt-BR"/>
                <w14:ligatures w14:val="none"/>
              </w:rPr>
              <w:t>bancabilidade</w:t>
            </w:r>
            <w:proofErr w:type="spellEnd"/>
          </w:p>
        </w:tc>
      </w:tr>
      <w:tr w:rsidR="00A3112D" w:rsidRPr="00B74E01" w14:paraId="0F9A43A4" w14:textId="77777777" w:rsidTr="002E7EED">
        <w:trPr>
          <w:tblCellSpacing w:w="15" w:type="dxa"/>
        </w:trPr>
        <w:tc>
          <w:tcPr>
            <w:tcW w:w="0" w:type="auto"/>
            <w:vAlign w:val="center"/>
            <w:hideMark/>
          </w:tcPr>
          <w:p w14:paraId="7AA0FC45" w14:textId="77777777" w:rsidR="00A3112D" w:rsidRPr="00B74E01" w:rsidRDefault="00A3112D" w:rsidP="003E105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Forma de remuneração energética</w:t>
            </w:r>
          </w:p>
        </w:tc>
        <w:tc>
          <w:tcPr>
            <w:tcW w:w="0" w:type="auto"/>
            <w:vAlign w:val="center"/>
            <w:hideMark/>
          </w:tcPr>
          <w:p w14:paraId="0CFAE119" w14:textId="77777777" w:rsidR="00A3112D" w:rsidRPr="00B74E01" w:rsidRDefault="00A3112D" w:rsidP="003E105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Risco regulatório e questionamento jurídico</w:t>
            </w:r>
          </w:p>
        </w:tc>
      </w:tr>
      <w:tr w:rsidR="00A3112D" w:rsidRPr="00B74E01" w14:paraId="7418D7BB" w14:textId="77777777" w:rsidTr="002E7EED">
        <w:trPr>
          <w:tblCellSpacing w:w="15" w:type="dxa"/>
        </w:trPr>
        <w:tc>
          <w:tcPr>
            <w:tcW w:w="0" w:type="auto"/>
            <w:vAlign w:val="center"/>
            <w:hideMark/>
          </w:tcPr>
          <w:p w14:paraId="2C21AFF7" w14:textId="77777777" w:rsidR="00A3112D" w:rsidRPr="00B74E01" w:rsidRDefault="00A3112D" w:rsidP="003E105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Base de garantia</w:t>
            </w:r>
          </w:p>
        </w:tc>
        <w:tc>
          <w:tcPr>
            <w:tcW w:w="0" w:type="auto"/>
            <w:vAlign w:val="center"/>
            <w:hideMark/>
          </w:tcPr>
          <w:p w14:paraId="236851DA" w14:textId="77777777" w:rsidR="00A3112D" w:rsidRPr="00B74E01" w:rsidRDefault="00A3112D" w:rsidP="003E105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Risco de insegurança para financiadores</w:t>
            </w:r>
          </w:p>
        </w:tc>
      </w:tr>
      <w:tr w:rsidR="00A3112D" w:rsidRPr="00B74E01" w14:paraId="7B8CE68C" w14:textId="77777777" w:rsidTr="002E7EED">
        <w:trPr>
          <w:tblCellSpacing w:w="15" w:type="dxa"/>
        </w:trPr>
        <w:tc>
          <w:tcPr>
            <w:tcW w:w="0" w:type="auto"/>
            <w:vAlign w:val="center"/>
            <w:hideMark/>
          </w:tcPr>
          <w:p w14:paraId="78192255" w14:textId="77777777" w:rsidR="00A3112D" w:rsidRPr="00B74E01" w:rsidRDefault="00A3112D" w:rsidP="003E105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Tratamento das receitas acessórias</w:t>
            </w:r>
          </w:p>
        </w:tc>
        <w:tc>
          <w:tcPr>
            <w:tcW w:w="0" w:type="auto"/>
            <w:vAlign w:val="center"/>
            <w:hideMark/>
          </w:tcPr>
          <w:p w14:paraId="77470B64" w14:textId="77777777" w:rsidR="00A3112D" w:rsidRPr="00B74E01" w:rsidRDefault="00A3112D" w:rsidP="003E105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Risco de pleitos futuros indevidos</w:t>
            </w:r>
          </w:p>
        </w:tc>
      </w:tr>
      <w:tr w:rsidR="00A3112D" w:rsidRPr="00B74E01" w14:paraId="6859F63E" w14:textId="77777777" w:rsidTr="002E7EED">
        <w:trPr>
          <w:tblCellSpacing w:w="15" w:type="dxa"/>
        </w:trPr>
        <w:tc>
          <w:tcPr>
            <w:tcW w:w="0" w:type="auto"/>
            <w:vAlign w:val="center"/>
            <w:hideMark/>
          </w:tcPr>
          <w:p w14:paraId="6775865D" w14:textId="77777777" w:rsidR="00A3112D" w:rsidRPr="00B74E01" w:rsidRDefault="00A3112D" w:rsidP="003E105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Matriz de riscos</w:t>
            </w:r>
          </w:p>
        </w:tc>
        <w:tc>
          <w:tcPr>
            <w:tcW w:w="0" w:type="auto"/>
            <w:vAlign w:val="center"/>
            <w:hideMark/>
          </w:tcPr>
          <w:p w14:paraId="22B08138" w14:textId="77777777" w:rsidR="00A3112D" w:rsidRPr="00B74E01" w:rsidRDefault="00A3112D" w:rsidP="003E105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Risco de litígios e impugnações</w:t>
            </w:r>
          </w:p>
        </w:tc>
      </w:tr>
      <w:tr w:rsidR="00A3112D" w:rsidRPr="00B74E01" w14:paraId="06F3078F" w14:textId="77777777" w:rsidTr="002E7EED">
        <w:trPr>
          <w:tblCellSpacing w:w="15" w:type="dxa"/>
        </w:trPr>
        <w:tc>
          <w:tcPr>
            <w:tcW w:w="0" w:type="auto"/>
            <w:vAlign w:val="center"/>
            <w:hideMark/>
          </w:tcPr>
          <w:p w14:paraId="5E488B81" w14:textId="77777777" w:rsidR="00A3112D" w:rsidRPr="00B74E01" w:rsidRDefault="00A3112D" w:rsidP="003E105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Regras de glosa</w:t>
            </w:r>
          </w:p>
        </w:tc>
        <w:tc>
          <w:tcPr>
            <w:tcW w:w="0" w:type="auto"/>
            <w:vAlign w:val="center"/>
            <w:hideMark/>
          </w:tcPr>
          <w:p w14:paraId="201CABAE" w14:textId="77777777" w:rsidR="00A3112D" w:rsidRPr="00B74E01" w:rsidRDefault="00A3112D" w:rsidP="003E105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Risco de disputa sobre pagamento</w:t>
            </w:r>
          </w:p>
        </w:tc>
      </w:tr>
      <w:tr w:rsidR="00A3112D" w:rsidRPr="00B74E01" w14:paraId="1F2AD3B1" w14:textId="77777777" w:rsidTr="002E7EED">
        <w:trPr>
          <w:tblCellSpacing w:w="15" w:type="dxa"/>
        </w:trPr>
        <w:tc>
          <w:tcPr>
            <w:tcW w:w="0" w:type="auto"/>
            <w:vAlign w:val="center"/>
            <w:hideMark/>
          </w:tcPr>
          <w:p w14:paraId="3475A828" w14:textId="77777777" w:rsidR="00A3112D" w:rsidRPr="00B74E01" w:rsidRDefault="00A3112D" w:rsidP="003E105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Indicadores de desempenho</w:t>
            </w:r>
          </w:p>
        </w:tc>
        <w:tc>
          <w:tcPr>
            <w:tcW w:w="0" w:type="auto"/>
            <w:vAlign w:val="center"/>
            <w:hideMark/>
          </w:tcPr>
          <w:p w14:paraId="20C0CAA5" w14:textId="77777777" w:rsidR="00A3112D" w:rsidRPr="00B74E01" w:rsidRDefault="00A3112D" w:rsidP="003E105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Risco de fiscalização subjetiva</w:t>
            </w:r>
          </w:p>
        </w:tc>
      </w:tr>
      <w:tr w:rsidR="00A3112D" w:rsidRPr="00B74E01" w14:paraId="193DBC40" w14:textId="77777777" w:rsidTr="002E7EED">
        <w:trPr>
          <w:tblCellSpacing w:w="15" w:type="dxa"/>
        </w:trPr>
        <w:tc>
          <w:tcPr>
            <w:tcW w:w="0" w:type="auto"/>
            <w:vAlign w:val="center"/>
            <w:hideMark/>
          </w:tcPr>
          <w:p w14:paraId="4907E62C" w14:textId="77777777" w:rsidR="00A3112D" w:rsidRPr="00B74E01" w:rsidRDefault="00A3112D" w:rsidP="003E105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Reequilíbrio</w:t>
            </w:r>
          </w:p>
        </w:tc>
        <w:tc>
          <w:tcPr>
            <w:tcW w:w="0" w:type="auto"/>
            <w:vAlign w:val="center"/>
            <w:hideMark/>
          </w:tcPr>
          <w:p w14:paraId="4F15FAA7" w14:textId="77777777" w:rsidR="00A3112D" w:rsidRPr="00B74E01" w:rsidRDefault="00A3112D" w:rsidP="003E105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Risco de recomposição indevida</w:t>
            </w:r>
          </w:p>
        </w:tc>
      </w:tr>
      <w:tr w:rsidR="00A3112D" w:rsidRPr="00B74E01" w14:paraId="6DBE0292" w14:textId="77777777" w:rsidTr="002E7EED">
        <w:trPr>
          <w:tblCellSpacing w:w="15" w:type="dxa"/>
        </w:trPr>
        <w:tc>
          <w:tcPr>
            <w:tcW w:w="0" w:type="auto"/>
            <w:vAlign w:val="center"/>
            <w:hideMark/>
          </w:tcPr>
          <w:p w14:paraId="706BA615" w14:textId="77777777" w:rsidR="00A3112D" w:rsidRPr="00B74E01" w:rsidRDefault="00A3112D" w:rsidP="003E105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Operação assistida</w:t>
            </w:r>
          </w:p>
        </w:tc>
        <w:tc>
          <w:tcPr>
            <w:tcW w:w="0" w:type="auto"/>
            <w:vAlign w:val="center"/>
            <w:hideMark/>
          </w:tcPr>
          <w:p w14:paraId="6CCF74BA" w14:textId="77777777" w:rsidR="00A3112D" w:rsidRPr="00B74E01" w:rsidRDefault="00A3112D" w:rsidP="003E105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Risco de falha na entrada em operação</w:t>
            </w:r>
          </w:p>
        </w:tc>
      </w:tr>
      <w:tr w:rsidR="00A3112D" w:rsidRPr="00B74E01" w14:paraId="0B8C44FD" w14:textId="77777777" w:rsidTr="002E7EED">
        <w:trPr>
          <w:tblCellSpacing w:w="15" w:type="dxa"/>
        </w:trPr>
        <w:tc>
          <w:tcPr>
            <w:tcW w:w="0" w:type="auto"/>
            <w:vAlign w:val="center"/>
            <w:hideMark/>
          </w:tcPr>
          <w:p w14:paraId="2D7596BF" w14:textId="77777777" w:rsidR="00A3112D" w:rsidRPr="00B74E01" w:rsidRDefault="00A3112D" w:rsidP="003E105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 xml:space="preserve">Modelo </w:t>
            </w:r>
            <w:proofErr w:type="spellStart"/>
            <w:r w:rsidRPr="00B74E01">
              <w:rPr>
                <w:rFonts w:eastAsia="Times New Roman" w:cs="Arial"/>
                <w:kern w:val="0"/>
                <w:lang w:eastAsia="pt-BR"/>
                <w14:ligatures w14:val="none"/>
              </w:rPr>
              <w:t>turnkey</w:t>
            </w:r>
            <w:proofErr w:type="spellEnd"/>
          </w:p>
        </w:tc>
        <w:tc>
          <w:tcPr>
            <w:tcW w:w="0" w:type="auto"/>
            <w:vAlign w:val="center"/>
            <w:hideMark/>
          </w:tcPr>
          <w:p w14:paraId="1324F308" w14:textId="77777777" w:rsidR="00A3112D" w:rsidRPr="00B74E01" w:rsidRDefault="00A3112D" w:rsidP="003E1054">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Risco de fragmentação de responsabilidades</w:t>
            </w:r>
          </w:p>
        </w:tc>
      </w:tr>
    </w:tbl>
    <w:p w14:paraId="1F3F518A"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Esses pontos devem estar expressamente previstos no edital e na minuta contratual.</w:t>
      </w:r>
    </w:p>
    <w:p w14:paraId="5B27D460" w14:textId="43B69CD6" w:rsidR="00A3112D" w:rsidRDefault="00A3112D" w:rsidP="00B74E01">
      <w:pPr>
        <w:spacing w:after="0" w:line="360" w:lineRule="auto"/>
        <w:ind w:firstLine="709"/>
        <w:jc w:val="both"/>
        <w:rPr>
          <w:rFonts w:eastAsia="Times New Roman" w:cs="Arial"/>
          <w:kern w:val="0"/>
          <w:lang w:eastAsia="pt-BR"/>
          <w14:ligatures w14:val="none"/>
        </w:rPr>
      </w:pPr>
    </w:p>
    <w:p w14:paraId="03958FCE" w14:textId="77777777" w:rsidR="003E1054" w:rsidRDefault="003E1054" w:rsidP="00B74E01">
      <w:pPr>
        <w:spacing w:after="0" w:line="360" w:lineRule="auto"/>
        <w:ind w:firstLine="709"/>
        <w:jc w:val="both"/>
        <w:rPr>
          <w:rFonts w:eastAsia="Times New Roman" w:cs="Arial"/>
          <w:kern w:val="0"/>
          <w:lang w:eastAsia="pt-BR"/>
          <w14:ligatures w14:val="none"/>
        </w:rPr>
      </w:pPr>
    </w:p>
    <w:p w14:paraId="602E41FD" w14:textId="77777777" w:rsidR="003E1054" w:rsidRPr="00B74E01" w:rsidRDefault="003E1054" w:rsidP="00B74E01">
      <w:pPr>
        <w:spacing w:after="0" w:line="360" w:lineRule="auto"/>
        <w:ind w:firstLine="709"/>
        <w:jc w:val="both"/>
        <w:rPr>
          <w:rFonts w:eastAsia="Times New Roman" w:cs="Arial"/>
          <w:kern w:val="0"/>
          <w:lang w:eastAsia="pt-BR"/>
          <w14:ligatures w14:val="none"/>
        </w:rPr>
      </w:pPr>
    </w:p>
    <w:p w14:paraId="220B5E63" w14:textId="77777777" w:rsidR="00A3112D" w:rsidRPr="00B74E01" w:rsidRDefault="00A3112D" w:rsidP="003E1054">
      <w:pPr>
        <w:pStyle w:val="Ttulo2"/>
        <w:rPr>
          <w:rFonts w:eastAsia="Times New Roman"/>
          <w:lang w:eastAsia="pt-BR"/>
        </w:rPr>
      </w:pPr>
      <w:bookmarkStart w:id="249" w:name="_Toc230204251"/>
      <w:r w:rsidRPr="00B74E01">
        <w:rPr>
          <w:rFonts w:eastAsia="Times New Roman"/>
          <w:lang w:eastAsia="pt-BR"/>
        </w:rPr>
        <w:lastRenderedPageBreak/>
        <w:t>19.7. Diretrizes sobre receitas acessórias na licitação</w:t>
      </w:r>
      <w:bookmarkEnd w:id="249"/>
    </w:p>
    <w:p w14:paraId="2930CAF1"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As receitas acessórias poderão ser admitidas como fator de atratividade econômica da SPE, mas não deverão ser tratadas como receita garantida pelo Município.</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670"/>
        <w:gridCol w:w="4498"/>
      </w:tblGrid>
      <w:tr w:rsidR="00A3112D" w:rsidRPr="00B74E01" w14:paraId="4DBAEB39" w14:textId="77777777" w:rsidTr="002E7EED">
        <w:trPr>
          <w:tblHeade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4FE64442" w14:textId="77777777" w:rsidR="00A3112D" w:rsidRPr="00B74E01" w:rsidRDefault="00A3112D" w:rsidP="00062B46">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Diretriz</w:t>
            </w:r>
          </w:p>
        </w:tc>
        <w:tc>
          <w:tcPr>
            <w:tcW w:w="0" w:type="auto"/>
            <w:tcBorders>
              <w:top w:val="single" w:sz="4" w:space="0" w:color="auto"/>
              <w:left w:val="single" w:sz="4" w:space="0" w:color="auto"/>
              <w:bottom w:val="single" w:sz="4" w:space="0" w:color="auto"/>
              <w:right w:val="single" w:sz="4" w:space="0" w:color="auto"/>
            </w:tcBorders>
            <w:vAlign w:val="center"/>
            <w:hideMark/>
          </w:tcPr>
          <w:p w14:paraId="4FD58778" w14:textId="77777777" w:rsidR="00A3112D" w:rsidRPr="00B74E01" w:rsidRDefault="00A3112D" w:rsidP="00062B46">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Aplicação</w:t>
            </w:r>
          </w:p>
        </w:tc>
      </w:tr>
      <w:tr w:rsidR="00A3112D" w:rsidRPr="00B74E01" w14:paraId="649472F7" w14:textId="77777777" w:rsidTr="002E7EED">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16DEC160" w14:textId="77777777" w:rsidR="00A3112D" w:rsidRPr="00B74E01" w:rsidRDefault="00A3112D" w:rsidP="00062B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Não integrar base garantida</w:t>
            </w:r>
          </w:p>
        </w:tc>
        <w:tc>
          <w:tcPr>
            <w:tcW w:w="0" w:type="auto"/>
            <w:tcBorders>
              <w:top w:val="single" w:sz="4" w:space="0" w:color="auto"/>
              <w:left w:val="single" w:sz="4" w:space="0" w:color="auto"/>
              <w:bottom w:val="single" w:sz="4" w:space="0" w:color="auto"/>
              <w:right w:val="single" w:sz="4" w:space="0" w:color="auto"/>
            </w:tcBorders>
            <w:vAlign w:val="center"/>
            <w:hideMark/>
          </w:tcPr>
          <w:p w14:paraId="7AAD4747" w14:textId="77777777" w:rsidR="00A3112D" w:rsidRPr="00B74E01" w:rsidRDefault="00A3112D" w:rsidP="00062B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Protege o Município</w:t>
            </w:r>
          </w:p>
        </w:tc>
      </w:tr>
      <w:tr w:rsidR="00A3112D" w:rsidRPr="00B74E01" w14:paraId="62C43953" w14:textId="77777777" w:rsidTr="002E7EED">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2E0B5775" w14:textId="77777777" w:rsidR="00A3112D" w:rsidRPr="00B74E01" w:rsidRDefault="00A3112D" w:rsidP="00062B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Serem risco da SPE</w:t>
            </w:r>
          </w:p>
        </w:tc>
        <w:tc>
          <w:tcPr>
            <w:tcW w:w="0" w:type="auto"/>
            <w:tcBorders>
              <w:top w:val="single" w:sz="4" w:space="0" w:color="auto"/>
              <w:left w:val="single" w:sz="4" w:space="0" w:color="auto"/>
              <w:bottom w:val="single" w:sz="4" w:space="0" w:color="auto"/>
              <w:right w:val="single" w:sz="4" w:space="0" w:color="auto"/>
            </w:tcBorders>
            <w:vAlign w:val="center"/>
            <w:hideMark/>
          </w:tcPr>
          <w:p w14:paraId="0426E24C" w14:textId="77777777" w:rsidR="00A3112D" w:rsidRPr="00B74E01" w:rsidRDefault="00A3112D" w:rsidP="00062B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Evita reequilíbrio indevido</w:t>
            </w:r>
          </w:p>
        </w:tc>
      </w:tr>
      <w:tr w:rsidR="00A3112D" w:rsidRPr="00B74E01" w14:paraId="7247D755" w14:textId="77777777" w:rsidTr="002E7EED">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1CD81C71" w14:textId="77777777" w:rsidR="00A3112D" w:rsidRPr="00B74E01" w:rsidRDefault="00A3112D" w:rsidP="00062B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Exigir plano de exploração</w:t>
            </w:r>
          </w:p>
        </w:tc>
        <w:tc>
          <w:tcPr>
            <w:tcW w:w="0" w:type="auto"/>
            <w:tcBorders>
              <w:top w:val="single" w:sz="4" w:space="0" w:color="auto"/>
              <w:left w:val="single" w:sz="4" w:space="0" w:color="auto"/>
              <w:bottom w:val="single" w:sz="4" w:space="0" w:color="auto"/>
              <w:right w:val="single" w:sz="4" w:space="0" w:color="auto"/>
            </w:tcBorders>
            <w:vAlign w:val="center"/>
            <w:hideMark/>
          </w:tcPr>
          <w:p w14:paraId="29C7D51F" w14:textId="77777777" w:rsidR="00A3112D" w:rsidRPr="00B74E01" w:rsidRDefault="00A3112D" w:rsidP="00062B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Obriga o licitante a demonstrar estratégia</w:t>
            </w:r>
          </w:p>
        </w:tc>
      </w:tr>
      <w:tr w:rsidR="00A3112D" w:rsidRPr="00B74E01" w14:paraId="24392442" w14:textId="77777777" w:rsidTr="002E7EED">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491CC640" w14:textId="77777777" w:rsidR="00A3112D" w:rsidRPr="00B74E01" w:rsidRDefault="00A3112D" w:rsidP="00062B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Exigir cautela nas projeções</w:t>
            </w:r>
          </w:p>
        </w:tc>
        <w:tc>
          <w:tcPr>
            <w:tcW w:w="0" w:type="auto"/>
            <w:tcBorders>
              <w:top w:val="single" w:sz="4" w:space="0" w:color="auto"/>
              <w:left w:val="single" w:sz="4" w:space="0" w:color="auto"/>
              <w:bottom w:val="single" w:sz="4" w:space="0" w:color="auto"/>
              <w:right w:val="single" w:sz="4" w:space="0" w:color="auto"/>
            </w:tcBorders>
            <w:vAlign w:val="center"/>
            <w:hideMark/>
          </w:tcPr>
          <w:p w14:paraId="6FEE4E27" w14:textId="77777777" w:rsidR="00A3112D" w:rsidRPr="00B74E01" w:rsidRDefault="00A3112D" w:rsidP="00062B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Evita proposta artificialmente otimista</w:t>
            </w:r>
          </w:p>
        </w:tc>
      </w:tr>
      <w:tr w:rsidR="00A3112D" w:rsidRPr="00B74E01" w14:paraId="26941016" w14:textId="77777777" w:rsidTr="002E7EED">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3F30B5A5" w14:textId="77777777" w:rsidR="00A3112D" w:rsidRPr="00B74E01" w:rsidRDefault="00A3112D" w:rsidP="00062B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Permitir compartilhamento parcial</w:t>
            </w:r>
          </w:p>
        </w:tc>
        <w:tc>
          <w:tcPr>
            <w:tcW w:w="0" w:type="auto"/>
            <w:tcBorders>
              <w:top w:val="single" w:sz="4" w:space="0" w:color="auto"/>
              <w:left w:val="single" w:sz="4" w:space="0" w:color="auto"/>
              <w:bottom w:val="single" w:sz="4" w:space="0" w:color="auto"/>
              <w:right w:val="single" w:sz="4" w:space="0" w:color="auto"/>
            </w:tcBorders>
            <w:vAlign w:val="center"/>
            <w:hideMark/>
          </w:tcPr>
          <w:p w14:paraId="4AB54139" w14:textId="77777777" w:rsidR="00A3112D" w:rsidRPr="00B74E01" w:rsidRDefault="00A3112D" w:rsidP="00062B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Pode fortalecer o Fundo Municipal</w:t>
            </w:r>
          </w:p>
        </w:tc>
      </w:tr>
      <w:tr w:rsidR="00A3112D" w:rsidRPr="00B74E01" w14:paraId="0E7F6AAD" w14:textId="77777777" w:rsidTr="002E7EED">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1939D072" w14:textId="77777777" w:rsidR="00A3112D" w:rsidRPr="00B74E01" w:rsidRDefault="00A3112D" w:rsidP="00062B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Prever 5% ao Fundo Municipal</w:t>
            </w:r>
          </w:p>
        </w:tc>
        <w:tc>
          <w:tcPr>
            <w:tcW w:w="0" w:type="auto"/>
            <w:tcBorders>
              <w:top w:val="single" w:sz="4" w:space="0" w:color="auto"/>
              <w:left w:val="single" w:sz="4" w:space="0" w:color="auto"/>
              <w:bottom w:val="single" w:sz="4" w:space="0" w:color="auto"/>
              <w:right w:val="single" w:sz="4" w:space="0" w:color="auto"/>
            </w:tcBorders>
            <w:vAlign w:val="center"/>
            <w:hideMark/>
          </w:tcPr>
          <w:p w14:paraId="59FE5E95" w14:textId="77777777" w:rsidR="00A3112D" w:rsidRPr="00B74E01" w:rsidRDefault="00A3112D" w:rsidP="00062B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Conforme modelagem e contrato</w:t>
            </w:r>
          </w:p>
        </w:tc>
      </w:tr>
      <w:tr w:rsidR="00A3112D" w:rsidRPr="00B74E01" w14:paraId="54FE8CE2" w14:textId="77777777" w:rsidTr="002E7EED">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492C1B94" w14:textId="77777777" w:rsidR="00A3112D" w:rsidRPr="00B74E01" w:rsidRDefault="00A3112D" w:rsidP="00062B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Não garantir mercado comprador</w:t>
            </w:r>
          </w:p>
        </w:tc>
        <w:tc>
          <w:tcPr>
            <w:tcW w:w="0" w:type="auto"/>
            <w:tcBorders>
              <w:top w:val="single" w:sz="4" w:space="0" w:color="auto"/>
              <w:left w:val="single" w:sz="4" w:space="0" w:color="auto"/>
              <w:bottom w:val="single" w:sz="4" w:space="0" w:color="auto"/>
              <w:right w:val="single" w:sz="4" w:space="0" w:color="auto"/>
            </w:tcBorders>
            <w:vAlign w:val="center"/>
            <w:hideMark/>
          </w:tcPr>
          <w:p w14:paraId="3C2AE777" w14:textId="77777777" w:rsidR="00A3112D" w:rsidRPr="00B74E01" w:rsidRDefault="00A3112D" w:rsidP="00062B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Mantém risco empresarial privado</w:t>
            </w:r>
          </w:p>
        </w:tc>
      </w:tr>
    </w:tbl>
    <w:p w14:paraId="446F8CF9"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O edital deve deixar claro que a frustração de receitas acessórias não ensejará reequilíbrio automático.</w:t>
      </w:r>
    </w:p>
    <w:p w14:paraId="77E32A43" w14:textId="77777777" w:rsidR="00A3112D" w:rsidRPr="00B74E01" w:rsidRDefault="00A3112D" w:rsidP="00062B46">
      <w:pPr>
        <w:pStyle w:val="Ttulo2"/>
        <w:rPr>
          <w:rFonts w:eastAsia="Times New Roman"/>
          <w:lang w:eastAsia="pt-BR"/>
        </w:rPr>
      </w:pPr>
      <w:bookmarkStart w:id="250" w:name="_Toc230204252"/>
      <w:r w:rsidRPr="00B74E01">
        <w:rPr>
          <w:rFonts w:eastAsia="Times New Roman"/>
          <w:lang w:eastAsia="pt-BR"/>
        </w:rPr>
        <w:t>19.8. Diretrizes sobre garantias</w:t>
      </w:r>
      <w:bookmarkEnd w:id="250"/>
    </w:p>
    <w:p w14:paraId="60D94473"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licitação deverá prever mecanismo de proteção das receitas principais.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337"/>
        <w:gridCol w:w="5472"/>
      </w:tblGrid>
      <w:tr w:rsidR="00A3112D" w:rsidRPr="00B74E01" w14:paraId="22DDE64F" w14:textId="77777777" w:rsidTr="002E7EED">
        <w:trPr>
          <w:tblHeader/>
          <w:tblCellSpacing w:w="15" w:type="dxa"/>
        </w:trPr>
        <w:tc>
          <w:tcPr>
            <w:tcW w:w="0" w:type="auto"/>
            <w:vAlign w:val="center"/>
            <w:hideMark/>
          </w:tcPr>
          <w:p w14:paraId="0A23D037" w14:textId="77777777" w:rsidR="00A3112D" w:rsidRPr="00B74E01" w:rsidRDefault="00A3112D" w:rsidP="00062B46">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Item</w:t>
            </w:r>
          </w:p>
        </w:tc>
        <w:tc>
          <w:tcPr>
            <w:tcW w:w="0" w:type="auto"/>
            <w:vAlign w:val="center"/>
            <w:hideMark/>
          </w:tcPr>
          <w:p w14:paraId="1AF778B1" w14:textId="77777777" w:rsidR="00A3112D" w:rsidRPr="00B74E01" w:rsidRDefault="00A3112D" w:rsidP="00062B46">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Diretriz</w:t>
            </w:r>
          </w:p>
        </w:tc>
      </w:tr>
      <w:tr w:rsidR="00A3112D" w:rsidRPr="00B74E01" w14:paraId="1318A40C" w14:textId="77777777" w:rsidTr="002E7EED">
        <w:trPr>
          <w:tblCellSpacing w:w="15" w:type="dxa"/>
        </w:trPr>
        <w:tc>
          <w:tcPr>
            <w:tcW w:w="0" w:type="auto"/>
            <w:vAlign w:val="center"/>
            <w:hideMark/>
          </w:tcPr>
          <w:p w14:paraId="35D92D88" w14:textId="77777777" w:rsidR="00A3112D" w:rsidRPr="00B74E01" w:rsidRDefault="00A3112D" w:rsidP="00062B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 xml:space="preserve">Base </w:t>
            </w:r>
            <w:proofErr w:type="spellStart"/>
            <w:r w:rsidRPr="00B74E01">
              <w:rPr>
                <w:rFonts w:eastAsia="Times New Roman" w:cs="Arial"/>
                <w:kern w:val="0"/>
                <w:lang w:eastAsia="pt-BR"/>
                <w14:ligatures w14:val="none"/>
              </w:rPr>
              <w:t>garantível</w:t>
            </w:r>
            <w:proofErr w:type="spellEnd"/>
          </w:p>
        </w:tc>
        <w:tc>
          <w:tcPr>
            <w:tcW w:w="0" w:type="auto"/>
            <w:vAlign w:val="center"/>
            <w:hideMark/>
          </w:tcPr>
          <w:p w14:paraId="67B48329" w14:textId="77777777" w:rsidR="00A3112D" w:rsidRPr="00B74E01" w:rsidRDefault="00A3112D" w:rsidP="00062B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Apenas receitas principais</w:t>
            </w:r>
          </w:p>
        </w:tc>
      </w:tr>
      <w:tr w:rsidR="00A3112D" w:rsidRPr="00B74E01" w14:paraId="1A86DF01" w14:textId="77777777" w:rsidTr="002E7EED">
        <w:trPr>
          <w:tblCellSpacing w:w="15" w:type="dxa"/>
        </w:trPr>
        <w:tc>
          <w:tcPr>
            <w:tcW w:w="0" w:type="auto"/>
            <w:vAlign w:val="center"/>
            <w:hideMark/>
          </w:tcPr>
          <w:p w14:paraId="335A2645" w14:textId="77777777" w:rsidR="00A3112D" w:rsidRPr="00B74E01" w:rsidRDefault="00A3112D" w:rsidP="00062B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Cenário-base R$ 95/t</w:t>
            </w:r>
          </w:p>
        </w:tc>
        <w:tc>
          <w:tcPr>
            <w:tcW w:w="0" w:type="auto"/>
            <w:vAlign w:val="center"/>
            <w:hideMark/>
          </w:tcPr>
          <w:p w14:paraId="247AEA9A" w14:textId="77777777" w:rsidR="00A3112D" w:rsidRPr="00B74E01" w:rsidRDefault="00A3112D" w:rsidP="00062B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 xml:space="preserve">Receita </w:t>
            </w:r>
            <w:proofErr w:type="spellStart"/>
            <w:r w:rsidRPr="00B74E01">
              <w:rPr>
                <w:rFonts w:eastAsia="Times New Roman" w:cs="Arial"/>
                <w:kern w:val="0"/>
                <w:lang w:eastAsia="pt-BR"/>
                <w14:ligatures w14:val="none"/>
              </w:rPr>
              <w:t>garantível</w:t>
            </w:r>
            <w:proofErr w:type="spellEnd"/>
            <w:r w:rsidRPr="00B74E01">
              <w:rPr>
                <w:rFonts w:eastAsia="Times New Roman" w:cs="Arial"/>
                <w:kern w:val="0"/>
                <w:lang w:eastAsia="pt-BR"/>
                <w14:ligatures w14:val="none"/>
              </w:rPr>
              <w:t xml:space="preserve"> de R$ 700.077,09/mês</w:t>
            </w:r>
          </w:p>
        </w:tc>
      </w:tr>
      <w:tr w:rsidR="00A3112D" w:rsidRPr="00B74E01" w14:paraId="7209C51A" w14:textId="77777777" w:rsidTr="002E7EED">
        <w:trPr>
          <w:tblCellSpacing w:w="15" w:type="dxa"/>
        </w:trPr>
        <w:tc>
          <w:tcPr>
            <w:tcW w:w="0" w:type="auto"/>
            <w:vAlign w:val="center"/>
            <w:hideMark/>
          </w:tcPr>
          <w:p w14:paraId="4325E0A9" w14:textId="77777777" w:rsidR="00A3112D" w:rsidRPr="00B74E01" w:rsidRDefault="00A3112D" w:rsidP="00062B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Garantia recomendada</w:t>
            </w:r>
          </w:p>
        </w:tc>
        <w:tc>
          <w:tcPr>
            <w:tcW w:w="0" w:type="auto"/>
            <w:vAlign w:val="center"/>
            <w:hideMark/>
          </w:tcPr>
          <w:p w14:paraId="1F288F2F" w14:textId="77777777" w:rsidR="00A3112D" w:rsidRPr="00B74E01" w:rsidRDefault="00A3112D" w:rsidP="00062B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6 meses de receita principal</w:t>
            </w:r>
          </w:p>
        </w:tc>
      </w:tr>
      <w:tr w:rsidR="00A3112D" w:rsidRPr="00B74E01" w14:paraId="731B8038" w14:textId="77777777" w:rsidTr="002E7EED">
        <w:trPr>
          <w:tblCellSpacing w:w="15" w:type="dxa"/>
        </w:trPr>
        <w:tc>
          <w:tcPr>
            <w:tcW w:w="0" w:type="auto"/>
            <w:vAlign w:val="center"/>
            <w:hideMark/>
          </w:tcPr>
          <w:p w14:paraId="7BDB7E23" w14:textId="77777777" w:rsidR="00A3112D" w:rsidRPr="00B74E01" w:rsidRDefault="00A3112D" w:rsidP="00062B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Valor recomendado — R$ 95/t</w:t>
            </w:r>
          </w:p>
        </w:tc>
        <w:tc>
          <w:tcPr>
            <w:tcW w:w="0" w:type="auto"/>
            <w:vAlign w:val="center"/>
            <w:hideMark/>
          </w:tcPr>
          <w:p w14:paraId="2E83031F" w14:textId="77777777" w:rsidR="00A3112D" w:rsidRPr="00B74E01" w:rsidRDefault="00A3112D" w:rsidP="00062B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R$ 4.200.462,54</w:t>
            </w:r>
          </w:p>
        </w:tc>
      </w:tr>
      <w:tr w:rsidR="00A3112D" w:rsidRPr="00B74E01" w14:paraId="4F63BEA4" w14:textId="77777777" w:rsidTr="002E7EED">
        <w:trPr>
          <w:tblCellSpacing w:w="15" w:type="dxa"/>
        </w:trPr>
        <w:tc>
          <w:tcPr>
            <w:tcW w:w="0" w:type="auto"/>
            <w:vAlign w:val="center"/>
            <w:hideMark/>
          </w:tcPr>
          <w:p w14:paraId="0112DAE2" w14:textId="77777777" w:rsidR="00A3112D" w:rsidRPr="00B74E01" w:rsidRDefault="00A3112D" w:rsidP="00062B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Instrumento preferencial</w:t>
            </w:r>
          </w:p>
        </w:tc>
        <w:tc>
          <w:tcPr>
            <w:tcW w:w="0" w:type="auto"/>
            <w:vAlign w:val="center"/>
            <w:hideMark/>
          </w:tcPr>
          <w:p w14:paraId="4B63D15D" w14:textId="77777777" w:rsidR="00A3112D" w:rsidRPr="00B74E01" w:rsidRDefault="00A3112D" w:rsidP="00062B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Fundo Garantidor, conta vinculada ou combinação</w:t>
            </w:r>
          </w:p>
        </w:tc>
      </w:tr>
      <w:tr w:rsidR="00A3112D" w:rsidRPr="00B74E01" w14:paraId="18A79BB2" w14:textId="77777777" w:rsidTr="002E7EED">
        <w:trPr>
          <w:tblCellSpacing w:w="15" w:type="dxa"/>
        </w:trPr>
        <w:tc>
          <w:tcPr>
            <w:tcW w:w="0" w:type="auto"/>
            <w:vAlign w:val="center"/>
            <w:hideMark/>
          </w:tcPr>
          <w:p w14:paraId="4095876C" w14:textId="77777777" w:rsidR="00A3112D" w:rsidRPr="00B74E01" w:rsidRDefault="00A3112D" w:rsidP="00062B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Receitas acessórias</w:t>
            </w:r>
          </w:p>
        </w:tc>
        <w:tc>
          <w:tcPr>
            <w:tcW w:w="0" w:type="auto"/>
            <w:vAlign w:val="center"/>
            <w:hideMark/>
          </w:tcPr>
          <w:p w14:paraId="43791F03" w14:textId="77777777" w:rsidR="00A3112D" w:rsidRPr="00B74E01" w:rsidRDefault="00A3112D" w:rsidP="00062B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Não devem ser garantidas</w:t>
            </w:r>
          </w:p>
        </w:tc>
      </w:tr>
      <w:tr w:rsidR="00A3112D" w:rsidRPr="00B74E01" w14:paraId="08DC2B3D" w14:textId="77777777" w:rsidTr="002E7EED">
        <w:trPr>
          <w:tblCellSpacing w:w="15" w:type="dxa"/>
        </w:trPr>
        <w:tc>
          <w:tcPr>
            <w:tcW w:w="0" w:type="auto"/>
            <w:vAlign w:val="center"/>
            <w:hideMark/>
          </w:tcPr>
          <w:p w14:paraId="710CBAD3" w14:textId="77777777" w:rsidR="00A3112D" w:rsidRPr="00B74E01" w:rsidRDefault="00A3112D" w:rsidP="00062B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Recomposição</w:t>
            </w:r>
          </w:p>
        </w:tc>
        <w:tc>
          <w:tcPr>
            <w:tcW w:w="0" w:type="auto"/>
            <w:vAlign w:val="center"/>
            <w:hideMark/>
          </w:tcPr>
          <w:p w14:paraId="10683594" w14:textId="77777777" w:rsidR="00A3112D" w:rsidRPr="00B74E01" w:rsidRDefault="00A3112D" w:rsidP="00062B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Obrigatória após eventual acionamento</w:t>
            </w:r>
          </w:p>
        </w:tc>
      </w:tr>
      <w:tr w:rsidR="00A3112D" w:rsidRPr="00B74E01" w14:paraId="2A19EF25" w14:textId="77777777" w:rsidTr="002E7EED">
        <w:trPr>
          <w:tblCellSpacing w:w="15" w:type="dxa"/>
        </w:trPr>
        <w:tc>
          <w:tcPr>
            <w:tcW w:w="0" w:type="auto"/>
            <w:vAlign w:val="center"/>
            <w:hideMark/>
          </w:tcPr>
          <w:p w14:paraId="017366AE" w14:textId="77777777" w:rsidR="00A3112D" w:rsidRPr="00B74E01" w:rsidRDefault="00A3112D" w:rsidP="00062B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Fiscalização</w:t>
            </w:r>
          </w:p>
        </w:tc>
        <w:tc>
          <w:tcPr>
            <w:tcW w:w="0" w:type="auto"/>
            <w:vAlign w:val="center"/>
            <w:hideMark/>
          </w:tcPr>
          <w:p w14:paraId="4336D86F" w14:textId="77777777" w:rsidR="00A3112D" w:rsidRPr="00B74E01" w:rsidRDefault="00A3112D" w:rsidP="00062B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Regras claras e auditáveis</w:t>
            </w:r>
          </w:p>
        </w:tc>
      </w:tr>
    </w:tbl>
    <w:p w14:paraId="3FF8350F"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lastRenderedPageBreak/>
        <w:t>A garantia deve ser estruturada de forma juridicamente segura, fiscalmente responsável e operacionalmente eficaz.</w:t>
      </w:r>
    </w:p>
    <w:p w14:paraId="312A1C1C" w14:textId="77777777" w:rsidR="00A3112D" w:rsidRPr="00B74E01" w:rsidRDefault="00A3112D" w:rsidP="00062B46">
      <w:pPr>
        <w:pStyle w:val="Ttulo2"/>
        <w:rPr>
          <w:rFonts w:eastAsia="Times New Roman"/>
          <w:lang w:eastAsia="pt-BR"/>
        </w:rPr>
      </w:pPr>
      <w:bookmarkStart w:id="251" w:name="_Toc230204253"/>
      <w:r w:rsidRPr="00B74E01">
        <w:rPr>
          <w:rFonts w:eastAsia="Times New Roman"/>
          <w:lang w:eastAsia="pt-BR"/>
        </w:rPr>
        <w:t>19.9. Diretrizes sobre demonstração de exequibilidade</w:t>
      </w:r>
      <w:bookmarkEnd w:id="251"/>
    </w:p>
    <w:p w14:paraId="37851C4A"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Para evitar propostas inconsistentes, o edital deverá exigir demonstração de exequibilidade técnica e financeira.</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765"/>
        <w:gridCol w:w="4698"/>
      </w:tblGrid>
      <w:tr w:rsidR="00A3112D" w:rsidRPr="00B74E01" w14:paraId="09B6C0A4" w14:textId="77777777" w:rsidTr="002E7EED">
        <w:trPr>
          <w:tblHeader/>
          <w:tblCellSpacing w:w="15" w:type="dxa"/>
        </w:trPr>
        <w:tc>
          <w:tcPr>
            <w:tcW w:w="0" w:type="auto"/>
            <w:vAlign w:val="center"/>
            <w:hideMark/>
          </w:tcPr>
          <w:p w14:paraId="089B0C9E" w14:textId="77777777" w:rsidR="00A3112D" w:rsidRPr="00B74E01" w:rsidRDefault="00A3112D" w:rsidP="00062B46">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Exigência</w:t>
            </w:r>
          </w:p>
        </w:tc>
        <w:tc>
          <w:tcPr>
            <w:tcW w:w="0" w:type="auto"/>
            <w:vAlign w:val="center"/>
            <w:hideMark/>
          </w:tcPr>
          <w:p w14:paraId="3F3FB2AF" w14:textId="77777777" w:rsidR="00A3112D" w:rsidRPr="00B74E01" w:rsidRDefault="00A3112D" w:rsidP="00062B46">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Finalidade</w:t>
            </w:r>
          </w:p>
        </w:tc>
      </w:tr>
      <w:tr w:rsidR="00A3112D" w:rsidRPr="00B74E01" w14:paraId="6EE93763" w14:textId="77777777" w:rsidTr="002E7EED">
        <w:trPr>
          <w:tblCellSpacing w:w="15" w:type="dxa"/>
        </w:trPr>
        <w:tc>
          <w:tcPr>
            <w:tcW w:w="0" w:type="auto"/>
            <w:vAlign w:val="center"/>
            <w:hideMark/>
          </w:tcPr>
          <w:p w14:paraId="4308F79E" w14:textId="77777777" w:rsidR="00A3112D" w:rsidRPr="00B74E01" w:rsidRDefault="00A3112D" w:rsidP="00062B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Memória de cálculo da proposta</w:t>
            </w:r>
          </w:p>
        </w:tc>
        <w:tc>
          <w:tcPr>
            <w:tcW w:w="0" w:type="auto"/>
            <w:vAlign w:val="center"/>
            <w:hideMark/>
          </w:tcPr>
          <w:p w14:paraId="4A105066" w14:textId="77777777" w:rsidR="00A3112D" w:rsidRPr="00B74E01" w:rsidRDefault="00A3112D" w:rsidP="00062B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Permitir conferência dos valores</w:t>
            </w:r>
          </w:p>
        </w:tc>
      </w:tr>
      <w:tr w:rsidR="00A3112D" w:rsidRPr="00B74E01" w14:paraId="2525ADFB" w14:textId="77777777" w:rsidTr="002E7EED">
        <w:trPr>
          <w:tblCellSpacing w:w="15" w:type="dxa"/>
        </w:trPr>
        <w:tc>
          <w:tcPr>
            <w:tcW w:w="0" w:type="auto"/>
            <w:vAlign w:val="center"/>
            <w:hideMark/>
          </w:tcPr>
          <w:p w14:paraId="03FEC51C" w14:textId="77777777" w:rsidR="00A3112D" w:rsidRPr="00B74E01" w:rsidRDefault="00A3112D" w:rsidP="00062B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Composição de preços</w:t>
            </w:r>
          </w:p>
        </w:tc>
        <w:tc>
          <w:tcPr>
            <w:tcW w:w="0" w:type="auto"/>
            <w:vAlign w:val="center"/>
            <w:hideMark/>
          </w:tcPr>
          <w:p w14:paraId="5FDC6543" w14:textId="77777777" w:rsidR="00A3112D" w:rsidRPr="00B74E01" w:rsidRDefault="00A3112D" w:rsidP="00062B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Evitar preço artificial</w:t>
            </w:r>
          </w:p>
        </w:tc>
      </w:tr>
      <w:tr w:rsidR="00A3112D" w:rsidRPr="00B74E01" w14:paraId="4D0AC89D" w14:textId="77777777" w:rsidTr="002E7EED">
        <w:trPr>
          <w:tblCellSpacing w:w="15" w:type="dxa"/>
        </w:trPr>
        <w:tc>
          <w:tcPr>
            <w:tcW w:w="0" w:type="auto"/>
            <w:vAlign w:val="center"/>
            <w:hideMark/>
          </w:tcPr>
          <w:p w14:paraId="31904C94" w14:textId="77777777" w:rsidR="00A3112D" w:rsidRPr="00B74E01" w:rsidRDefault="00A3112D" w:rsidP="00062B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Cronograma de implantação</w:t>
            </w:r>
          </w:p>
        </w:tc>
        <w:tc>
          <w:tcPr>
            <w:tcW w:w="0" w:type="auto"/>
            <w:vAlign w:val="center"/>
            <w:hideMark/>
          </w:tcPr>
          <w:p w14:paraId="07D68DCE" w14:textId="77777777" w:rsidR="00A3112D" w:rsidRPr="00B74E01" w:rsidRDefault="00A3112D" w:rsidP="00062B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Demonstrar capacidade de entrega</w:t>
            </w:r>
          </w:p>
        </w:tc>
      </w:tr>
      <w:tr w:rsidR="00A3112D" w:rsidRPr="00B74E01" w14:paraId="226E6CDD" w14:textId="77777777" w:rsidTr="002E7EED">
        <w:trPr>
          <w:tblCellSpacing w:w="15" w:type="dxa"/>
        </w:trPr>
        <w:tc>
          <w:tcPr>
            <w:tcW w:w="0" w:type="auto"/>
            <w:vAlign w:val="center"/>
            <w:hideMark/>
          </w:tcPr>
          <w:p w14:paraId="31BF1264" w14:textId="77777777" w:rsidR="00A3112D" w:rsidRPr="00B74E01" w:rsidRDefault="00A3112D" w:rsidP="00062B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Carta de fornecedor ou fabricante</w:t>
            </w:r>
          </w:p>
        </w:tc>
        <w:tc>
          <w:tcPr>
            <w:tcW w:w="0" w:type="auto"/>
            <w:vAlign w:val="center"/>
            <w:hideMark/>
          </w:tcPr>
          <w:p w14:paraId="0A315AA0" w14:textId="77777777" w:rsidR="00A3112D" w:rsidRPr="00B74E01" w:rsidRDefault="00A3112D" w:rsidP="00062B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Comprovar viabilidade técnica, se aplicável</w:t>
            </w:r>
          </w:p>
        </w:tc>
      </w:tr>
      <w:tr w:rsidR="00A3112D" w:rsidRPr="00B74E01" w14:paraId="08B6DD81" w14:textId="77777777" w:rsidTr="002E7EED">
        <w:trPr>
          <w:tblCellSpacing w:w="15" w:type="dxa"/>
        </w:trPr>
        <w:tc>
          <w:tcPr>
            <w:tcW w:w="0" w:type="auto"/>
            <w:vAlign w:val="center"/>
            <w:hideMark/>
          </w:tcPr>
          <w:p w14:paraId="015331BB" w14:textId="77777777" w:rsidR="00A3112D" w:rsidRPr="00B74E01" w:rsidRDefault="00A3112D" w:rsidP="00062B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 xml:space="preserve">Plano de </w:t>
            </w:r>
            <w:proofErr w:type="spellStart"/>
            <w:r w:rsidRPr="00B74E01">
              <w:rPr>
                <w:rFonts w:eastAsia="Times New Roman" w:cs="Arial"/>
                <w:kern w:val="0"/>
                <w:lang w:eastAsia="pt-BR"/>
                <w14:ligatures w14:val="none"/>
              </w:rPr>
              <w:t>funding</w:t>
            </w:r>
            <w:proofErr w:type="spellEnd"/>
          </w:p>
        </w:tc>
        <w:tc>
          <w:tcPr>
            <w:tcW w:w="0" w:type="auto"/>
            <w:vAlign w:val="center"/>
            <w:hideMark/>
          </w:tcPr>
          <w:p w14:paraId="6FA7856F" w14:textId="77777777" w:rsidR="00A3112D" w:rsidRPr="00B74E01" w:rsidRDefault="00A3112D" w:rsidP="00062B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Demonstrar capacidade financeira</w:t>
            </w:r>
          </w:p>
        </w:tc>
      </w:tr>
      <w:tr w:rsidR="00A3112D" w:rsidRPr="00B74E01" w14:paraId="774476AC" w14:textId="77777777" w:rsidTr="002E7EED">
        <w:trPr>
          <w:tblCellSpacing w:w="15" w:type="dxa"/>
        </w:trPr>
        <w:tc>
          <w:tcPr>
            <w:tcW w:w="0" w:type="auto"/>
            <w:vAlign w:val="center"/>
            <w:hideMark/>
          </w:tcPr>
          <w:p w14:paraId="6A5C4559" w14:textId="77777777" w:rsidR="00A3112D" w:rsidRPr="00B74E01" w:rsidRDefault="00A3112D" w:rsidP="00062B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Garantias de proposta e execução</w:t>
            </w:r>
          </w:p>
        </w:tc>
        <w:tc>
          <w:tcPr>
            <w:tcW w:w="0" w:type="auto"/>
            <w:vAlign w:val="center"/>
            <w:hideMark/>
          </w:tcPr>
          <w:p w14:paraId="70DD5CF7" w14:textId="77777777" w:rsidR="00A3112D" w:rsidRPr="00B74E01" w:rsidRDefault="00A3112D" w:rsidP="00062B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Reduzir risco de inadimplemento</w:t>
            </w:r>
          </w:p>
        </w:tc>
      </w:tr>
      <w:tr w:rsidR="00A3112D" w:rsidRPr="00B74E01" w14:paraId="2F109F48" w14:textId="77777777" w:rsidTr="002E7EED">
        <w:trPr>
          <w:tblCellSpacing w:w="15" w:type="dxa"/>
        </w:trPr>
        <w:tc>
          <w:tcPr>
            <w:tcW w:w="0" w:type="auto"/>
            <w:vAlign w:val="center"/>
            <w:hideMark/>
          </w:tcPr>
          <w:p w14:paraId="1889A9EF" w14:textId="77777777" w:rsidR="00A3112D" w:rsidRPr="00B74E01" w:rsidRDefault="00A3112D" w:rsidP="00062B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Testes de desempenho</w:t>
            </w:r>
          </w:p>
        </w:tc>
        <w:tc>
          <w:tcPr>
            <w:tcW w:w="0" w:type="auto"/>
            <w:vAlign w:val="center"/>
            <w:hideMark/>
          </w:tcPr>
          <w:p w14:paraId="7448FCA1" w14:textId="77777777" w:rsidR="00A3112D" w:rsidRPr="00B74E01" w:rsidRDefault="00A3112D" w:rsidP="00062B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Confirmar capacidade operacional</w:t>
            </w:r>
          </w:p>
        </w:tc>
      </w:tr>
      <w:tr w:rsidR="00A3112D" w:rsidRPr="00B74E01" w14:paraId="1BF1CEC4" w14:textId="77777777" w:rsidTr="002E7EED">
        <w:trPr>
          <w:tblCellSpacing w:w="15" w:type="dxa"/>
        </w:trPr>
        <w:tc>
          <w:tcPr>
            <w:tcW w:w="0" w:type="auto"/>
            <w:vAlign w:val="center"/>
            <w:hideMark/>
          </w:tcPr>
          <w:p w14:paraId="2BBB4B20" w14:textId="77777777" w:rsidR="00A3112D" w:rsidRPr="00B74E01" w:rsidRDefault="00A3112D" w:rsidP="00062B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Declaração de assunção de riscos</w:t>
            </w:r>
          </w:p>
        </w:tc>
        <w:tc>
          <w:tcPr>
            <w:tcW w:w="0" w:type="auto"/>
            <w:vAlign w:val="center"/>
            <w:hideMark/>
          </w:tcPr>
          <w:p w14:paraId="4B3DC66B" w14:textId="77777777" w:rsidR="00A3112D" w:rsidRPr="00B74E01" w:rsidRDefault="00A3112D" w:rsidP="00062B46">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Reforçar matriz contratual</w:t>
            </w:r>
          </w:p>
        </w:tc>
      </w:tr>
    </w:tbl>
    <w:p w14:paraId="2695EB27"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O objetivo não é dificultar a competição. É impedir que uma proposta irresponsável vença a licitação e depois comprometa o contrato.</w:t>
      </w:r>
    </w:p>
    <w:p w14:paraId="053659E3" w14:textId="77777777" w:rsidR="00A3112D" w:rsidRPr="00B74E01" w:rsidRDefault="00A3112D" w:rsidP="00062B46">
      <w:pPr>
        <w:pStyle w:val="Ttulo2"/>
        <w:rPr>
          <w:rFonts w:eastAsia="Times New Roman"/>
          <w:lang w:eastAsia="pt-BR"/>
        </w:rPr>
      </w:pPr>
      <w:bookmarkStart w:id="252" w:name="_Toc230204254"/>
      <w:r w:rsidRPr="00B74E01">
        <w:rPr>
          <w:rFonts w:eastAsia="Times New Roman"/>
          <w:lang w:eastAsia="pt-BR"/>
        </w:rPr>
        <w:t>19.10. Conclusão do tópico</w:t>
      </w:r>
      <w:bookmarkEnd w:id="252"/>
    </w:p>
    <w:p w14:paraId="11230DB1"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futura licitação deverá traduzir a modelagem econômico-financeira em exigências objetivas, proporcionais e defensáveis.</w:t>
      </w:r>
    </w:p>
    <w:p w14:paraId="08D109EF"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O edital deve preservar a competitividade, mas exigir comprovação técnica e financeira suficiente para garantir que os concorrentes tenham capacidade real de implantar e operar a solução proposta.</w:t>
      </w:r>
    </w:p>
    <w:p w14:paraId="5676C601"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Os elementos centrais que devem permanecer são: quantidade mínima contratada de </w:t>
      </w:r>
      <w:r w:rsidRPr="00B74E01">
        <w:rPr>
          <w:rFonts w:eastAsia="Times New Roman" w:cs="Arial"/>
          <w:b/>
          <w:bCs/>
          <w:kern w:val="0"/>
          <w:lang w:eastAsia="pt-BR"/>
          <w14:ligatures w14:val="none"/>
        </w:rPr>
        <w:t>80 t/dia</w:t>
      </w:r>
      <w:r w:rsidRPr="00B74E01">
        <w:rPr>
          <w:rFonts w:eastAsia="Times New Roman" w:cs="Arial"/>
          <w:kern w:val="0"/>
          <w:lang w:eastAsia="pt-BR"/>
          <w14:ligatures w14:val="none"/>
        </w:rPr>
        <w:t xml:space="preserve">, remuneração pela disponibilização de capacidade energética, garantias sobre receitas principais, receitas acessórias como risco da SPE, operação </w:t>
      </w:r>
      <w:r w:rsidRPr="00B74E01">
        <w:rPr>
          <w:rFonts w:eastAsia="Times New Roman" w:cs="Arial"/>
          <w:kern w:val="0"/>
          <w:lang w:eastAsia="pt-BR"/>
          <w14:ligatures w14:val="none"/>
        </w:rPr>
        <w:lastRenderedPageBreak/>
        <w:t xml:space="preserve">assistida por </w:t>
      </w:r>
      <w:r w:rsidRPr="00B74E01">
        <w:rPr>
          <w:rFonts w:eastAsia="Times New Roman" w:cs="Arial"/>
          <w:b/>
          <w:bCs/>
          <w:kern w:val="0"/>
          <w:lang w:eastAsia="pt-BR"/>
          <w14:ligatures w14:val="none"/>
        </w:rPr>
        <w:t>1 ano</w:t>
      </w:r>
      <w:r w:rsidRPr="00B74E01">
        <w:rPr>
          <w:rFonts w:eastAsia="Times New Roman" w:cs="Arial"/>
          <w:kern w:val="0"/>
          <w:lang w:eastAsia="pt-BR"/>
          <w14:ligatures w14:val="none"/>
        </w:rPr>
        <w:t xml:space="preserve">, implantação em modelo </w:t>
      </w:r>
      <w:proofErr w:type="spellStart"/>
      <w:r w:rsidRPr="00B74E01">
        <w:rPr>
          <w:rFonts w:eastAsia="Times New Roman" w:cs="Arial"/>
          <w:b/>
          <w:bCs/>
          <w:kern w:val="0"/>
          <w:lang w:eastAsia="pt-BR"/>
          <w14:ligatures w14:val="none"/>
        </w:rPr>
        <w:t>turnkey</w:t>
      </w:r>
      <w:proofErr w:type="spellEnd"/>
      <w:r w:rsidRPr="00B74E01">
        <w:rPr>
          <w:rFonts w:eastAsia="Times New Roman" w:cs="Arial"/>
          <w:kern w:val="0"/>
          <w:lang w:eastAsia="pt-BR"/>
          <w14:ligatures w14:val="none"/>
        </w:rPr>
        <w:t>, matriz de riscos clara, regras de glosa, critérios de desempenho e procedimento de reequilíbrio.</w:t>
      </w:r>
    </w:p>
    <w:p w14:paraId="2596E656"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Com essas diretrizes, a PPP ganha maior segurança para avançar à fase licitatória, reduzindo risco de impugnação, propostas inexequíveis, fragilidade financeira e questionamentos por órgãos de controle.</w:t>
      </w:r>
    </w:p>
    <w:p w14:paraId="553B85A6" w14:textId="77777777" w:rsidR="00A22CDA" w:rsidRDefault="00A22CDA" w:rsidP="00A22CDA">
      <w:pPr>
        <w:pStyle w:val="Ttulo1"/>
        <w:rPr>
          <w:rFonts w:eastAsia="Times New Roman"/>
          <w:lang w:eastAsia="pt-BR"/>
        </w:rPr>
      </w:pPr>
    </w:p>
    <w:p w14:paraId="2AFE88B7" w14:textId="77777777" w:rsidR="00A22CDA" w:rsidRDefault="00A22CDA" w:rsidP="00A22CDA">
      <w:pPr>
        <w:pStyle w:val="Ttulo1"/>
        <w:rPr>
          <w:rFonts w:eastAsia="Times New Roman"/>
          <w:lang w:eastAsia="pt-BR"/>
        </w:rPr>
      </w:pPr>
    </w:p>
    <w:p w14:paraId="16A759BE" w14:textId="77777777" w:rsidR="00A22CDA" w:rsidRDefault="00A22CDA" w:rsidP="00A22CDA">
      <w:pPr>
        <w:pStyle w:val="Ttulo1"/>
        <w:rPr>
          <w:rFonts w:eastAsia="Times New Roman"/>
          <w:lang w:eastAsia="pt-BR"/>
        </w:rPr>
      </w:pPr>
    </w:p>
    <w:p w14:paraId="51EDBD3A" w14:textId="77777777" w:rsidR="00A22CDA" w:rsidRDefault="00A22CDA" w:rsidP="00A22CDA">
      <w:pPr>
        <w:pStyle w:val="Ttulo1"/>
        <w:rPr>
          <w:rFonts w:eastAsia="Times New Roman"/>
          <w:lang w:eastAsia="pt-BR"/>
        </w:rPr>
      </w:pPr>
    </w:p>
    <w:p w14:paraId="0140D158" w14:textId="77777777" w:rsidR="00A22CDA" w:rsidRDefault="00A22CDA" w:rsidP="00A22CDA">
      <w:pPr>
        <w:pStyle w:val="Ttulo1"/>
        <w:rPr>
          <w:rFonts w:eastAsia="Times New Roman"/>
          <w:lang w:eastAsia="pt-BR"/>
        </w:rPr>
      </w:pPr>
    </w:p>
    <w:p w14:paraId="10BBD357" w14:textId="77777777" w:rsidR="00A22CDA" w:rsidRDefault="00A22CDA" w:rsidP="00A22CDA">
      <w:pPr>
        <w:pStyle w:val="Ttulo1"/>
        <w:rPr>
          <w:rFonts w:eastAsia="Times New Roman"/>
          <w:lang w:eastAsia="pt-BR"/>
        </w:rPr>
      </w:pPr>
    </w:p>
    <w:p w14:paraId="01B5AFDC" w14:textId="77777777" w:rsidR="00A22CDA" w:rsidRDefault="00A22CDA" w:rsidP="00A22CDA">
      <w:pPr>
        <w:pStyle w:val="Ttulo1"/>
        <w:rPr>
          <w:rFonts w:eastAsia="Times New Roman"/>
          <w:lang w:eastAsia="pt-BR"/>
        </w:rPr>
      </w:pPr>
    </w:p>
    <w:p w14:paraId="4CD351F5" w14:textId="77777777" w:rsidR="00A22CDA" w:rsidRDefault="00A22CDA" w:rsidP="00A22CDA">
      <w:pPr>
        <w:pStyle w:val="Ttulo1"/>
        <w:rPr>
          <w:rFonts w:eastAsia="Times New Roman"/>
          <w:lang w:eastAsia="pt-BR"/>
        </w:rPr>
      </w:pPr>
    </w:p>
    <w:p w14:paraId="1BE5A201" w14:textId="77777777" w:rsidR="00A22CDA" w:rsidRDefault="00A22CDA" w:rsidP="00A22CDA">
      <w:pPr>
        <w:pStyle w:val="Ttulo1"/>
        <w:rPr>
          <w:rFonts w:eastAsia="Times New Roman"/>
          <w:lang w:eastAsia="pt-BR"/>
        </w:rPr>
      </w:pPr>
    </w:p>
    <w:p w14:paraId="6E62056E" w14:textId="77777777" w:rsidR="00A22CDA" w:rsidRDefault="00A22CDA" w:rsidP="00A22CDA">
      <w:pPr>
        <w:pStyle w:val="Ttulo1"/>
        <w:ind w:left="0"/>
        <w:rPr>
          <w:rFonts w:eastAsia="Times New Roman"/>
          <w:lang w:eastAsia="pt-BR"/>
        </w:rPr>
      </w:pPr>
    </w:p>
    <w:p w14:paraId="197ECE82" w14:textId="77777777" w:rsidR="00A22CDA" w:rsidRPr="00A22CDA" w:rsidRDefault="00A22CDA" w:rsidP="00A22CDA">
      <w:pPr>
        <w:rPr>
          <w:lang w:eastAsia="pt-BR"/>
        </w:rPr>
      </w:pPr>
    </w:p>
    <w:p w14:paraId="491C892F" w14:textId="50191C5D" w:rsidR="00A3112D" w:rsidRPr="00B74E01" w:rsidRDefault="00A3112D" w:rsidP="00A22CDA">
      <w:pPr>
        <w:pStyle w:val="Ttulo1"/>
        <w:rPr>
          <w:rFonts w:eastAsia="Times New Roman"/>
          <w:lang w:eastAsia="pt-BR"/>
        </w:rPr>
      </w:pPr>
      <w:bookmarkStart w:id="253" w:name="_Toc230204255"/>
      <w:r w:rsidRPr="00B74E01">
        <w:rPr>
          <w:rFonts w:eastAsia="Times New Roman"/>
          <w:lang w:eastAsia="pt-BR"/>
        </w:rPr>
        <w:lastRenderedPageBreak/>
        <w:t>Anexos Recomendados</w:t>
      </w:r>
      <w:bookmarkEnd w:id="253"/>
    </w:p>
    <w:p w14:paraId="66C79D53"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Os anexos têm a função de tornar o Caderno Econômico-Financeiro mais auditável, objetivo e defensável. Eles não substituem os tópicos principais, mas organizam os números, fórmulas, alertas e controles que deverão ser conferidos na planilha final e na estruturação da licitação.</w:t>
      </w:r>
    </w:p>
    <w:p w14:paraId="6A6B39F7" w14:textId="77777777" w:rsidR="00A3112D" w:rsidRPr="00B74E01" w:rsidRDefault="00A3112D" w:rsidP="00A22CDA">
      <w:pPr>
        <w:pStyle w:val="Ttulo1"/>
        <w:rPr>
          <w:rFonts w:eastAsia="Times New Roman"/>
          <w:lang w:eastAsia="pt-BR"/>
        </w:rPr>
      </w:pPr>
      <w:bookmarkStart w:id="254" w:name="_Toc230204256"/>
      <w:r w:rsidRPr="00B74E01">
        <w:rPr>
          <w:rFonts w:eastAsia="Times New Roman"/>
          <w:lang w:eastAsia="pt-BR"/>
        </w:rPr>
        <w:t>Anexo I — Quadro Consolidado de Premissas e Indicadores</w:t>
      </w:r>
      <w:bookmarkEnd w:id="254"/>
    </w:p>
    <w:p w14:paraId="2E9BBB1B"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Este anexo consolida os principais números da modelagem, facilitando a leitura por banca avaliadora, gestores públicos, financiadores, investidores e órgãos de controle.</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003"/>
        <w:gridCol w:w="4283"/>
        <w:gridCol w:w="2417"/>
      </w:tblGrid>
      <w:tr w:rsidR="00A3112D" w:rsidRPr="00B74E01" w14:paraId="1276D886" w14:textId="77777777" w:rsidTr="002E7EED">
        <w:trPr>
          <w:tblHeader/>
          <w:tblCellSpacing w:w="15" w:type="dxa"/>
        </w:trPr>
        <w:tc>
          <w:tcPr>
            <w:tcW w:w="0" w:type="auto"/>
            <w:vAlign w:val="center"/>
            <w:hideMark/>
          </w:tcPr>
          <w:p w14:paraId="2765D6BF" w14:textId="77777777" w:rsidR="00A3112D" w:rsidRPr="00B74E01" w:rsidRDefault="00A3112D" w:rsidP="00A22CDA">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Grupo</w:t>
            </w:r>
          </w:p>
        </w:tc>
        <w:tc>
          <w:tcPr>
            <w:tcW w:w="0" w:type="auto"/>
            <w:vAlign w:val="center"/>
            <w:hideMark/>
          </w:tcPr>
          <w:p w14:paraId="08EC325C" w14:textId="77777777" w:rsidR="00A3112D" w:rsidRPr="00B74E01" w:rsidRDefault="00A3112D" w:rsidP="00A22CDA">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Indicador</w:t>
            </w:r>
          </w:p>
        </w:tc>
        <w:tc>
          <w:tcPr>
            <w:tcW w:w="0" w:type="auto"/>
            <w:vAlign w:val="center"/>
            <w:hideMark/>
          </w:tcPr>
          <w:p w14:paraId="6854A625" w14:textId="77777777" w:rsidR="00A3112D" w:rsidRPr="00B74E01" w:rsidRDefault="00A3112D" w:rsidP="00A22CDA">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Valor</w:t>
            </w:r>
          </w:p>
        </w:tc>
      </w:tr>
      <w:tr w:rsidR="00A3112D" w:rsidRPr="00B74E01" w14:paraId="20A6829D" w14:textId="77777777" w:rsidTr="002E7EED">
        <w:trPr>
          <w:tblCellSpacing w:w="15" w:type="dxa"/>
        </w:trPr>
        <w:tc>
          <w:tcPr>
            <w:tcW w:w="0" w:type="auto"/>
            <w:vAlign w:val="center"/>
            <w:hideMark/>
          </w:tcPr>
          <w:p w14:paraId="745D428D"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Contrato</w:t>
            </w:r>
          </w:p>
        </w:tc>
        <w:tc>
          <w:tcPr>
            <w:tcW w:w="0" w:type="auto"/>
            <w:vAlign w:val="center"/>
            <w:hideMark/>
          </w:tcPr>
          <w:p w14:paraId="38CF0C11"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Prazo da PPP</w:t>
            </w:r>
          </w:p>
        </w:tc>
        <w:tc>
          <w:tcPr>
            <w:tcW w:w="0" w:type="auto"/>
            <w:vAlign w:val="center"/>
            <w:hideMark/>
          </w:tcPr>
          <w:p w14:paraId="7A0EB0EE"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35 anos</w:t>
            </w:r>
          </w:p>
        </w:tc>
      </w:tr>
      <w:tr w:rsidR="00A3112D" w:rsidRPr="00B74E01" w14:paraId="21BD8C72" w14:textId="77777777" w:rsidTr="002E7EED">
        <w:trPr>
          <w:tblCellSpacing w:w="15" w:type="dxa"/>
        </w:trPr>
        <w:tc>
          <w:tcPr>
            <w:tcW w:w="0" w:type="auto"/>
            <w:vAlign w:val="center"/>
            <w:hideMark/>
          </w:tcPr>
          <w:p w14:paraId="2EED8718"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Contrato</w:t>
            </w:r>
          </w:p>
        </w:tc>
        <w:tc>
          <w:tcPr>
            <w:tcW w:w="0" w:type="auto"/>
            <w:vAlign w:val="center"/>
            <w:hideMark/>
          </w:tcPr>
          <w:p w14:paraId="69647730"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Prazo de implantação</w:t>
            </w:r>
          </w:p>
        </w:tc>
        <w:tc>
          <w:tcPr>
            <w:tcW w:w="0" w:type="auto"/>
            <w:vAlign w:val="center"/>
            <w:hideMark/>
          </w:tcPr>
          <w:p w14:paraId="4E3D539D"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18 meses</w:t>
            </w:r>
          </w:p>
        </w:tc>
      </w:tr>
      <w:tr w:rsidR="00A3112D" w:rsidRPr="00B74E01" w14:paraId="6E146DD2" w14:textId="77777777" w:rsidTr="002E7EED">
        <w:trPr>
          <w:tblCellSpacing w:w="15" w:type="dxa"/>
        </w:trPr>
        <w:tc>
          <w:tcPr>
            <w:tcW w:w="0" w:type="auto"/>
            <w:vAlign w:val="center"/>
            <w:hideMark/>
          </w:tcPr>
          <w:p w14:paraId="7FC1C628"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Contrato</w:t>
            </w:r>
          </w:p>
        </w:tc>
        <w:tc>
          <w:tcPr>
            <w:tcW w:w="0" w:type="auto"/>
            <w:vAlign w:val="center"/>
            <w:hideMark/>
          </w:tcPr>
          <w:p w14:paraId="47DBD714"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Área da usina</w:t>
            </w:r>
          </w:p>
        </w:tc>
        <w:tc>
          <w:tcPr>
            <w:tcW w:w="0" w:type="auto"/>
            <w:vAlign w:val="center"/>
            <w:hideMark/>
          </w:tcPr>
          <w:p w14:paraId="57D6FF7E"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7 hectares</w:t>
            </w:r>
          </w:p>
        </w:tc>
      </w:tr>
      <w:tr w:rsidR="00A3112D" w:rsidRPr="00B74E01" w14:paraId="3AF7E9AC" w14:textId="77777777" w:rsidTr="002E7EED">
        <w:trPr>
          <w:tblCellSpacing w:w="15" w:type="dxa"/>
        </w:trPr>
        <w:tc>
          <w:tcPr>
            <w:tcW w:w="0" w:type="auto"/>
            <w:vAlign w:val="center"/>
            <w:hideMark/>
          </w:tcPr>
          <w:p w14:paraId="20C60475"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Operação</w:t>
            </w:r>
          </w:p>
        </w:tc>
        <w:tc>
          <w:tcPr>
            <w:tcW w:w="0" w:type="auto"/>
            <w:vAlign w:val="center"/>
            <w:hideMark/>
          </w:tcPr>
          <w:p w14:paraId="67A5B705"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Quantidade mínima contratada de RSU</w:t>
            </w:r>
          </w:p>
        </w:tc>
        <w:tc>
          <w:tcPr>
            <w:tcW w:w="0" w:type="auto"/>
            <w:vAlign w:val="center"/>
            <w:hideMark/>
          </w:tcPr>
          <w:p w14:paraId="5B6B35B3"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80 t/dia</w:t>
            </w:r>
          </w:p>
        </w:tc>
      </w:tr>
      <w:tr w:rsidR="00A3112D" w:rsidRPr="00B74E01" w14:paraId="0D02B648" w14:textId="77777777" w:rsidTr="002E7EED">
        <w:trPr>
          <w:tblCellSpacing w:w="15" w:type="dxa"/>
        </w:trPr>
        <w:tc>
          <w:tcPr>
            <w:tcW w:w="0" w:type="auto"/>
            <w:vAlign w:val="center"/>
            <w:hideMark/>
          </w:tcPr>
          <w:p w14:paraId="53CC3690"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Operação</w:t>
            </w:r>
          </w:p>
        </w:tc>
        <w:tc>
          <w:tcPr>
            <w:tcW w:w="0" w:type="auto"/>
            <w:vAlign w:val="center"/>
            <w:hideMark/>
          </w:tcPr>
          <w:p w14:paraId="5C560C4D"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Modelo recomendado</w:t>
            </w:r>
          </w:p>
        </w:tc>
        <w:tc>
          <w:tcPr>
            <w:tcW w:w="0" w:type="auto"/>
            <w:vAlign w:val="center"/>
            <w:hideMark/>
          </w:tcPr>
          <w:p w14:paraId="6C22C594" w14:textId="77777777" w:rsidR="00A3112D" w:rsidRPr="00B74E01" w:rsidRDefault="00A3112D" w:rsidP="00A22CDA">
            <w:pPr>
              <w:spacing w:after="0" w:line="360" w:lineRule="auto"/>
              <w:rPr>
                <w:rFonts w:eastAsia="Times New Roman" w:cs="Arial"/>
                <w:kern w:val="0"/>
                <w:lang w:eastAsia="pt-BR"/>
                <w14:ligatures w14:val="none"/>
              </w:rPr>
            </w:pPr>
            <w:proofErr w:type="spellStart"/>
            <w:r w:rsidRPr="00B74E01">
              <w:rPr>
                <w:rFonts w:eastAsia="Times New Roman" w:cs="Arial"/>
                <w:b/>
                <w:bCs/>
                <w:kern w:val="0"/>
                <w:lang w:eastAsia="pt-BR"/>
                <w14:ligatures w14:val="none"/>
              </w:rPr>
              <w:t>Turnkey</w:t>
            </w:r>
            <w:proofErr w:type="spellEnd"/>
          </w:p>
        </w:tc>
      </w:tr>
      <w:tr w:rsidR="00A3112D" w:rsidRPr="00B74E01" w14:paraId="77D2B8A3" w14:textId="77777777" w:rsidTr="002E7EED">
        <w:trPr>
          <w:tblCellSpacing w:w="15" w:type="dxa"/>
        </w:trPr>
        <w:tc>
          <w:tcPr>
            <w:tcW w:w="0" w:type="auto"/>
            <w:vAlign w:val="center"/>
            <w:hideMark/>
          </w:tcPr>
          <w:p w14:paraId="3C1790D8"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Operação</w:t>
            </w:r>
          </w:p>
        </w:tc>
        <w:tc>
          <w:tcPr>
            <w:tcW w:w="0" w:type="auto"/>
            <w:vAlign w:val="center"/>
            <w:hideMark/>
          </w:tcPr>
          <w:p w14:paraId="6F1C7A25"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Operação assistida</w:t>
            </w:r>
          </w:p>
        </w:tc>
        <w:tc>
          <w:tcPr>
            <w:tcW w:w="0" w:type="auto"/>
            <w:vAlign w:val="center"/>
            <w:hideMark/>
          </w:tcPr>
          <w:p w14:paraId="3286C8D1"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1 ano</w:t>
            </w:r>
          </w:p>
        </w:tc>
      </w:tr>
      <w:tr w:rsidR="00A3112D" w:rsidRPr="00B74E01" w14:paraId="21B6824A" w14:textId="77777777" w:rsidTr="002E7EED">
        <w:trPr>
          <w:tblCellSpacing w:w="15" w:type="dxa"/>
        </w:trPr>
        <w:tc>
          <w:tcPr>
            <w:tcW w:w="0" w:type="auto"/>
            <w:vAlign w:val="center"/>
            <w:hideMark/>
          </w:tcPr>
          <w:p w14:paraId="6A0246B0"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RSU</w:t>
            </w:r>
          </w:p>
        </w:tc>
        <w:tc>
          <w:tcPr>
            <w:tcW w:w="0" w:type="auto"/>
            <w:vAlign w:val="center"/>
            <w:hideMark/>
          </w:tcPr>
          <w:p w14:paraId="745EC957"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Tarifa-base de destinação</w:t>
            </w:r>
          </w:p>
        </w:tc>
        <w:tc>
          <w:tcPr>
            <w:tcW w:w="0" w:type="auto"/>
            <w:vAlign w:val="center"/>
            <w:hideMark/>
          </w:tcPr>
          <w:p w14:paraId="735F1506"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R$ 95/t</w:t>
            </w:r>
          </w:p>
        </w:tc>
      </w:tr>
      <w:tr w:rsidR="00A3112D" w:rsidRPr="00B74E01" w14:paraId="24AA1E8F" w14:textId="77777777" w:rsidTr="002E7EED">
        <w:trPr>
          <w:tblCellSpacing w:w="15" w:type="dxa"/>
        </w:trPr>
        <w:tc>
          <w:tcPr>
            <w:tcW w:w="0" w:type="auto"/>
            <w:vAlign w:val="center"/>
            <w:hideMark/>
          </w:tcPr>
          <w:p w14:paraId="71B11524"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RSU</w:t>
            </w:r>
          </w:p>
        </w:tc>
        <w:tc>
          <w:tcPr>
            <w:tcW w:w="0" w:type="auto"/>
            <w:vAlign w:val="center"/>
            <w:hideMark/>
          </w:tcPr>
          <w:p w14:paraId="3184F220"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Tarifa superior regional</w:t>
            </w:r>
          </w:p>
        </w:tc>
        <w:tc>
          <w:tcPr>
            <w:tcW w:w="0" w:type="auto"/>
            <w:vAlign w:val="center"/>
            <w:hideMark/>
          </w:tcPr>
          <w:p w14:paraId="54498CC4"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R$ 140/t</w:t>
            </w:r>
          </w:p>
        </w:tc>
      </w:tr>
      <w:tr w:rsidR="00A3112D" w:rsidRPr="00B74E01" w14:paraId="7651C18A" w14:textId="77777777" w:rsidTr="002E7EED">
        <w:trPr>
          <w:tblCellSpacing w:w="15" w:type="dxa"/>
        </w:trPr>
        <w:tc>
          <w:tcPr>
            <w:tcW w:w="0" w:type="auto"/>
            <w:vAlign w:val="center"/>
            <w:hideMark/>
          </w:tcPr>
          <w:p w14:paraId="2D63283F"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Energia</w:t>
            </w:r>
          </w:p>
        </w:tc>
        <w:tc>
          <w:tcPr>
            <w:tcW w:w="0" w:type="auto"/>
            <w:vAlign w:val="center"/>
            <w:hideMark/>
          </w:tcPr>
          <w:p w14:paraId="500BB9A0"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Despesa mensal atual</w:t>
            </w:r>
          </w:p>
        </w:tc>
        <w:tc>
          <w:tcPr>
            <w:tcW w:w="0" w:type="auto"/>
            <w:vAlign w:val="center"/>
            <w:hideMark/>
          </w:tcPr>
          <w:p w14:paraId="6CDD0690"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R$ 724.745,63</w:t>
            </w:r>
          </w:p>
        </w:tc>
      </w:tr>
      <w:tr w:rsidR="00A3112D" w:rsidRPr="00B74E01" w14:paraId="2F8B52F7" w14:textId="77777777" w:rsidTr="002E7EED">
        <w:trPr>
          <w:tblCellSpacing w:w="15" w:type="dxa"/>
        </w:trPr>
        <w:tc>
          <w:tcPr>
            <w:tcW w:w="0" w:type="auto"/>
            <w:vAlign w:val="center"/>
            <w:hideMark/>
          </w:tcPr>
          <w:p w14:paraId="397AB575"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Energia</w:t>
            </w:r>
          </w:p>
        </w:tc>
        <w:tc>
          <w:tcPr>
            <w:tcW w:w="0" w:type="auto"/>
            <w:vAlign w:val="center"/>
            <w:hideMark/>
          </w:tcPr>
          <w:p w14:paraId="339019C1"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Consumo mensal considerado</w:t>
            </w:r>
          </w:p>
        </w:tc>
        <w:tc>
          <w:tcPr>
            <w:tcW w:w="0" w:type="auto"/>
            <w:vAlign w:val="center"/>
            <w:hideMark/>
          </w:tcPr>
          <w:p w14:paraId="3A38C932"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1.059.797 kWh</w:t>
            </w:r>
          </w:p>
        </w:tc>
      </w:tr>
      <w:tr w:rsidR="00A3112D" w:rsidRPr="00B74E01" w14:paraId="43F5E812" w14:textId="77777777" w:rsidTr="002E7EED">
        <w:trPr>
          <w:tblCellSpacing w:w="15" w:type="dxa"/>
        </w:trPr>
        <w:tc>
          <w:tcPr>
            <w:tcW w:w="0" w:type="auto"/>
            <w:vAlign w:val="center"/>
            <w:hideMark/>
          </w:tcPr>
          <w:p w14:paraId="0EFA925E"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Energia</w:t>
            </w:r>
          </w:p>
        </w:tc>
        <w:tc>
          <w:tcPr>
            <w:tcW w:w="0" w:type="auto"/>
            <w:vAlign w:val="center"/>
            <w:hideMark/>
          </w:tcPr>
          <w:p w14:paraId="3DCDE250"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Remuneração mensal da SPE</w:t>
            </w:r>
          </w:p>
        </w:tc>
        <w:tc>
          <w:tcPr>
            <w:tcW w:w="0" w:type="auto"/>
            <w:vAlign w:val="center"/>
            <w:hideMark/>
          </w:tcPr>
          <w:p w14:paraId="1E6FD974"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R$ 468.910,42</w:t>
            </w:r>
          </w:p>
        </w:tc>
      </w:tr>
      <w:tr w:rsidR="00A3112D" w:rsidRPr="00B74E01" w14:paraId="1EE1D126" w14:textId="77777777" w:rsidTr="002E7EED">
        <w:trPr>
          <w:tblCellSpacing w:w="15" w:type="dxa"/>
        </w:trPr>
        <w:tc>
          <w:tcPr>
            <w:tcW w:w="0" w:type="auto"/>
            <w:vAlign w:val="center"/>
            <w:hideMark/>
          </w:tcPr>
          <w:p w14:paraId="4BD4C578"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Energia</w:t>
            </w:r>
          </w:p>
        </w:tc>
        <w:tc>
          <w:tcPr>
            <w:tcW w:w="0" w:type="auto"/>
            <w:vAlign w:val="center"/>
            <w:hideMark/>
          </w:tcPr>
          <w:p w14:paraId="3CA858A6"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Economia mensal estimada</w:t>
            </w:r>
          </w:p>
        </w:tc>
        <w:tc>
          <w:tcPr>
            <w:tcW w:w="0" w:type="auto"/>
            <w:vAlign w:val="center"/>
            <w:hideMark/>
          </w:tcPr>
          <w:p w14:paraId="215D99CB"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R$ 255.835,21</w:t>
            </w:r>
          </w:p>
        </w:tc>
      </w:tr>
      <w:tr w:rsidR="00A3112D" w:rsidRPr="00B74E01" w14:paraId="20401CAB" w14:textId="77777777" w:rsidTr="002E7EED">
        <w:trPr>
          <w:tblCellSpacing w:w="15" w:type="dxa"/>
        </w:trPr>
        <w:tc>
          <w:tcPr>
            <w:tcW w:w="0" w:type="auto"/>
            <w:vAlign w:val="center"/>
            <w:hideMark/>
          </w:tcPr>
          <w:p w14:paraId="58214E75"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CAPEX</w:t>
            </w:r>
          </w:p>
        </w:tc>
        <w:tc>
          <w:tcPr>
            <w:tcW w:w="0" w:type="auto"/>
            <w:vAlign w:val="center"/>
            <w:hideMark/>
          </w:tcPr>
          <w:p w14:paraId="10CBCC6D"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CAPEX base</w:t>
            </w:r>
          </w:p>
        </w:tc>
        <w:tc>
          <w:tcPr>
            <w:tcW w:w="0" w:type="auto"/>
            <w:vAlign w:val="center"/>
            <w:hideMark/>
          </w:tcPr>
          <w:p w14:paraId="756E36FA"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R$ 26.252.043,00</w:t>
            </w:r>
          </w:p>
        </w:tc>
      </w:tr>
      <w:tr w:rsidR="00A3112D" w:rsidRPr="00B74E01" w14:paraId="183D0270" w14:textId="77777777" w:rsidTr="002E7EED">
        <w:trPr>
          <w:tblCellSpacing w:w="15" w:type="dxa"/>
        </w:trPr>
        <w:tc>
          <w:tcPr>
            <w:tcW w:w="0" w:type="auto"/>
            <w:vAlign w:val="center"/>
            <w:hideMark/>
          </w:tcPr>
          <w:p w14:paraId="56988BBC"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CAPEX</w:t>
            </w:r>
          </w:p>
        </w:tc>
        <w:tc>
          <w:tcPr>
            <w:tcW w:w="0" w:type="auto"/>
            <w:vAlign w:val="center"/>
            <w:hideMark/>
          </w:tcPr>
          <w:p w14:paraId="35358D4E"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CAPEX com contingência</w:t>
            </w:r>
          </w:p>
        </w:tc>
        <w:tc>
          <w:tcPr>
            <w:tcW w:w="0" w:type="auto"/>
            <w:vAlign w:val="center"/>
            <w:hideMark/>
          </w:tcPr>
          <w:p w14:paraId="627AB34A"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R$ 28.877.247,30</w:t>
            </w:r>
          </w:p>
        </w:tc>
      </w:tr>
      <w:tr w:rsidR="00A3112D" w:rsidRPr="00B74E01" w14:paraId="513E4980" w14:textId="77777777" w:rsidTr="002E7EED">
        <w:trPr>
          <w:tblCellSpacing w:w="15" w:type="dxa"/>
        </w:trPr>
        <w:tc>
          <w:tcPr>
            <w:tcW w:w="0" w:type="auto"/>
            <w:vAlign w:val="center"/>
            <w:hideMark/>
          </w:tcPr>
          <w:p w14:paraId="77935362"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CAPEX</w:t>
            </w:r>
          </w:p>
        </w:tc>
        <w:tc>
          <w:tcPr>
            <w:tcW w:w="0" w:type="auto"/>
            <w:vAlign w:val="center"/>
            <w:hideMark/>
          </w:tcPr>
          <w:p w14:paraId="69F2C87E"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Capital de giro inicial</w:t>
            </w:r>
          </w:p>
        </w:tc>
        <w:tc>
          <w:tcPr>
            <w:tcW w:w="0" w:type="auto"/>
            <w:vAlign w:val="center"/>
            <w:hideMark/>
          </w:tcPr>
          <w:p w14:paraId="22026736"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R$ 1.021.941,08</w:t>
            </w:r>
          </w:p>
        </w:tc>
      </w:tr>
      <w:tr w:rsidR="00A3112D" w:rsidRPr="00B74E01" w14:paraId="3F9C04F0" w14:textId="77777777" w:rsidTr="002E7EED">
        <w:trPr>
          <w:tblCellSpacing w:w="15" w:type="dxa"/>
        </w:trPr>
        <w:tc>
          <w:tcPr>
            <w:tcW w:w="0" w:type="auto"/>
            <w:vAlign w:val="center"/>
            <w:hideMark/>
          </w:tcPr>
          <w:p w14:paraId="5D9686E5"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lastRenderedPageBreak/>
              <w:t>CAPEX</w:t>
            </w:r>
          </w:p>
        </w:tc>
        <w:tc>
          <w:tcPr>
            <w:tcW w:w="0" w:type="auto"/>
            <w:vAlign w:val="center"/>
            <w:hideMark/>
          </w:tcPr>
          <w:p w14:paraId="72C1DF66"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IDC</w:t>
            </w:r>
          </w:p>
        </w:tc>
        <w:tc>
          <w:tcPr>
            <w:tcW w:w="0" w:type="auto"/>
            <w:vAlign w:val="center"/>
            <w:hideMark/>
          </w:tcPr>
          <w:p w14:paraId="12A42E97"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R$ 2.370.685,00</w:t>
            </w:r>
          </w:p>
        </w:tc>
      </w:tr>
      <w:tr w:rsidR="00A3112D" w:rsidRPr="00B74E01" w14:paraId="66C45E86" w14:textId="77777777" w:rsidTr="002E7EED">
        <w:trPr>
          <w:tblCellSpacing w:w="15" w:type="dxa"/>
        </w:trPr>
        <w:tc>
          <w:tcPr>
            <w:tcW w:w="0" w:type="auto"/>
            <w:vAlign w:val="center"/>
            <w:hideMark/>
          </w:tcPr>
          <w:p w14:paraId="5F7639DC"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CAPEX</w:t>
            </w:r>
          </w:p>
        </w:tc>
        <w:tc>
          <w:tcPr>
            <w:tcW w:w="0" w:type="auto"/>
            <w:vAlign w:val="center"/>
            <w:hideMark/>
          </w:tcPr>
          <w:p w14:paraId="5596A27C"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Investimento financeiro total</w:t>
            </w:r>
          </w:p>
        </w:tc>
        <w:tc>
          <w:tcPr>
            <w:tcW w:w="0" w:type="auto"/>
            <w:vAlign w:val="center"/>
            <w:hideMark/>
          </w:tcPr>
          <w:p w14:paraId="0EE448AA"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R$ 32.269.873,38</w:t>
            </w:r>
          </w:p>
        </w:tc>
      </w:tr>
      <w:tr w:rsidR="00A3112D" w:rsidRPr="00B74E01" w14:paraId="20515A71" w14:textId="77777777" w:rsidTr="002E7EED">
        <w:trPr>
          <w:tblCellSpacing w:w="15" w:type="dxa"/>
        </w:trPr>
        <w:tc>
          <w:tcPr>
            <w:tcW w:w="0" w:type="auto"/>
            <w:vAlign w:val="center"/>
            <w:hideMark/>
          </w:tcPr>
          <w:p w14:paraId="166B206F"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OPEX</w:t>
            </w:r>
          </w:p>
        </w:tc>
        <w:tc>
          <w:tcPr>
            <w:tcW w:w="0" w:type="auto"/>
            <w:vAlign w:val="center"/>
            <w:hideMark/>
          </w:tcPr>
          <w:p w14:paraId="26C80F6D"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OPEX mensal revisado</w:t>
            </w:r>
          </w:p>
        </w:tc>
        <w:tc>
          <w:tcPr>
            <w:tcW w:w="0" w:type="auto"/>
            <w:vAlign w:val="center"/>
            <w:hideMark/>
          </w:tcPr>
          <w:p w14:paraId="64049EEA"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R$ 318.496,07</w:t>
            </w:r>
          </w:p>
        </w:tc>
      </w:tr>
      <w:tr w:rsidR="00A3112D" w:rsidRPr="00B74E01" w14:paraId="6A4D2E08" w14:textId="77777777" w:rsidTr="002E7EED">
        <w:trPr>
          <w:tblCellSpacing w:w="15" w:type="dxa"/>
        </w:trPr>
        <w:tc>
          <w:tcPr>
            <w:tcW w:w="0" w:type="auto"/>
            <w:vAlign w:val="center"/>
            <w:hideMark/>
          </w:tcPr>
          <w:p w14:paraId="6C0755F3"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OPEX</w:t>
            </w:r>
          </w:p>
        </w:tc>
        <w:tc>
          <w:tcPr>
            <w:tcW w:w="0" w:type="auto"/>
            <w:vAlign w:val="center"/>
            <w:hideMark/>
          </w:tcPr>
          <w:p w14:paraId="70792E41"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OPEX anual revisado</w:t>
            </w:r>
          </w:p>
        </w:tc>
        <w:tc>
          <w:tcPr>
            <w:tcW w:w="0" w:type="auto"/>
            <w:vAlign w:val="center"/>
            <w:hideMark/>
          </w:tcPr>
          <w:p w14:paraId="73F071DD"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R$ 3.821.952,88</w:t>
            </w:r>
          </w:p>
        </w:tc>
      </w:tr>
      <w:tr w:rsidR="00A3112D" w:rsidRPr="00B74E01" w14:paraId="409D057F" w14:textId="77777777" w:rsidTr="002E7EED">
        <w:trPr>
          <w:tblCellSpacing w:w="15" w:type="dxa"/>
        </w:trPr>
        <w:tc>
          <w:tcPr>
            <w:tcW w:w="0" w:type="auto"/>
            <w:vAlign w:val="center"/>
            <w:hideMark/>
          </w:tcPr>
          <w:p w14:paraId="2DEBE7C3"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 principal</w:t>
            </w:r>
          </w:p>
        </w:tc>
        <w:tc>
          <w:tcPr>
            <w:tcW w:w="0" w:type="auto"/>
            <w:vAlign w:val="center"/>
            <w:hideMark/>
          </w:tcPr>
          <w:p w14:paraId="4E26EB2C"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 mensal — R$ 95/t</w:t>
            </w:r>
          </w:p>
        </w:tc>
        <w:tc>
          <w:tcPr>
            <w:tcW w:w="0" w:type="auto"/>
            <w:vAlign w:val="center"/>
            <w:hideMark/>
          </w:tcPr>
          <w:p w14:paraId="4618CDD4"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R$ 700.077,09</w:t>
            </w:r>
          </w:p>
        </w:tc>
      </w:tr>
      <w:tr w:rsidR="00A3112D" w:rsidRPr="00B74E01" w14:paraId="2E1FC817" w14:textId="77777777" w:rsidTr="002E7EED">
        <w:trPr>
          <w:tblCellSpacing w:w="15" w:type="dxa"/>
        </w:trPr>
        <w:tc>
          <w:tcPr>
            <w:tcW w:w="0" w:type="auto"/>
            <w:vAlign w:val="center"/>
            <w:hideMark/>
          </w:tcPr>
          <w:p w14:paraId="62E8BDEA"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 principal</w:t>
            </w:r>
          </w:p>
        </w:tc>
        <w:tc>
          <w:tcPr>
            <w:tcW w:w="0" w:type="auto"/>
            <w:vAlign w:val="center"/>
            <w:hideMark/>
          </w:tcPr>
          <w:p w14:paraId="15CA9F9D"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 anual — R$ 95/t</w:t>
            </w:r>
          </w:p>
        </w:tc>
        <w:tc>
          <w:tcPr>
            <w:tcW w:w="0" w:type="auto"/>
            <w:vAlign w:val="center"/>
            <w:hideMark/>
          </w:tcPr>
          <w:p w14:paraId="195A0934"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R$ 8.400.925,04</w:t>
            </w:r>
          </w:p>
        </w:tc>
      </w:tr>
      <w:tr w:rsidR="00A3112D" w:rsidRPr="00B74E01" w14:paraId="1C32A0B0" w14:textId="77777777" w:rsidTr="002E7EED">
        <w:trPr>
          <w:tblCellSpacing w:w="15" w:type="dxa"/>
        </w:trPr>
        <w:tc>
          <w:tcPr>
            <w:tcW w:w="0" w:type="auto"/>
            <w:vAlign w:val="center"/>
            <w:hideMark/>
          </w:tcPr>
          <w:p w14:paraId="144BD6AD"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 acessória</w:t>
            </w:r>
          </w:p>
        </w:tc>
        <w:tc>
          <w:tcPr>
            <w:tcW w:w="0" w:type="auto"/>
            <w:vAlign w:val="center"/>
            <w:hideMark/>
          </w:tcPr>
          <w:p w14:paraId="3C7766CA"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 bruta mensal potencial</w:t>
            </w:r>
          </w:p>
        </w:tc>
        <w:tc>
          <w:tcPr>
            <w:tcW w:w="0" w:type="auto"/>
            <w:vAlign w:val="center"/>
            <w:hideMark/>
          </w:tcPr>
          <w:p w14:paraId="4BAF3936"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R$ 919.222,92</w:t>
            </w:r>
          </w:p>
        </w:tc>
      </w:tr>
      <w:tr w:rsidR="00A3112D" w:rsidRPr="00B74E01" w14:paraId="09667FCF" w14:textId="77777777" w:rsidTr="002E7EED">
        <w:trPr>
          <w:tblCellSpacing w:w="15" w:type="dxa"/>
        </w:trPr>
        <w:tc>
          <w:tcPr>
            <w:tcW w:w="0" w:type="auto"/>
            <w:vAlign w:val="center"/>
            <w:hideMark/>
          </w:tcPr>
          <w:p w14:paraId="5D4B5222"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 acessória</w:t>
            </w:r>
          </w:p>
        </w:tc>
        <w:tc>
          <w:tcPr>
            <w:tcW w:w="0" w:type="auto"/>
            <w:vAlign w:val="center"/>
            <w:hideMark/>
          </w:tcPr>
          <w:p w14:paraId="2D9AC628"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Acréscimo líquido mensal à SPE</w:t>
            </w:r>
          </w:p>
        </w:tc>
        <w:tc>
          <w:tcPr>
            <w:tcW w:w="0" w:type="auto"/>
            <w:vAlign w:val="center"/>
            <w:hideMark/>
          </w:tcPr>
          <w:p w14:paraId="25B0C446"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R$ 792.485,06</w:t>
            </w:r>
          </w:p>
        </w:tc>
      </w:tr>
      <w:tr w:rsidR="00A3112D" w:rsidRPr="00B74E01" w14:paraId="1C140D93" w14:textId="77777777" w:rsidTr="002E7EED">
        <w:trPr>
          <w:tblCellSpacing w:w="15" w:type="dxa"/>
        </w:trPr>
        <w:tc>
          <w:tcPr>
            <w:tcW w:w="0" w:type="auto"/>
            <w:vAlign w:val="center"/>
            <w:hideMark/>
          </w:tcPr>
          <w:p w14:paraId="3C41DB87"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Financiamento</w:t>
            </w:r>
          </w:p>
        </w:tc>
        <w:tc>
          <w:tcPr>
            <w:tcW w:w="0" w:type="auto"/>
            <w:vAlign w:val="center"/>
            <w:hideMark/>
          </w:tcPr>
          <w:p w14:paraId="458F8DC7"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Taxa prudencial</w:t>
            </w:r>
          </w:p>
        </w:tc>
        <w:tc>
          <w:tcPr>
            <w:tcW w:w="0" w:type="auto"/>
            <w:vAlign w:val="center"/>
            <w:hideMark/>
          </w:tcPr>
          <w:p w14:paraId="2F3EECED"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10% a.a.</w:t>
            </w:r>
          </w:p>
        </w:tc>
      </w:tr>
      <w:tr w:rsidR="00A3112D" w:rsidRPr="00B74E01" w14:paraId="13823BC1" w14:textId="77777777" w:rsidTr="002E7EED">
        <w:trPr>
          <w:tblCellSpacing w:w="15" w:type="dxa"/>
        </w:trPr>
        <w:tc>
          <w:tcPr>
            <w:tcW w:w="0" w:type="auto"/>
            <w:vAlign w:val="center"/>
            <w:hideMark/>
          </w:tcPr>
          <w:p w14:paraId="48599333"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Financiamento</w:t>
            </w:r>
          </w:p>
        </w:tc>
        <w:tc>
          <w:tcPr>
            <w:tcW w:w="0" w:type="auto"/>
            <w:vAlign w:val="center"/>
            <w:hideMark/>
          </w:tcPr>
          <w:p w14:paraId="2F70DA5A"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Prazo total</w:t>
            </w:r>
          </w:p>
        </w:tc>
        <w:tc>
          <w:tcPr>
            <w:tcW w:w="0" w:type="auto"/>
            <w:vAlign w:val="center"/>
            <w:hideMark/>
          </w:tcPr>
          <w:p w14:paraId="17758BD5"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34 anos</w:t>
            </w:r>
          </w:p>
        </w:tc>
      </w:tr>
      <w:tr w:rsidR="00A3112D" w:rsidRPr="00B74E01" w14:paraId="6D2177B8" w14:textId="77777777" w:rsidTr="002E7EED">
        <w:trPr>
          <w:tblCellSpacing w:w="15" w:type="dxa"/>
        </w:trPr>
        <w:tc>
          <w:tcPr>
            <w:tcW w:w="0" w:type="auto"/>
            <w:vAlign w:val="center"/>
            <w:hideMark/>
          </w:tcPr>
          <w:p w14:paraId="063B18A2"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Financiamento</w:t>
            </w:r>
          </w:p>
        </w:tc>
        <w:tc>
          <w:tcPr>
            <w:tcW w:w="0" w:type="auto"/>
            <w:vAlign w:val="center"/>
            <w:hideMark/>
          </w:tcPr>
          <w:p w14:paraId="242CB733"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Carência</w:t>
            </w:r>
          </w:p>
        </w:tc>
        <w:tc>
          <w:tcPr>
            <w:tcW w:w="0" w:type="auto"/>
            <w:vAlign w:val="center"/>
            <w:hideMark/>
          </w:tcPr>
          <w:p w14:paraId="627CE9C8"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8 anos</w:t>
            </w:r>
          </w:p>
        </w:tc>
      </w:tr>
      <w:tr w:rsidR="00A3112D" w:rsidRPr="00B74E01" w14:paraId="4943E661" w14:textId="77777777" w:rsidTr="002E7EED">
        <w:trPr>
          <w:tblCellSpacing w:w="15" w:type="dxa"/>
        </w:trPr>
        <w:tc>
          <w:tcPr>
            <w:tcW w:w="0" w:type="auto"/>
            <w:vAlign w:val="center"/>
            <w:hideMark/>
          </w:tcPr>
          <w:p w14:paraId="37FAB46C"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Financiamento</w:t>
            </w:r>
          </w:p>
        </w:tc>
        <w:tc>
          <w:tcPr>
            <w:tcW w:w="0" w:type="auto"/>
            <w:vAlign w:val="center"/>
            <w:hideMark/>
          </w:tcPr>
          <w:p w14:paraId="27E86056"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Parcela após carência</w:t>
            </w:r>
          </w:p>
        </w:tc>
        <w:tc>
          <w:tcPr>
            <w:tcW w:w="0" w:type="auto"/>
            <w:vAlign w:val="center"/>
            <w:hideMark/>
          </w:tcPr>
          <w:p w14:paraId="18C49990"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R$ 280.892,95/mês</w:t>
            </w:r>
          </w:p>
        </w:tc>
      </w:tr>
      <w:tr w:rsidR="00A3112D" w:rsidRPr="00B74E01" w14:paraId="7D3C84D7" w14:textId="77777777" w:rsidTr="002E7EED">
        <w:trPr>
          <w:tblCellSpacing w:w="15" w:type="dxa"/>
        </w:trPr>
        <w:tc>
          <w:tcPr>
            <w:tcW w:w="0" w:type="auto"/>
            <w:vAlign w:val="center"/>
            <w:hideMark/>
          </w:tcPr>
          <w:p w14:paraId="4CE9F280"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Indicador</w:t>
            </w:r>
          </w:p>
        </w:tc>
        <w:tc>
          <w:tcPr>
            <w:tcW w:w="0" w:type="auto"/>
            <w:vAlign w:val="center"/>
            <w:hideMark/>
          </w:tcPr>
          <w:p w14:paraId="4608FB7B"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EBITDA sem acessórias</w:t>
            </w:r>
          </w:p>
        </w:tc>
        <w:tc>
          <w:tcPr>
            <w:tcW w:w="0" w:type="auto"/>
            <w:vAlign w:val="center"/>
            <w:hideMark/>
          </w:tcPr>
          <w:p w14:paraId="61A4757F"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R$ 314.606,70/mês</w:t>
            </w:r>
          </w:p>
        </w:tc>
      </w:tr>
      <w:tr w:rsidR="00A3112D" w:rsidRPr="00B74E01" w14:paraId="073CC95F" w14:textId="77777777" w:rsidTr="002E7EED">
        <w:trPr>
          <w:tblCellSpacing w:w="15" w:type="dxa"/>
        </w:trPr>
        <w:tc>
          <w:tcPr>
            <w:tcW w:w="0" w:type="auto"/>
            <w:vAlign w:val="center"/>
            <w:hideMark/>
          </w:tcPr>
          <w:p w14:paraId="15C1280A"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Indicador</w:t>
            </w:r>
          </w:p>
        </w:tc>
        <w:tc>
          <w:tcPr>
            <w:tcW w:w="0" w:type="auto"/>
            <w:vAlign w:val="center"/>
            <w:hideMark/>
          </w:tcPr>
          <w:p w14:paraId="2E29CBE5"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EBITDA com acessórias</w:t>
            </w:r>
          </w:p>
        </w:tc>
        <w:tc>
          <w:tcPr>
            <w:tcW w:w="0" w:type="auto"/>
            <w:vAlign w:val="center"/>
            <w:hideMark/>
          </w:tcPr>
          <w:p w14:paraId="147FD5E1"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R$ 1.107.091,76/mês</w:t>
            </w:r>
          </w:p>
        </w:tc>
      </w:tr>
      <w:tr w:rsidR="00A3112D" w:rsidRPr="00B74E01" w14:paraId="4DA130BA" w14:textId="77777777" w:rsidTr="002E7EED">
        <w:trPr>
          <w:tblCellSpacing w:w="15" w:type="dxa"/>
        </w:trPr>
        <w:tc>
          <w:tcPr>
            <w:tcW w:w="0" w:type="auto"/>
            <w:vAlign w:val="center"/>
            <w:hideMark/>
          </w:tcPr>
          <w:p w14:paraId="4205F091"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Indicador</w:t>
            </w:r>
          </w:p>
        </w:tc>
        <w:tc>
          <w:tcPr>
            <w:tcW w:w="0" w:type="auto"/>
            <w:vAlign w:val="center"/>
            <w:hideMark/>
          </w:tcPr>
          <w:p w14:paraId="78EAC736"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DSCR sem acessórias</w:t>
            </w:r>
          </w:p>
        </w:tc>
        <w:tc>
          <w:tcPr>
            <w:tcW w:w="0" w:type="auto"/>
            <w:vAlign w:val="center"/>
            <w:hideMark/>
          </w:tcPr>
          <w:p w14:paraId="61E948F8"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1,12x</w:t>
            </w:r>
          </w:p>
        </w:tc>
      </w:tr>
      <w:tr w:rsidR="00A3112D" w:rsidRPr="00B74E01" w14:paraId="5F2C2D6F" w14:textId="77777777" w:rsidTr="002E7EED">
        <w:trPr>
          <w:tblCellSpacing w:w="15" w:type="dxa"/>
        </w:trPr>
        <w:tc>
          <w:tcPr>
            <w:tcW w:w="0" w:type="auto"/>
            <w:vAlign w:val="center"/>
            <w:hideMark/>
          </w:tcPr>
          <w:p w14:paraId="3BD73938"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Indicador</w:t>
            </w:r>
          </w:p>
        </w:tc>
        <w:tc>
          <w:tcPr>
            <w:tcW w:w="0" w:type="auto"/>
            <w:vAlign w:val="center"/>
            <w:hideMark/>
          </w:tcPr>
          <w:p w14:paraId="4ABAF787"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DSCR com acessórias</w:t>
            </w:r>
          </w:p>
        </w:tc>
        <w:tc>
          <w:tcPr>
            <w:tcW w:w="0" w:type="auto"/>
            <w:vAlign w:val="center"/>
            <w:hideMark/>
          </w:tcPr>
          <w:p w14:paraId="01B6DC40"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3,94x</w:t>
            </w:r>
          </w:p>
        </w:tc>
      </w:tr>
      <w:tr w:rsidR="00A3112D" w:rsidRPr="00B74E01" w14:paraId="4A3A7D3A" w14:textId="77777777" w:rsidTr="002E7EED">
        <w:trPr>
          <w:tblCellSpacing w:w="15" w:type="dxa"/>
        </w:trPr>
        <w:tc>
          <w:tcPr>
            <w:tcW w:w="0" w:type="auto"/>
            <w:vAlign w:val="center"/>
            <w:hideMark/>
          </w:tcPr>
          <w:p w14:paraId="3CD7DF48"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Garantia</w:t>
            </w:r>
          </w:p>
        </w:tc>
        <w:tc>
          <w:tcPr>
            <w:tcW w:w="0" w:type="auto"/>
            <w:vAlign w:val="center"/>
            <w:hideMark/>
          </w:tcPr>
          <w:p w14:paraId="409DA379"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Garantia recomendada — R$ 95/t</w:t>
            </w:r>
          </w:p>
        </w:tc>
        <w:tc>
          <w:tcPr>
            <w:tcW w:w="0" w:type="auto"/>
            <w:vAlign w:val="center"/>
            <w:hideMark/>
          </w:tcPr>
          <w:p w14:paraId="7A953C62"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R$ 4.200.462,54</w:t>
            </w:r>
          </w:p>
        </w:tc>
      </w:tr>
    </w:tbl>
    <w:p w14:paraId="61B9A773" w14:textId="77777777" w:rsidR="00A22CDA" w:rsidRDefault="00A22CDA" w:rsidP="00A22CDA">
      <w:pPr>
        <w:pStyle w:val="Ttulo1"/>
        <w:rPr>
          <w:rFonts w:eastAsia="Times New Roman"/>
          <w:lang w:eastAsia="pt-BR"/>
        </w:rPr>
      </w:pPr>
    </w:p>
    <w:p w14:paraId="10F92313" w14:textId="77777777" w:rsidR="00A22CDA" w:rsidRDefault="00A22CDA" w:rsidP="00A22CDA">
      <w:pPr>
        <w:rPr>
          <w:lang w:eastAsia="pt-BR"/>
        </w:rPr>
      </w:pPr>
    </w:p>
    <w:p w14:paraId="1FD13CD5" w14:textId="77777777" w:rsidR="00A22CDA" w:rsidRDefault="00A22CDA" w:rsidP="00A22CDA">
      <w:pPr>
        <w:rPr>
          <w:lang w:eastAsia="pt-BR"/>
        </w:rPr>
      </w:pPr>
    </w:p>
    <w:p w14:paraId="552B658B" w14:textId="77777777" w:rsidR="00A22CDA" w:rsidRDefault="00A22CDA" w:rsidP="00A22CDA">
      <w:pPr>
        <w:rPr>
          <w:lang w:eastAsia="pt-BR"/>
        </w:rPr>
      </w:pPr>
    </w:p>
    <w:p w14:paraId="3DA72B8E" w14:textId="77777777" w:rsidR="00A22CDA" w:rsidRDefault="00A22CDA" w:rsidP="00A22CDA">
      <w:pPr>
        <w:rPr>
          <w:lang w:eastAsia="pt-BR"/>
        </w:rPr>
      </w:pPr>
    </w:p>
    <w:p w14:paraId="703D9DB2" w14:textId="77777777" w:rsidR="00A22CDA" w:rsidRDefault="00A22CDA" w:rsidP="00A22CDA">
      <w:pPr>
        <w:rPr>
          <w:lang w:eastAsia="pt-BR"/>
        </w:rPr>
      </w:pPr>
    </w:p>
    <w:p w14:paraId="1CA254D0" w14:textId="77777777" w:rsidR="00A22CDA" w:rsidRDefault="00A22CDA" w:rsidP="00A22CDA">
      <w:pPr>
        <w:rPr>
          <w:lang w:eastAsia="pt-BR"/>
        </w:rPr>
      </w:pPr>
    </w:p>
    <w:p w14:paraId="7CAFE6E1" w14:textId="77777777" w:rsidR="00A22CDA" w:rsidRPr="00A22CDA" w:rsidRDefault="00A22CDA" w:rsidP="00A22CDA">
      <w:pPr>
        <w:rPr>
          <w:lang w:eastAsia="pt-BR"/>
        </w:rPr>
      </w:pPr>
    </w:p>
    <w:p w14:paraId="5F187347" w14:textId="6D6BF598" w:rsidR="00A3112D" w:rsidRPr="00B74E01" w:rsidRDefault="00A3112D" w:rsidP="00A22CDA">
      <w:pPr>
        <w:pStyle w:val="Ttulo1"/>
        <w:rPr>
          <w:rFonts w:eastAsia="Times New Roman"/>
          <w:lang w:eastAsia="pt-BR"/>
        </w:rPr>
      </w:pPr>
      <w:bookmarkStart w:id="255" w:name="_Toc230204257"/>
      <w:r w:rsidRPr="00B74E01">
        <w:rPr>
          <w:rFonts w:eastAsia="Times New Roman"/>
          <w:lang w:eastAsia="pt-BR"/>
        </w:rPr>
        <w:lastRenderedPageBreak/>
        <w:t>Anexo II — Memórias de Cálculo</w:t>
      </w:r>
      <w:bookmarkEnd w:id="255"/>
    </w:p>
    <w:p w14:paraId="480B5E42"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Este anexo reúne as principais fórmulas utilizadas na modelagem.</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629"/>
        <w:gridCol w:w="4172"/>
        <w:gridCol w:w="2260"/>
      </w:tblGrid>
      <w:tr w:rsidR="00A3112D" w:rsidRPr="00B74E01" w14:paraId="6A471D05" w14:textId="77777777" w:rsidTr="002E7EED">
        <w:trPr>
          <w:tblHeade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772BE04A" w14:textId="77777777" w:rsidR="00A3112D" w:rsidRPr="00B74E01" w:rsidRDefault="00A3112D" w:rsidP="00A22CDA">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Cálculo</w:t>
            </w:r>
          </w:p>
        </w:tc>
        <w:tc>
          <w:tcPr>
            <w:tcW w:w="0" w:type="auto"/>
            <w:tcBorders>
              <w:top w:val="single" w:sz="4" w:space="0" w:color="auto"/>
              <w:left w:val="single" w:sz="4" w:space="0" w:color="auto"/>
              <w:bottom w:val="single" w:sz="4" w:space="0" w:color="auto"/>
              <w:right w:val="single" w:sz="4" w:space="0" w:color="auto"/>
            </w:tcBorders>
            <w:vAlign w:val="center"/>
            <w:hideMark/>
          </w:tcPr>
          <w:p w14:paraId="694880AC" w14:textId="77777777" w:rsidR="00A3112D" w:rsidRPr="00B74E01" w:rsidRDefault="00A3112D" w:rsidP="00A22CDA">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Fórmula-base</w:t>
            </w:r>
          </w:p>
        </w:tc>
        <w:tc>
          <w:tcPr>
            <w:tcW w:w="0" w:type="auto"/>
            <w:tcBorders>
              <w:top w:val="single" w:sz="4" w:space="0" w:color="auto"/>
              <w:left w:val="single" w:sz="4" w:space="0" w:color="auto"/>
              <w:bottom w:val="single" w:sz="4" w:space="0" w:color="auto"/>
              <w:right w:val="single" w:sz="4" w:space="0" w:color="auto"/>
            </w:tcBorders>
            <w:vAlign w:val="center"/>
            <w:hideMark/>
          </w:tcPr>
          <w:p w14:paraId="1D7D4830" w14:textId="77777777" w:rsidR="00A3112D" w:rsidRPr="00B74E01" w:rsidRDefault="00A3112D" w:rsidP="00A22CDA">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Resultado</w:t>
            </w:r>
          </w:p>
        </w:tc>
      </w:tr>
      <w:tr w:rsidR="00A3112D" w:rsidRPr="00B74E01" w14:paraId="0DDCE013" w14:textId="77777777" w:rsidTr="002E7EED">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453142E0" w14:textId="77777777" w:rsidR="00A3112D" w:rsidRPr="00B74E01" w:rsidRDefault="00A3112D" w:rsidP="00A22CDA">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Receita RSU — R$ 95/t</w:t>
            </w:r>
          </w:p>
        </w:tc>
        <w:tc>
          <w:tcPr>
            <w:tcW w:w="0" w:type="auto"/>
            <w:tcBorders>
              <w:top w:val="single" w:sz="4" w:space="0" w:color="auto"/>
              <w:left w:val="single" w:sz="4" w:space="0" w:color="auto"/>
              <w:bottom w:val="single" w:sz="4" w:space="0" w:color="auto"/>
              <w:right w:val="single" w:sz="4" w:space="0" w:color="auto"/>
            </w:tcBorders>
            <w:vAlign w:val="center"/>
            <w:hideMark/>
          </w:tcPr>
          <w:p w14:paraId="0DDF6119" w14:textId="77777777" w:rsidR="00A3112D" w:rsidRPr="00B74E01" w:rsidRDefault="00A3112D" w:rsidP="00A22CDA">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80 t/dia × R$ 95 × 365 ÷ 12</w:t>
            </w:r>
          </w:p>
        </w:tc>
        <w:tc>
          <w:tcPr>
            <w:tcW w:w="0" w:type="auto"/>
            <w:tcBorders>
              <w:top w:val="single" w:sz="4" w:space="0" w:color="auto"/>
              <w:left w:val="single" w:sz="4" w:space="0" w:color="auto"/>
              <w:bottom w:val="single" w:sz="4" w:space="0" w:color="auto"/>
              <w:right w:val="single" w:sz="4" w:space="0" w:color="auto"/>
            </w:tcBorders>
            <w:vAlign w:val="center"/>
            <w:hideMark/>
          </w:tcPr>
          <w:p w14:paraId="4D9CA7C4" w14:textId="77777777" w:rsidR="00A3112D" w:rsidRPr="00B74E01" w:rsidRDefault="00A3112D" w:rsidP="00A22CDA">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R$ 231.166,67/mês</w:t>
            </w:r>
          </w:p>
        </w:tc>
      </w:tr>
      <w:tr w:rsidR="00A3112D" w:rsidRPr="00B74E01" w14:paraId="00FE5220" w14:textId="77777777" w:rsidTr="002E7EED">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6D8CF285" w14:textId="77777777" w:rsidR="00A3112D" w:rsidRPr="00B74E01" w:rsidRDefault="00A3112D" w:rsidP="00A22CDA">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Receita RSU — R$ 140/t</w:t>
            </w:r>
          </w:p>
        </w:tc>
        <w:tc>
          <w:tcPr>
            <w:tcW w:w="0" w:type="auto"/>
            <w:tcBorders>
              <w:top w:val="single" w:sz="4" w:space="0" w:color="auto"/>
              <w:left w:val="single" w:sz="4" w:space="0" w:color="auto"/>
              <w:bottom w:val="single" w:sz="4" w:space="0" w:color="auto"/>
              <w:right w:val="single" w:sz="4" w:space="0" w:color="auto"/>
            </w:tcBorders>
            <w:vAlign w:val="center"/>
            <w:hideMark/>
          </w:tcPr>
          <w:p w14:paraId="5340CC4E" w14:textId="77777777" w:rsidR="00A3112D" w:rsidRPr="00B74E01" w:rsidRDefault="00A3112D" w:rsidP="00A22CDA">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80 t/dia × R$ 140 × 365 ÷ 12</w:t>
            </w:r>
          </w:p>
        </w:tc>
        <w:tc>
          <w:tcPr>
            <w:tcW w:w="0" w:type="auto"/>
            <w:tcBorders>
              <w:top w:val="single" w:sz="4" w:space="0" w:color="auto"/>
              <w:left w:val="single" w:sz="4" w:space="0" w:color="auto"/>
              <w:bottom w:val="single" w:sz="4" w:space="0" w:color="auto"/>
              <w:right w:val="single" w:sz="4" w:space="0" w:color="auto"/>
            </w:tcBorders>
            <w:vAlign w:val="center"/>
            <w:hideMark/>
          </w:tcPr>
          <w:p w14:paraId="77EAAD11" w14:textId="77777777" w:rsidR="00A3112D" w:rsidRPr="00B74E01" w:rsidRDefault="00A3112D" w:rsidP="00A22CDA">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R$ 340.666,67/mês</w:t>
            </w:r>
          </w:p>
        </w:tc>
      </w:tr>
      <w:tr w:rsidR="00A3112D" w:rsidRPr="00B74E01" w14:paraId="204750AE" w14:textId="77777777" w:rsidTr="002E7EED">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37A14D4C" w14:textId="77777777" w:rsidR="00A3112D" w:rsidRPr="00B74E01" w:rsidRDefault="00A3112D" w:rsidP="00A22CDA">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Receita energética SPE</w:t>
            </w:r>
          </w:p>
        </w:tc>
        <w:tc>
          <w:tcPr>
            <w:tcW w:w="0" w:type="auto"/>
            <w:tcBorders>
              <w:top w:val="single" w:sz="4" w:space="0" w:color="auto"/>
              <w:left w:val="single" w:sz="4" w:space="0" w:color="auto"/>
              <w:bottom w:val="single" w:sz="4" w:space="0" w:color="auto"/>
              <w:right w:val="single" w:sz="4" w:space="0" w:color="auto"/>
            </w:tcBorders>
            <w:vAlign w:val="center"/>
            <w:hideMark/>
          </w:tcPr>
          <w:p w14:paraId="421F34E0" w14:textId="77777777" w:rsidR="00A3112D" w:rsidRPr="00B74E01" w:rsidRDefault="00A3112D" w:rsidP="00A22CDA">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Valor modelado</w:t>
            </w:r>
          </w:p>
        </w:tc>
        <w:tc>
          <w:tcPr>
            <w:tcW w:w="0" w:type="auto"/>
            <w:tcBorders>
              <w:top w:val="single" w:sz="4" w:space="0" w:color="auto"/>
              <w:left w:val="single" w:sz="4" w:space="0" w:color="auto"/>
              <w:bottom w:val="single" w:sz="4" w:space="0" w:color="auto"/>
              <w:right w:val="single" w:sz="4" w:space="0" w:color="auto"/>
            </w:tcBorders>
            <w:vAlign w:val="center"/>
            <w:hideMark/>
          </w:tcPr>
          <w:p w14:paraId="423C59A1" w14:textId="77777777" w:rsidR="00A3112D" w:rsidRPr="00B74E01" w:rsidRDefault="00A3112D" w:rsidP="00A22CDA">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R$ 468.910,42/mês</w:t>
            </w:r>
          </w:p>
        </w:tc>
      </w:tr>
      <w:tr w:rsidR="00A3112D" w:rsidRPr="00B74E01" w14:paraId="1748E2CB" w14:textId="77777777" w:rsidTr="002E7EED">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6AEED8DB" w14:textId="77777777" w:rsidR="00A3112D" w:rsidRPr="00B74E01" w:rsidRDefault="00A3112D" w:rsidP="00A22CDA">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Receita principal — R$ 95/t</w:t>
            </w:r>
          </w:p>
        </w:tc>
        <w:tc>
          <w:tcPr>
            <w:tcW w:w="0" w:type="auto"/>
            <w:tcBorders>
              <w:top w:val="single" w:sz="4" w:space="0" w:color="auto"/>
              <w:left w:val="single" w:sz="4" w:space="0" w:color="auto"/>
              <w:bottom w:val="single" w:sz="4" w:space="0" w:color="auto"/>
              <w:right w:val="single" w:sz="4" w:space="0" w:color="auto"/>
            </w:tcBorders>
            <w:vAlign w:val="center"/>
            <w:hideMark/>
          </w:tcPr>
          <w:p w14:paraId="68024BDB" w14:textId="77777777" w:rsidR="00A3112D" w:rsidRPr="00B74E01" w:rsidRDefault="00A3112D" w:rsidP="00A22CDA">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R$ 231.166,67 + R$ 468.910,42</w:t>
            </w:r>
          </w:p>
        </w:tc>
        <w:tc>
          <w:tcPr>
            <w:tcW w:w="0" w:type="auto"/>
            <w:tcBorders>
              <w:top w:val="single" w:sz="4" w:space="0" w:color="auto"/>
              <w:left w:val="single" w:sz="4" w:space="0" w:color="auto"/>
              <w:bottom w:val="single" w:sz="4" w:space="0" w:color="auto"/>
              <w:right w:val="single" w:sz="4" w:space="0" w:color="auto"/>
            </w:tcBorders>
            <w:vAlign w:val="center"/>
            <w:hideMark/>
          </w:tcPr>
          <w:p w14:paraId="3B250BF7" w14:textId="77777777" w:rsidR="00A3112D" w:rsidRPr="00B74E01" w:rsidRDefault="00A3112D" w:rsidP="00A22CDA">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R$ 700.077,09/mês</w:t>
            </w:r>
          </w:p>
        </w:tc>
      </w:tr>
      <w:tr w:rsidR="00A3112D" w:rsidRPr="00B74E01" w14:paraId="24F4F386" w14:textId="77777777" w:rsidTr="002E7EED">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623133FA" w14:textId="77777777" w:rsidR="00A3112D" w:rsidRPr="00B74E01" w:rsidRDefault="00A3112D" w:rsidP="00A22CDA">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Receita principal — R$ 140/t</w:t>
            </w:r>
          </w:p>
        </w:tc>
        <w:tc>
          <w:tcPr>
            <w:tcW w:w="0" w:type="auto"/>
            <w:tcBorders>
              <w:top w:val="single" w:sz="4" w:space="0" w:color="auto"/>
              <w:left w:val="single" w:sz="4" w:space="0" w:color="auto"/>
              <w:bottom w:val="single" w:sz="4" w:space="0" w:color="auto"/>
              <w:right w:val="single" w:sz="4" w:space="0" w:color="auto"/>
            </w:tcBorders>
            <w:vAlign w:val="center"/>
            <w:hideMark/>
          </w:tcPr>
          <w:p w14:paraId="14A3DA6F" w14:textId="77777777" w:rsidR="00A3112D" w:rsidRPr="00B74E01" w:rsidRDefault="00A3112D" w:rsidP="00A22CDA">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R$ 340.666,67 + R$ 468.910,42</w:t>
            </w:r>
          </w:p>
        </w:tc>
        <w:tc>
          <w:tcPr>
            <w:tcW w:w="0" w:type="auto"/>
            <w:tcBorders>
              <w:top w:val="single" w:sz="4" w:space="0" w:color="auto"/>
              <w:left w:val="single" w:sz="4" w:space="0" w:color="auto"/>
              <w:bottom w:val="single" w:sz="4" w:space="0" w:color="auto"/>
              <w:right w:val="single" w:sz="4" w:space="0" w:color="auto"/>
            </w:tcBorders>
            <w:vAlign w:val="center"/>
            <w:hideMark/>
          </w:tcPr>
          <w:p w14:paraId="6CFF9B47" w14:textId="77777777" w:rsidR="00A3112D" w:rsidRPr="00B74E01" w:rsidRDefault="00A3112D" w:rsidP="00A22CDA">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R$ 809.577,09/mês</w:t>
            </w:r>
          </w:p>
        </w:tc>
      </w:tr>
      <w:tr w:rsidR="00A3112D" w:rsidRPr="00B74E01" w14:paraId="5671CDF2" w14:textId="77777777" w:rsidTr="002E7EED">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642F118D" w14:textId="77777777" w:rsidR="00A3112D" w:rsidRPr="00B74E01" w:rsidRDefault="00A3112D" w:rsidP="00A22CDA">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Economia energética</w:t>
            </w:r>
          </w:p>
        </w:tc>
        <w:tc>
          <w:tcPr>
            <w:tcW w:w="0" w:type="auto"/>
            <w:tcBorders>
              <w:top w:val="single" w:sz="4" w:space="0" w:color="auto"/>
              <w:left w:val="single" w:sz="4" w:space="0" w:color="auto"/>
              <w:bottom w:val="single" w:sz="4" w:space="0" w:color="auto"/>
              <w:right w:val="single" w:sz="4" w:space="0" w:color="auto"/>
            </w:tcBorders>
            <w:vAlign w:val="center"/>
            <w:hideMark/>
          </w:tcPr>
          <w:p w14:paraId="7CC13F10" w14:textId="77777777" w:rsidR="00A3112D" w:rsidRPr="00B74E01" w:rsidRDefault="00A3112D" w:rsidP="00A22CDA">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R$ 724.745,63 − R$ 468.910,42</w:t>
            </w:r>
          </w:p>
        </w:tc>
        <w:tc>
          <w:tcPr>
            <w:tcW w:w="0" w:type="auto"/>
            <w:tcBorders>
              <w:top w:val="single" w:sz="4" w:space="0" w:color="auto"/>
              <w:left w:val="single" w:sz="4" w:space="0" w:color="auto"/>
              <w:bottom w:val="single" w:sz="4" w:space="0" w:color="auto"/>
              <w:right w:val="single" w:sz="4" w:space="0" w:color="auto"/>
            </w:tcBorders>
            <w:vAlign w:val="center"/>
            <w:hideMark/>
          </w:tcPr>
          <w:p w14:paraId="1C9D37C9" w14:textId="77777777" w:rsidR="00A3112D" w:rsidRPr="00B74E01" w:rsidRDefault="00A3112D" w:rsidP="00A22CDA">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R$ 255.835,21/mês</w:t>
            </w:r>
          </w:p>
        </w:tc>
      </w:tr>
      <w:tr w:rsidR="00A3112D" w:rsidRPr="00B74E01" w14:paraId="7C103898" w14:textId="77777777" w:rsidTr="002E7EED">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66F69208" w14:textId="77777777" w:rsidR="00A3112D" w:rsidRPr="00B74E01" w:rsidRDefault="00A3112D" w:rsidP="00A22CDA">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Saldo energia x RSU — R$ 95/t</w:t>
            </w:r>
          </w:p>
        </w:tc>
        <w:tc>
          <w:tcPr>
            <w:tcW w:w="0" w:type="auto"/>
            <w:tcBorders>
              <w:top w:val="single" w:sz="4" w:space="0" w:color="auto"/>
              <w:left w:val="single" w:sz="4" w:space="0" w:color="auto"/>
              <w:bottom w:val="single" w:sz="4" w:space="0" w:color="auto"/>
              <w:right w:val="single" w:sz="4" w:space="0" w:color="auto"/>
            </w:tcBorders>
            <w:vAlign w:val="center"/>
            <w:hideMark/>
          </w:tcPr>
          <w:p w14:paraId="1C4D23EF" w14:textId="77777777" w:rsidR="00A3112D" w:rsidRPr="00B74E01" w:rsidRDefault="00A3112D" w:rsidP="00A22CDA">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R$ 255.835,21 − R$ 231.166,67</w:t>
            </w:r>
          </w:p>
        </w:tc>
        <w:tc>
          <w:tcPr>
            <w:tcW w:w="0" w:type="auto"/>
            <w:tcBorders>
              <w:top w:val="single" w:sz="4" w:space="0" w:color="auto"/>
              <w:left w:val="single" w:sz="4" w:space="0" w:color="auto"/>
              <w:bottom w:val="single" w:sz="4" w:space="0" w:color="auto"/>
              <w:right w:val="single" w:sz="4" w:space="0" w:color="auto"/>
            </w:tcBorders>
            <w:vAlign w:val="center"/>
            <w:hideMark/>
          </w:tcPr>
          <w:p w14:paraId="5668584C" w14:textId="77777777" w:rsidR="00A3112D" w:rsidRPr="00B74E01" w:rsidRDefault="00A3112D" w:rsidP="00A22CDA">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R$ 24.668,54/mês</w:t>
            </w:r>
          </w:p>
        </w:tc>
      </w:tr>
      <w:tr w:rsidR="00A3112D" w:rsidRPr="00B74E01" w14:paraId="35548C3C" w14:textId="77777777" w:rsidTr="002E7EED">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15580905" w14:textId="77777777" w:rsidR="00A3112D" w:rsidRPr="00B74E01" w:rsidRDefault="00A3112D" w:rsidP="00A22CDA">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Custo médio atual kWh</w:t>
            </w:r>
          </w:p>
        </w:tc>
        <w:tc>
          <w:tcPr>
            <w:tcW w:w="0" w:type="auto"/>
            <w:tcBorders>
              <w:top w:val="single" w:sz="4" w:space="0" w:color="auto"/>
              <w:left w:val="single" w:sz="4" w:space="0" w:color="auto"/>
              <w:bottom w:val="single" w:sz="4" w:space="0" w:color="auto"/>
              <w:right w:val="single" w:sz="4" w:space="0" w:color="auto"/>
            </w:tcBorders>
            <w:vAlign w:val="center"/>
            <w:hideMark/>
          </w:tcPr>
          <w:p w14:paraId="6D5ECA92" w14:textId="77777777" w:rsidR="00A3112D" w:rsidRPr="00B74E01" w:rsidRDefault="00A3112D" w:rsidP="00A22CDA">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R$ 724.745,63 ÷ 1.059.797 kWh</w:t>
            </w:r>
          </w:p>
        </w:tc>
        <w:tc>
          <w:tcPr>
            <w:tcW w:w="0" w:type="auto"/>
            <w:tcBorders>
              <w:top w:val="single" w:sz="4" w:space="0" w:color="auto"/>
              <w:left w:val="single" w:sz="4" w:space="0" w:color="auto"/>
              <w:bottom w:val="single" w:sz="4" w:space="0" w:color="auto"/>
              <w:right w:val="single" w:sz="4" w:space="0" w:color="auto"/>
            </w:tcBorders>
            <w:vAlign w:val="center"/>
            <w:hideMark/>
          </w:tcPr>
          <w:p w14:paraId="688E475C" w14:textId="77777777" w:rsidR="00A3112D" w:rsidRPr="00B74E01" w:rsidRDefault="00A3112D" w:rsidP="00A22CDA">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R$ 0,68385/kWh</w:t>
            </w:r>
          </w:p>
        </w:tc>
      </w:tr>
      <w:tr w:rsidR="00A3112D" w:rsidRPr="00B74E01" w14:paraId="2FCFCBFF" w14:textId="77777777" w:rsidTr="002E7EED">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07949E49" w14:textId="77777777" w:rsidR="00A3112D" w:rsidRPr="00B74E01" w:rsidRDefault="00A3112D" w:rsidP="00A22CDA">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Custo médio SPE kWh</w:t>
            </w:r>
          </w:p>
        </w:tc>
        <w:tc>
          <w:tcPr>
            <w:tcW w:w="0" w:type="auto"/>
            <w:tcBorders>
              <w:top w:val="single" w:sz="4" w:space="0" w:color="auto"/>
              <w:left w:val="single" w:sz="4" w:space="0" w:color="auto"/>
              <w:bottom w:val="single" w:sz="4" w:space="0" w:color="auto"/>
              <w:right w:val="single" w:sz="4" w:space="0" w:color="auto"/>
            </w:tcBorders>
            <w:vAlign w:val="center"/>
            <w:hideMark/>
          </w:tcPr>
          <w:p w14:paraId="6B890ABE" w14:textId="77777777" w:rsidR="00A3112D" w:rsidRPr="00B74E01" w:rsidRDefault="00A3112D" w:rsidP="00A22CDA">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R$ 468.910,42 ÷ 1.059.797 kWh</w:t>
            </w:r>
          </w:p>
        </w:tc>
        <w:tc>
          <w:tcPr>
            <w:tcW w:w="0" w:type="auto"/>
            <w:tcBorders>
              <w:top w:val="single" w:sz="4" w:space="0" w:color="auto"/>
              <w:left w:val="single" w:sz="4" w:space="0" w:color="auto"/>
              <w:bottom w:val="single" w:sz="4" w:space="0" w:color="auto"/>
              <w:right w:val="single" w:sz="4" w:space="0" w:color="auto"/>
            </w:tcBorders>
            <w:vAlign w:val="center"/>
            <w:hideMark/>
          </w:tcPr>
          <w:p w14:paraId="036E0C05" w14:textId="77777777" w:rsidR="00A3112D" w:rsidRPr="00B74E01" w:rsidRDefault="00A3112D" w:rsidP="00A22CDA">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R$ 0,44246/kWh</w:t>
            </w:r>
          </w:p>
        </w:tc>
      </w:tr>
      <w:tr w:rsidR="00A3112D" w:rsidRPr="00B74E01" w14:paraId="389EB3B1" w14:textId="77777777" w:rsidTr="002E7EED">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51D1C79C" w14:textId="77777777" w:rsidR="00A3112D" w:rsidRPr="00B74E01" w:rsidRDefault="00A3112D" w:rsidP="00A22CDA">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CAPEX com contingência</w:t>
            </w:r>
          </w:p>
        </w:tc>
        <w:tc>
          <w:tcPr>
            <w:tcW w:w="0" w:type="auto"/>
            <w:tcBorders>
              <w:top w:val="single" w:sz="4" w:space="0" w:color="auto"/>
              <w:left w:val="single" w:sz="4" w:space="0" w:color="auto"/>
              <w:bottom w:val="single" w:sz="4" w:space="0" w:color="auto"/>
              <w:right w:val="single" w:sz="4" w:space="0" w:color="auto"/>
            </w:tcBorders>
            <w:vAlign w:val="center"/>
            <w:hideMark/>
          </w:tcPr>
          <w:p w14:paraId="77E37A91" w14:textId="77777777" w:rsidR="00A3112D" w:rsidRPr="00B74E01" w:rsidRDefault="00A3112D" w:rsidP="00A22CDA">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R$ 26.252.043,00 + 10%</w:t>
            </w:r>
          </w:p>
        </w:tc>
        <w:tc>
          <w:tcPr>
            <w:tcW w:w="0" w:type="auto"/>
            <w:tcBorders>
              <w:top w:val="single" w:sz="4" w:space="0" w:color="auto"/>
              <w:left w:val="single" w:sz="4" w:space="0" w:color="auto"/>
              <w:bottom w:val="single" w:sz="4" w:space="0" w:color="auto"/>
              <w:right w:val="single" w:sz="4" w:space="0" w:color="auto"/>
            </w:tcBorders>
            <w:vAlign w:val="center"/>
            <w:hideMark/>
          </w:tcPr>
          <w:p w14:paraId="6CE21724" w14:textId="77777777" w:rsidR="00A3112D" w:rsidRPr="00B74E01" w:rsidRDefault="00A3112D" w:rsidP="00A22CDA">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R$ 28.877.247,30</w:t>
            </w:r>
          </w:p>
        </w:tc>
      </w:tr>
      <w:tr w:rsidR="00A3112D" w:rsidRPr="00B74E01" w14:paraId="500B3BC4" w14:textId="77777777" w:rsidTr="002E7EED">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3B6071A1" w14:textId="77777777" w:rsidR="00A3112D" w:rsidRPr="00B74E01" w:rsidRDefault="00A3112D" w:rsidP="00A22CDA">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Investimento total</w:t>
            </w:r>
          </w:p>
        </w:tc>
        <w:tc>
          <w:tcPr>
            <w:tcW w:w="0" w:type="auto"/>
            <w:tcBorders>
              <w:top w:val="single" w:sz="4" w:space="0" w:color="auto"/>
              <w:left w:val="single" w:sz="4" w:space="0" w:color="auto"/>
              <w:bottom w:val="single" w:sz="4" w:space="0" w:color="auto"/>
              <w:right w:val="single" w:sz="4" w:space="0" w:color="auto"/>
            </w:tcBorders>
            <w:vAlign w:val="center"/>
            <w:hideMark/>
          </w:tcPr>
          <w:p w14:paraId="7DF40FA4" w14:textId="77777777" w:rsidR="00A3112D" w:rsidRPr="00B74E01" w:rsidRDefault="00A3112D" w:rsidP="00A22CDA">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CAPEX com contingência + capital de giro + IDC</w:t>
            </w:r>
          </w:p>
        </w:tc>
        <w:tc>
          <w:tcPr>
            <w:tcW w:w="0" w:type="auto"/>
            <w:tcBorders>
              <w:top w:val="single" w:sz="4" w:space="0" w:color="auto"/>
              <w:left w:val="single" w:sz="4" w:space="0" w:color="auto"/>
              <w:bottom w:val="single" w:sz="4" w:space="0" w:color="auto"/>
              <w:right w:val="single" w:sz="4" w:space="0" w:color="auto"/>
            </w:tcBorders>
            <w:vAlign w:val="center"/>
            <w:hideMark/>
          </w:tcPr>
          <w:p w14:paraId="170904D6" w14:textId="77777777" w:rsidR="00A3112D" w:rsidRPr="00B74E01" w:rsidRDefault="00A3112D" w:rsidP="00A22CDA">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R$ 32.269.873,38</w:t>
            </w:r>
          </w:p>
        </w:tc>
      </w:tr>
      <w:tr w:rsidR="00A3112D" w:rsidRPr="00B74E01" w14:paraId="61E027F6" w14:textId="77777777" w:rsidTr="002E7EED">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5A00A69E" w14:textId="77777777" w:rsidR="00A3112D" w:rsidRPr="00B74E01" w:rsidRDefault="00A3112D" w:rsidP="00A22CDA">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EBITDA sem acessórias</w:t>
            </w:r>
          </w:p>
        </w:tc>
        <w:tc>
          <w:tcPr>
            <w:tcW w:w="0" w:type="auto"/>
            <w:tcBorders>
              <w:top w:val="single" w:sz="4" w:space="0" w:color="auto"/>
              <w:left w:val="single" w:sz="4" w:space="0" w:color="auto"/>
              <w:bottom w:val="single" w:sz="4" w:space="0" w:color="auto"/>
              <w:right w:val="single" w:sz="4" w:space="0" w:color="auto"/>
            </w:tcBorders>
            <w:vAlign w:val="center"/>
            <w:hideMark/>
          </w:tcPr>
          <w:p w14:paraId="6604E220" w14:textId="77777777" w:rsidR="00A3112D" w:rsidRPr="00B74E01" w:rsidRDefault="00A3112D" w:rsidP="00A22CDA">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Receita líquida principal − OPEX</w:t>
            </w:r>
          </w:p>
        </w:tc>
        <w:tc>
          <w:tcPr>
            <w:tcW w:w="0" w:type="auto"/>
            <w:tcBorders>
              <w:top w:val="single" w:sz="4" w:space="0" w:color="auto"/>
              <w:left w:val="single" w:sz="4" w:space="0" w:color="auto"/>
              <w:bottom w:val="single" w:sz="4" w:space="0" w:color="auto"/>
              <w:right w:val="single" w:sz="4" w:space="0" w:color="auto"/>
            </w:tcBorders>
            <w:vAlign w:val="center"/>
            <w:hideMark/>
          </w:tcPr>
          <w:p w14:paraId="6463C096" w14:textId="77777777" w:rsidR="00A3112D" w:rsidRPr="00B74E01" w:rsidRDefault="00A3112D" w:rsidP="00A22CDA">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R$ 314.606,70/mês</w:t>
            </w:r>
          </w:p>
        </w:tc>
      </w:tr>
      <w:tr w:rsidR="00A3112D" w:rsidRPr="00B74E01" w14:paraId="263265A4" w14:textId="77777777" w:rsidTr="002E7EED">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6F69F0AA" w14:textId="77777777" w:rsidR="00A3112D" w:rsidRPr="00B74E01" w:rsidRDefault="00A3112D" w:rsidP="00A22CDA">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EBITDA com acessórias</w:t>
            </w:r>
          </w:p>
        </w:tc>
        <w:tc>
          <w:tcPr>
            <w:tcW w:w="0" w:type="auto"/>
            <w:tcBorders>
              <w:top w:val="single" w:sz="4" w:space="0" w:color="auto"/>
              <w:left w:val="single" w:sz="4" w:space="0" w:color="auto"/>
              <w:bottom w:val="single" w:sz="4" w:space="0" w:color="auto"/>
              <w:right w:val="single" w:sz="4" w:space="0" w:color="auto"/>
            </w:tcBorders>
            <w:vAlign w:val="center"/>
            <w:hideMark/>
          </w:tcPr>
          <w:p w14:paraId="4E42A3F7" w14:textId="77777777" w:rsidR="00A3112D" w:rsidRPr="00B74E01" w:rsidRDefault="00A3112D" w:rsidP="00A22CDA">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EBITDA sem acessórias + acréscimo líquido acessórias</w:t>
            </w:r>
          </w:p>
        </w:tc>
        <w:tc>
          <w:tcPr>
            <w:tcW w:w="0" w:type="auto"/>
            <w:tcBorders>
              <w:top w:val="single" w:sz="4" w:space="0" w:color="auto"/>
              <w:left w:val="single" w:sz="4" w:space="0" w:color="auto"/>
              <w:bottom w:val="single" w:sz="4" w:space="0" w:color="auto"/>
              <w:right w:val="single" w:sz="4" w:space="0" w:color="auto"/>
            </w:tcBorders>
            <w:vAlign w:val="center"/>
            <w:hideMark/>
          </w:tcPr>
          <w:p w14:paraId="6D991E75" w14:textId="77777777" w:rsidR="00A3112D" w:rsidRPr="00B74E01" w:rsidRDefault="00A3112D" w:rsidP="00A22CDA">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R$ 1.107.091,76/mês</w:t>
            </w:r>
          </w:p>
        </w:tc>
      </w:tr>
      <w:tr w:rsidR="00A3112D" w:rsidRPr="00B74E01" w14:paraId="27C417F8" w14:textId="77777777" w:rsidTr="002E7EED">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76721739" w14:textId="77777777" w:rsidR="00A3112D" w:rsidRPr="00B74E01" w:rsidRDefault="00A3112D" w:rsidP="00A22CDA">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DSCR sem acessórias</w:t>
            </w:r>
          </w:p>
        </w:tc>
        <w:tc>
          <w:tcPr>
            <w:tcW w:w="0" w:type="auto"/>
            <w:tcBorders>
              <w:top w:val="single" w:sz="4" w:space="0" w:color="auto"/>
              <w:left w:val="single" w:sz="4" w:space="0" w:color="auto"/>
              <w:bottom w:val="single" w:sz="4" w:space="0" w:color="auto"/>
              <w:right w:val="single" w:sz="4" w:space="0" w:color="auto"/>
            </w:tcBorders>
            <w:vAlign w:val="center"/>
            <w:hideMark/>
          </w:tcPr>
          <w:p w14:paraId="11F1CCF6" w14:textId="77777777" w:rsidR="00A3112D" w:rsidRPr="00B74E01" w:rsidRDefault="00A3112D" w:rsidP="00A22CDA">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R$ 314.606,70 ÷ R$ 280.892,95</w:t>
            </w:r>
          </w:p>
        </w:tc>
        <w:tc>
          <w:tcPr>
            <w:tcW w:w="0" w:type="auto"/>
            <w:tcBorders>
              <w:top w:val="single" w:sz="4" w:space="0" w:color="auto"/>
              <w:left w:val="single" w:sz="4" w:space="0" w:color="auto"/>
              <w:bottom w:val="single" w:sz="4" w:space="0" w:color="auto"/>
              <w:right w:val="single" w:sz="4" w:space="0" w:color="auto"/>
            </w:tcBorders>
            <w:vAlign w:val="center"/>
            <w:hideMark/>
          </w:tcPr>
          <w:p w14:paraId="0450B889" w14:textId="77777777" w:rsidR="00A3112D" w:rsidRPr="00B74E01" w:rsidRDefault="00A3112D" w:rsidP="00A22CDA">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1,12x</w:t>
            </w:r>
          </w:p>
        </w:tc>
      </w:tr>
      <w:tr w:rsidR="00A3112D" w:rsidRPr="00B74E01" w14:paraId="0C1B5E62" w14:textId="77777777" w:rsidTr="002E7EED">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28D8416A" w14:textId="77777777" w:rsidR="00A3112D" w:rsidRPr="00B74E01" w:rsidRDefault="00A3112D" w:rsidP="00A22CDA">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DSCR com acessórias</w:t>
            </w:r>
          </w:p>
        </w:tc>
        <w:tc>
          <w:tcPr>
            <w:tcW w:w="0" w:type="auto"/>
            <w:tcBorders>
              <w:top w:val="single" w:sz="4" w:space="0" w:color="auto"/>
              <w:left w:val="single" w:sz="4" w:space="0" w:color="auto"/>
              <w:bottom w:val="single" w:sz="4" w:space="0" w:color="auto"/>
              <w:right w:val="single" w:sz="4" w:space="0" w:color="auto"/>
            </w:tcBorders>
            <w:vAlign w:val="center"/>
            <w:hideMark/>
          </w:tcPr>
          <w:p w14:paraId="0B523B74" w14:textId="77777777" w:rsidR="00A3112D" w:rsidRPr="00B74E01" w:rsidRDefault="00A3112D" w:rsidP="00A22CDA">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R$ 1.107.091,76 ÷ R$ 280.892,95</w:t>
            </w:r>
          </w:p>
        </w:tc>
        <w:tc>
          <w:tcPr>
            <w:tcW w:w="0" w:type="auto"/>
            <w:tcBorders>
              <w:top w:val="single" w:sz="4" w:space="0" w:color="auto"/>
              <w:left w:val="single" w:sz="4" w:space="0" w:color="auto"/>
              <w:bottom w:val="single" w:sz="4" w:space="0" w:color="auto"/>
              <w:right w:val="single" w:sz="4" w:space="0" w:color="auto"/>
            </w:tcBorders>
            <w:vAlign w:val="center"/>
            <w:hideMark/>
          </w:tcPr>
          <w:p w14:paraId="6CBF909A" w14:textId="77777777" w:rsidR="00A3112D" w:rsidRPr="00B74E01" w:rsidRDefault="00A3112D" w:rsidP="00A22CDA">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3,94x</w:t>
            </w:r>
          </w:p>
        </w:tc>
      </w:tr>
      <w:tr w:rsidR="00A3112D" w:rsidRPr="00B74E01" w14:paraId="37F434B7" w14:textId="77777777" w:rsidTr="002E7EED">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11008196" w14:textId="77777777" w:rsidR="00A3112D" w:rsidRPr="00B74E01" w:rsidRDefault="00A3112D" w:rsidP="00A22CDA">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Garantia 6 meses — R$ 95/t</w:t>
            </w:r>
          </w:p>
        </w:tc>
        <w:tc>
          <w:tcPr>
            <w:tcW w:w="0" w:type="auto"/>
            <w:tcBorders>
              <w:top w:val="single" w:sz="4" w:space="0" w:color="auto"/>
              <w:left w:val="single" w:sz="4" w:space="0" w:color="auto"/>
              <w:bottom w:val="single" w:sz="4" w:space="0" w:color="auto"/>
              <w:right w:val="single" w:sz="4" w:space="0" w:color="auto"/>
            </w:tcBorders>
            <w:vAlign w:val="center"/>
            <w:hideMark/>
          </w:tcPr>
          <w:p w14:paraId="5B7822DE" w14:textId="77777777" w:rsidR="00A3112D" w:rsidRPr="00B74E01" w:rsidRDefault="00A3112D" w:rsidP="00A22CDA">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R$ 700.077,09 × 6</w:t>
            </w:r>
          </w:p>
        </w:tc>
        <w:tc>
          <w:tcPr>
            <w:tcW w:w="0" w:type="auto"/>
            <w:tcBorders>
              <w:top w:val="single" w:sz="4" w:space="0" w:color="auto"/>
              <w:left w:val="single" w:sz="4" w:space="0" w:color="auto"/>
              <w:bottom w:val="single" w:sz="4" w:space="0" w:color="auto"/>
              <w:right w:val="single" w:sz="4" w:space="0" w:color="auto"/>
            </w:tcBorders>
            <w:vAlign w:val="center"/>
            <w:hideMark/>
          </w:tcPr>
          <w:p w14:paraId="2ADE9483" w14:textId="77777777" w:rsidR="00A3112D" w:rsidRPr="00B74E01" w:rsidRDefault="00A3112D" w:rsidP="00A22CDA">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R$ 4.200.462,54</w:t>
            </w:r>
          </w:p>
        </w:tc>
      </w:tr>
      <w:tr w:rsidR="00A3112D" w:rsidRPr="00B74E01" w14:paraId="55290BCF" w14:textId="77777777" w:rsidTr="002E7EED">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2E972321" w14:textId="77777777" w:rsidR="00A3112D" w:rsidRPr="00B74E01" w:rsidRDefault="00A3112D" w:rsidP="00A22CDA">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lastRenderedPageBreak/>
              <w:t>Garantia 6 meses — R$ 140/t</w:t>
            </w:r>
          </w:p>
        </w:tc>
        <w:tc>
          <w:tcPr>
            <w:tcW w:w="0" w:type="auto"/>
            <w:tcBorders>
              <w:top w:val="single" w:sz="4" w:space="0" w:color="auto"/>
              <w:left w:val="single" w:sz="4" w:space="0" w:color="auto"/>
              <w:bottom w:val="single" w:sz="4" w:space="0" w:color="auto"/>
              <w:right w:val="single" w:sz="4" w:space="0" w:color="auto"/>
            </w:tcBorders>
            <w:vAlign w:val="center"/>
            <w:hideMark/>
          </w:tcPr>
          <w:p w14:paraId="772B69E0" w14:textId="77777777" w:rsidR="00A3112D" w:rsidRPr="00B74E01" w:rsidRDefault="00A3112D" w:rsidP="00A22CDA">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R$ 809.577,09 × 6</w:t>
            </w:r>
          </w:p>
        </w:tc>
        <w:tc>
          <w:tcPr>
            <w:tcW w:w="0" w:type="auto"/>
            <w:tcBorders>
              <w:top w:val="single" w:sz="4" w:space="0" w:color="auto"/>
              <w:left w:val="single" w:sz="4" w:space="0" w:color="auto"/>
              <w:bottom w:val="single" w:sz="4" w:space="0" w:color="auto"/>
              <w:right w:val="single" w:sz="4" w:space="0" w:color="auto"/>
            </w:tcBorders>
            <w:vAlign w:val="center"/>
            <w:hideMark/>
          </w:tcPr>
          <w:p w14:paraId="57899BC0" w14:textId="77777777" w:rsidR="00A3112D" w:rsidRPr="00B74E01" w:rsidRDefault="00A3112D" w:rsidP="00A22CDA">
            <w:pPr>
              <w:spacing w:after="0" w:line="360" w:lineRule="auto"/>
              <w:jc w:val="both"/>
              <w:rPr>
                <w:rFonts w:eastAsia="Times New Roman" w:cs="Arial"/>
                <w:kern w:val="0"/>
                <w:lang w:eastAsia="pt-BR"/>
                <w14:ligatures w14:val="none"/>
              </w:rPr>
            </w:pPr>
            <w:r w:rsidRPr="00B74E01">
              <w:rPr>
                <w:rFonts w:eastAsia="Times New Roman" w:cs="Arial"/>
                <w:b/>
                <w:bCs/>
                <w:kern w:val="0"/>
                <w:lang w:eastAsia="pt-BR"/>
                <w14:ligatures w14:val="none"/>
              </w:rPr>
              <w:t>R$ 4.857.462,54</w:t>
            </w:r>
          </w:p>
        </w:tc>
      </w:tr>
    </w:tbl>
    <w:p w14:paraId="22B6F618" w14:textId="626CBD1A" w:rsidR="00A3112D" w:rsidRPr="00B74E01" w:rsidRDefault="00A3112D" w:rsidP="00B74E01">
      <w:pPr>
        <w:spacing w:after="0" w:line="360" w:lineRule="auto"/>
        <w:ind w:firstLine="709"/>
        <w:jc w:val="both"/>
        <w:rPr>
          <w:rFonts w:eastAsia="Times New Roman" w:cs="Arial"/>
          <w:kern w:val="0"/>
          <w:lang w:eastAsia="pt-BR"/>
          <w14:ligatures w14:val="none"/>
        </w:rPr>
      </w:pPr>
    </w:p>
    <w:p w14:paraId="7F6D7ECF" w14:textId="77777777" w:rsidR="00A22CDA" w:rsidRDefault="00A22CDA" w:rsidP="00B74E01">
      <w:pPr>
        <w:spacing w:before="100" w:beforeAutospacing="1" w:after="100" w:afterAutospacing="1" w:line="360" w:lineRule="auto"/>
        <w:ind w:firstLine="709"/>
        <w:jc w:val="both"/>
        <w:outlineLvl w:val="0"/>
        <w:rPr>
          <w:rFonts w:eastAsia="Times New Roman" w:cs="Arial"/>
          <w:b/>
          <w:bCs/>
          <w:kern w:val="36"/>
          <w:lang w:eastAsia="pt-BR"/>
          <w14:ligatures w14:val="none"/>
        </w:rPr>
      </w:pPr>
    </w:p>
    <w:p w14:paraId="6529EA7B" w14:textId="77777777" w:rsidR="00A22CDA" w:rsidRDefault="00A22CDA" w:rsidP="00B74E01">
      <w:pPr>
        <w:spacing w:before="100" w:beforeAutospacing="1" w:after="100" w:afterAutospacing="1" w:line="360" w:lineRule="auto"/>
        <w:ind w:firstLine="709"/>
        <w:jc w:val="both"/>
        <w:outlineLvl w:val="0"/>
        <w:rPr>
          <w:rFonts w:eastAsia="Times New Roman" w:cs="Arial"/>
          <w:b/>
          <w:bCs/>
          <w:kern w:val="36"/>
          <w:lang w:eastAsia="pt-BR"/>
          <w14:ligatures w14:val="none"/>
        </w:rPr>
      </w:pPr>
    </w:p>
    <w:p w14:paraId="13EC3969" w14:textId="77777777" w:rsidR="00A22CDA" w:rsidRDefault="00A22CDA" w:rsidP="00B74E01">
      <w:pPr>
        <w:spacing w:before="100" w:beforeAutospacing="1" w:after="100" w:afterAutospacing="1" w:line="360" w:lineRule="auto"/>
        <w:ind w:firstLine="709"/>
        <w:jc w:val="both"/>
        <w:outlineLvl w:val="0"/>
        <w:rPr>
          <w:rFonts w:eastAsia="Times New Roman" w:cs="Arial"/>
          <w:b/>
          <w:bCs/>
          <w:kern w:val="36"/>
          <w:lang w:eastAsia="pt-BR"/>
          <w14:ligatures w14:val="none"/>
        </w:rPr>
      </w:pPr>
    </w:p>
    <w:p w14:paraId="3E7819D2" w14:textId="77777777" w:rsidR="00A22CDA" w:rsidRDefault="00A22CDA" w:rsidP="00B74E01">
      <w:pPr>
        <w:spacing w:before="100" w:beforeAutospacing="1" w:after="100" w:afterAutospacing="1" w:line="360" w:lineRule="auto"/>
        <w:ind w:firstLine="709"/>
        <w:jc w:val="both"/>
        <w:outlineLvl w:val="0"/>
        <w:rPr>
          <w:rFonts w:eastAsia="Times New Roman" w:cs="Arial"/>
          <w:b/>
          <w:bCs/>
          <w:kern w:val="36"/>
          <w:lang w:eastAsia="pt-BR"/>
          <w14:ligatures w14:val="none"/>
        </w:rPr>
      </w:pPr>
    </w:p>
    <w:p w14:paraId="6DE13A18" w14:textId="77777777" w:rsidR="00A22CDA" w:rsidRDefault="00A22CDA" w:rsidP="00B74E01">
      <w:pPr>
        <w:spacing w:before="100" w:beforeAutospacing="1" w:after="100" w:afterAutospacing="1" w:line="360" w:lineRule="auto"/>
        <w:ind w:firstLine="709"/>
        <w:jc w:val="both"/>
        <w:outlineLvl w:val="0"/>
        <w:rPr>
          <w:rFonts w:eastAsia="Times New Roman" w:cs="Arial"/>
          <w:b/>
          <w:bCs/>
          <w:kern w:val="36"/>
          <w:lang w:eastAsia="pt-BR"/>
          <w14:ligatures w14:val="none"/>
        </w:rPr>
      </w:pPr>
    </w:p>
    <w:p w14:paraId="39E8D77C" w14:textId="77777777" w:rsidR="00A22CDA" w:rsidRDefault="00A22CDA" w:rsidP="00B74E01">
      <w:pPr>
        <w:spacing w:before="100" w:beforeAutospacing="1" w:after="100" w:afterAutospacing="1" w:line="360" w:lineRule="auto"/>
        <w:ind w:firstLine="709"/>
        <w:jc w:val="both"/>
        <w:outlineLvl w:val="0"/>
        <w:rPr>
          <w:rFonts w:eastAsia="Times New Roman" w:cs="Arial"/>
          <w:b/>
          <w:bCs/>
          <w:kern w:val="36"/>
          <w:lang w:eastAsia="pt-BR"/>
          <w14:ligatures w14:val="none"/>
        </w:rPr>
      </w:pPr>
    </w:p>
    <w:p w14:paraId="67B3188C" w14:textId="77777777" w:rsidR="00A22CDA" w:rsidRDefault="00A22CDA" w:rsidP="00B74E01">
      <w:pPr>
        <w:spacing w:before="100" w:beforeAutospacing="1" w:after="100" w:afterAutospacing="1" w:line="360" w:lineRule="auto"/>
        <w:ind w:firstLine="709"/>
        <w:jc w:val="both"/>
        <w:outlineLvl w:val="0"/>
        <w:rPr>
          <w:rFonts w:eastAsia="Times New Roman" w:cs="Arial"/>
          <w:b/>
          <w:bCs/>
          <w:kern w:val="36"/>
          <w:lang w:eastAsia="pt-BR"/>
          <w14:ligatures w14:val="none"/>
        </w:rPr>
      </w:pPr>
    </w:p>
    <w:p w14:paraId="0D138918" w14:textId="77777777" w:rsidR="00A22CDA" w:rsidRDefault="00A22CDA" w:rsidP="00B74E01">
      <w:pPr>
        <w:spacing w:before="100" w:beforeAutospacing="1" w:after="100" w:afterAutospacing="1" w:line="360" w:lineRule="auto"/>
        <w:ind w:firstLine="709"/>
        <w:jc w:val="both"/>
        <w:outlineLvl w:val="0"/>
        <w:rPr>
          <w:rFonts w:eastAsia="Times New Roman" w:cs="Arial"/>
          <w:b/>
          <w:bCs/>
          <w:kern w:val="36"/>
          <w:lang w:eastAsia="pt-BR"/>
          <w14:ligatures w14:val="none"/>
        </w:rPr>
      </w:pPr>
    </w:p>
    <w:p w14:paraId="41988A49" w14:textId="77777777" w:rsidR="00A22CDA" w:rsidRDefault="00A22CDA" w:rsidP="00B74E01">
      <w:pPr>
        <w:spacing w:before="100" w:beforeAutospacing="1" w:after="100" w:afterAutospacing="1" w:line="360" w:lineRule="auto"/>
        <w:ind w:firstLine="709"/>
        <w:jc w:val="both"/>
        <w:outlineLvl w:val="0"/>
        <w:rPr>
          <w:rFonts w:eastAsia="Times New Roman" w:cs="Arial"/>
          <w:b/>
          <w:bCs/>
          <w:kern w:val="36"/>
          <w:lang w:eastAsia="pt-BR"/>
          <w14:ligatures w14:val="none"/>
        </w:rPr>
      </w:pPr>
    </w:p>
    <w:p w14:paraId="104D0C7E" w14:textId="77777777" w:rsidR="00A22CDA" w:rsidRDefault="00A22CDA" w:rsidP="00B74E01">
      <w:pPr>
        <w:spacing w:before="100" w:beforeAutospacing="1" w:after="100" w:afterAutospacing="1" w:line="360" w:lineRule="auto"/>
        <w:ind w:firstLine="709"/>
        <w:jc w:val="both"/>
        <w:outlineLvl w:val="0"/>
        <w:rPr>
          <w:rFonts w:eastAsia="Times New Roman" w:cs="Arial"/>
          <w:b/>
          <w:bCs/>
          <w:kern w:val="36"/>
          <w:lang w:eastAsia="pt-BR"/>
          <w14:ligatures w14:val="none"/>
        </w:rPr>
      </w:pPr>
    </w:p>
    <w:p w14:paraId="49106A06" w14:textId="77777777" w:rsidR="00A22CDA" w:rsidRDefault="00A22CDA" w:rsidP="00B74E01">
      <w:pPr>
        <w:spacing w:before="100" w:beforeAutospacing="1" w:after="100" w:afterAutospacing="1" w:line="360" w:lineRule="auto"/>
        <w:ind w:firstLine="709"/>
        <w:jc w:val="both"/>
        <w:outlineLvl w:val="0"/>
        <w:rPr>
          <w:rFonts w:eastAsia="Times New Roman" w:cs="Arial"/>
          <w:b/>
          <w:bCs/>
          <w:kern w:val="36"/>
          <w:lang w:eastAsia="pt-BR"/>
          <w14:ligatures w14:val="none"/>
        </w:rPr>
      </w:pPr>
    </w:p>
    <w:p w14:paraId="0C528440" w14:textId="77777777" w:rsidR="00A22CDA" w:rsidRDefault="00A22CDA" w:rsidP="00B74E01">
      <w:pPr>
        <w:spacing w:before="100" w:beforeAutospacing="1" w:after="100" w:afterAutospacing="1" w:line="360" w:lineRule="auto"/>
        <w:ind w:firstLine="709"/>
        <w:jc w:val="both"/>
        <w:outlineLvl w:val="0"/>
        <w:rPr>
          <w:rFonts w:eastAsia="Times New Roman" w:cs="Arial"/>
          <w:b/>
          <w:bCs/>
          <w:kern w:val="36"/>
          <w:lang w:eastAsia="pt-BR"/>
          <w14:ligatures w14:val="none"/>
        </w:rPr>
      </w:pPr>
    </w:p>
    <w:p w14:paraId="5552F90D" w14:textId="77777777" w:rsidR="00A22CDA" w:rsidRDefault="00A22CDA" w:rsidP="00B74E01">
      <w:pPr>
        <w:spacing w:before="100" w:beforeAutospacing="1" w:after="100" w:afterAutospacing="1" w:line="360" w:lineRule="auto"/>
        <w:ind w:firstLine="709"/>
        <w:jc w:val="both"/>
        <w:outlineLvl w:val="0"/>
        <w:rPr>
          <w:rFonts w:eastAsia="Times New Roman" w:cs="Arial"/>
          <w:b/>
          <w:bCs/>
          <w:kern w:val="36"/>
          <w:lang w:eastAsia="pt-BR"/>
          <w14:ligatures w14:val="none"/>
        </w:rPr>
      </w:pPr>
    </w:p>
    <w:p w14:paraId="2B996265" w14:textId="77777777" w:rsidR="00A22CDA" w:rsidRDefault="00A22CDA" w:rsidP="00B74E01">
      <w:pPr>
        <w:spacing w:before="100" w:beforeAutospacing="1" w:after="100" w:afterAutospacing="1" w:line="360" w:lineRule="auto"/>
        <w:ind w:firstLine="709"/>
        <w:jc w:val="both"/>
        <w:outlineLvl w:val="0"/>
        <w:rPr>
          <w:rFonts w:eastAsia="Times New Roman" w:cs="Arial"/>
          <w:b/>
          <w:bCs/>
          <w:kern w:val="36"/>
          <w:lang w:eastAsia="pt-BR"/>
          <w14:ligatures w14:val="none"/>
        </w:rPr>
      </w:pPr>
    </w:p>
    <w:p w14:paraId="3208B641" w14:textId="77777777" w:rsidR="00A22CDA" w:rsidRDefault="00A22CDA" w:rsidP="00B74E01">
      <w:pPr>
        <w:spacing w:before="100" w:beforeAutospacing="1" w:after="100" w:afterAutospacing="1" w:line="360" w:lineRule="auto"/>
        <w:ind w:firstLine="709"/>
        <w:jc w:val="both"/>
        <w:outlineLvl w:val="0"/>
        <w:rPr>
          <w:rFonts w:eastAsia="Times New Roman" w:cs="Arial"/>
          <w:b/>
          <w:bCs/>
          <w:kern w:val="36"/>
          <w:lang w:eastAsia="pt-BR"/>
          <w14:ligatures w14:val="none"/>
        </w:rPr>
      </w:pPr>
    </w:p>
    <w:p w14:paraId="49D5E425" w14:textId="77777777" w:rsidR="00A22CDA" w:rsidRDefault="00A22CDA" w:rsidP="00B74E01">
      <w:pPr>
        <w:spacing w:before="100" w:beforeAutospacing="1" w:after="100" w:afterAutospacing="1" w:line="360" w:lineRule="auto"/>
        <w:ind w:firstLine="709"/>
        <w:jc w:val="both"/>
        <w:outlineLvl w:val="0"/>
        <w:rPr>
          <w:rFonts w:eastAsia="Times New Roman" w:cs="Arial"/>
          <w:b/>
          <w:bCs/>
          <w:kern w:val="36"/>
          <w:lang w:eastAsia="pt-BR"/>
          <w14:ligatures w14:val="none"/>
        </w:rPr>
      </w:pPr>
    </w:p>
    <w:p w14:paraId="6FDD79A3" w14:textId="77777777" w:rsidR="00A22CDA" w:rsidRDefault="00A22CDA" w:rsidP="00B74E01">
      <w:pPr>
        <w:spacing w:before="100" w:beforeAutospacing="1" w:after="100" w:afterAutospacing="1" w:line="360" w:lineRule="auto"/>
        <w:ind w:firstLine="709"/>
        <w:jc w:val="both"/>
        <w:outlineLvl w:val="0"/>
        <w:rPr>
          <w:rFonts w:eastAsia="Times New Roman" w:cs="Arial"/>
          <w:b/>
          <w:bCs/>
          <w:kern w:val="36"/>
          <w:lang w:eastAsia="pt-BR"/>
          <w14:ligatures w14:val="none"/>
        </w:rPr>
      </w:pPr>
    </w:p>
    <w:p w14:paraId="600BADCA" w14:textId="4EFA3559" w:rsidR="00A3112D" w:rsidRPr="00B74E01" w:rsidRDefault="00A3112D" w:rsidP="00A22CDA">
      <w:pPr>
        <w:pStyle w:val="Ttulo1"/>
        <w:rPr>
          <w:rFonts w:eastAsia="Times New Roman"/>
          <w:lang w:eastAsia="pt-BR"/>
        </w:rPr>
      </w:pPr>
      <w:bookmarkStart w:id="256" w:name="_Toc230204258"/>
      <w:r w:rsidRPr="00B74E01">
        <w:rPr>
          <w:rFonts w:eastAsia="Times New Roman"/>
          <w:lang w:eastAsia="pt-BR"/>
        </w:rPr>
        <w:lastRenderedPageBreak/>
        <w:t xml:space="preserve">Anexo III — Checklist de </w:t>
      </w:r>
      <w:proofErr w:type="spellStart"/>
      <w:r w:rsidRPr="00B74E01">
        <w:rPr>
          <w:rFonts w:eastAsia="Times New Roman"/>
          <w:lang w:eastAsia="pt-BR"/>
        </w:rPr>
        <w:t>Defensabilidade</w:t>
      </w:r>
      <w:proofErr w:type="spellEnd"/>
      <w:r w:rsidRPr="00B74E01">
        <w:rPr>
          <w:rFonts w:eastAsia="Times New Roman"/>
          <w:lang w:eastAsia="pt-BR"/>
        </w:rPr>
        <w:t xml:space="preserve"> perante Banca, TC e MP</w:t>
      </w:r>
      <w:bookmarkEnd w:id="256"/>
    </w:p>
    <w:p w14:paraId="3B170BA1" w14:textId="256E3051"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Este checklist deve ser usado antes da submissão final do caderno, do edital ou da minuta contratual</w:t>
      </w:r>
      <w:r w:rsidR="00D73F27">
        <w:rPr>
          <w:rFonts w:eastAsia="Times New Roman" w:cs="Arial"/>
          <w:kern w:val="0"/>
          <w:lang w:eastAsia="pt-BR"/>
          <w14:ligatures w14:val="none"/>
        </w:rPr>
        <w:t xml:space="preserve">, </w:t>
      </w:r>
      <w:r w:rsidR="00596A5A">
        <w:rPr>
          <w:rFonts w:eastAsia="Times New Roman" w:cs="Arial"/>
          <w:kern w:val="0"/>
          <w:lang w:eastAsia="pt-BR"/>
          <w14:ligatures w14:val="none"/>
        </w:rPr>
        <w:t>e após feito foi positivo, como pode ser comprovado:</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779"/>
        <w:gridCol w:w="2216"/>
      </w:tblGrid>
      <w:tr w:rsidR="00A3112D" w:rsidRPr="00B74E01" w14:paraId="08BCC13C" w14:textId="77777777" w:rsidTr="002E7EED">
        <w:trPr>
          <w:tblHeader/>
          <w:tblCellSpacing w:w="15" w:type="dxa"/>
        </w:trPr>
        <w:tc>
          <w:tcPr>
            <w:tcW w:w="0" w:type="auto"/>
            <w:vAlign w:val="center"/>
            <w:hideMark/>
          </w:tcPr>
          <w:p w14:paraId="7E25F2E1" w14:textId="77777777" w:rsidR="00A3112D" w:rsidRPr="00B74E01" w:rsidRDefault="00A3112D" w:rsidP="00A22CDA">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Item de controle</w:t>
            </w:r>
          </w:p>
        </w:tc>
        <w:tc>
          <w:tcPr>
            <w:tcW w:w="0" w:type="auto"/>
            <w:vAlign w:val="center"/>
            <w:hideMark/>
          </w:tcPr>
          <w:p w14:paraId="10E3A850" w14:textId="77777777" w:rsidR="00A3112D" w:rsidRPr="00B74E01" w:rsidRDefault="00A3112D" w:rsidP="00A22CDA">
            <w:pPr>
              <w:spacing w:after="0" w:line="360" w:lineRule="auto"/>
              <w:rPr>
                <w:rFonts w:eastAsia="Times New Roman" w:cs="Arial"/>
                <w:b/>
                <w:bCs/>
                <w:kern w:val="0"/>
                <w:lang w:eastAsia="pt-BR"/>
                <w14:ligatures w14:val="none"/>
              </w:rPr>
            </w:pPr>
            <w:r w:rsidRPr="00B74E01">
              <w:rPr>
                <w:rFonts w:eastAsia="Times New Roman" w:cs="Arial"/>
                <w:b/>
                <w:bCs/>
                <w:kern w:val="0"/>
                <w:lang w:eastAsia="pt-BR"/>
                <w14:ligatures w14:val="none"/>
              </w:rPr>
              <w:t>Situação esperada</w:t>
            </w:r>
          </w:p>
        </w:tc>
      </w:tr>
      <w:tr w:rsidR="00A3112D" w:rsidRPr="00B74E01" w14:paraId="025AFDD2" w14:textId="77777777" w:rsidTr="002E7EED">
        <w:trPr>
          <w:tblCellSpacing w:w="15" w:type="dxa"/>
        </w:trPr>
        <w:tc>
          <w:tcPr>
            <w:tcW w:w="0" w:type="auto"/>
            <w:vAlign w:val="center"/>
            <w:hideMark/>
          </w:tcPr>
          <w:p w14:paraId="4C4DC8CD"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Receitas principais separadas das receitas acessórias</w:t>
            </w:r>
          </w:p>
        </w:tc>
        <w:tc>
          <w:tcPr>
            <w:tcW w:w="0" w:type="auto"/>
            <w:vAlign w:val="center"/>
            <w:hideMark/>
          </w:tcPr>
          <w:p w14:paraId="5F1D4E8A"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Sim</w:t>
            </w:r>
          </w:p>
        </w:tc>
      </w:tr>
      <w:tr w:rsidR="00A3112D" w:rsidRPr="00B74E01" w14:paraId="794A56B7" w14:textId="77777777" w:rsidTr="002E7EED">
        <w:trPr>
          <w:tblCellSpacing w:w="15" w:type="dxa"/>
        </w:trPr>
        <w:tc>
          <w:tcPr>
            <w:tcW w:w="0" w:type="auto"/>
            <w:vAlign w:val="center"/>
            <w:hideMark/>
          </w:tcPr>
          <w:p w14:paraId="77C8142A"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Receitas acessórias não garantidas pelo Município</w:t>
            </w:r>
          </w:p>
        </w:tc>
        <w:tc>
          <w:tcPr>
            <w:tcW w:w="0" w:type="auto"/>
            <w:vAlign w:val="center"/>
            <w:hideMark/>
          </w:tcPr>
          <w:p w14:paraId="51BA75E9"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Sim</w:t>
            </w:r>
          </w:p>
        </w:tc>
      </w:tr>
      <w:tr w:rsidR="00A3112D" w:rsidRPr="00B74E01" w14:paraId="46AD85A9" w14:textId="77777777" w:rsidTr="002E7EED">
        <w:trPr>
          <w:tblCellSpacing w:w="15" w:type="dxa"/>
        </w:trPr>
        <w:tc>
          <w:tcPr>
            <w:tcW w:w="0" w:type="auto"/>
            <w:vAlign w:val="center"/>
            <w:hideMark/>
          </w:tcPr>
          <w:p w14:paraId="33ED99FA"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Cenário sem receitas acessórias demonstrado</w:t>
            </w:r>
          </w:p>
        </w:tc>
        <w:tc>
          <w:tcPr>
            <w:tcW w:w="0" w:type="auto"/>
            <w:vAlign w:val="center"/>
            <w:hideMark/>
          </w:tcPr>
          <w:p w14:paraId="3D38CA16"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Sim</w:t>
            </w:r>
          </w:p>
        </w:tc>
      </w:tr>
      <w:tr w:rsidR="00A3112D" w:rsidRPr="00B74E01" w14:paraId="5A9934E1" w14:textId="77777777" w:rsidTr="002E7EED">
        <w:trPr>
          <w:tblCellSpacing w:w="15" w:type="dxa"/>
        </w:trPr>
        <w:tc>
          <w:tcPr>
            <w:tcW w:w="0" w:type="auto"/>
            <w:vAlign w:val="center"/>
            <w:hideMark/>
          </w:tcPr>
          <w:p w14:paraId="09ED6BCE"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Cenário com receitas acessórias demonstrado separadamente</w:t>
            </w:r>
          </w:p>
        </w:tc>
        <w:tc>
          <w:tcPr>
            <w:tcW w:w="0" w:type="auto"/>
            <w:vAlign w:val="center"/>
            <w:hideMark/>
          </w:tcPr>
          <w:p w14:paraId="744D7548"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Sim</w:t>
            </w:r>
          </w:p>
        </w:tc>
      </w:tr>
      <w:tr w:rsidR="00A3112D" w:rsidRPr="00B74E01" w14:paraId="5BB80175" w14:textId="77777777" w:rsidTr="002E7EED">
        <w:trPr>
          <w:tblCellSpacing w:w="15" w:type="dxa"/>
        </w:trPr>
        <w:tc>
          <w:tcPr>
            <w:tcW w:w="0" w:type="auto"/>
            <w:vAlign w:val="center"/>
            <w:hideMark/>
          </w:tcPr>
          <w:p w14:paraId="428E80F7"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Sensibilidade de receitas acessórias apresentada</w:t>
            </w:r>
          </w:p>
        </w:tc>
        <w:tc>
          <w:tcPr>
            <w:tcW w:w="0" w:type="auto"/>
            <w:vAlign w:val="center"/>
            <w:hideMark/>
          </w:tcPr>
          <w:p w14:paraId="6FF66CC7"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Sim</w:t>
            </w:r>
          </w:p>
        </w:tc>
      </w:tr>
      <w:tr w:rsidR="00A3112D" w:rsidRPr="00B74E01" w14:paraId="032DA2B2" w14:textId="77777777" w:rsidTr="002E7EED">
        <w:trPr>
          <w:tblCellSpacing w:w="15" w:type="dxa"/>
        </w:trPr>
        <w:tc>
          <w:tcPr>
            <w:tcW w:w="0" w:type="auto"/>
            <w:vAlign w:val="center"/>
            <w:hideMark/>
          </w:tcPr>
          <w:p w14:paraId="3D1CC663"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Sensibilidade de juros apresentada</w:t>
            </w:r>
          </w:p>
        </w:tc>
        <w:tc>
          <w:tcPr>
            <w:tcW w:w="0" w:type="auto"/>
            <w:vAlign w:val="center"/>
            <w:hideMark/>
          </w:tcPr>
          <w:p w14:paraId="13F3987D"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Sim</w:t>
            </w:r>
          </w:p>
        </w:tc>
      </w:tr>
      <w:tr w:rsidR="00A3112D" w:rsidRPr="00B74E01" w14:paraId="08DA61AD" w14:textId="77777777" w:rsidTr="002E7EED">
        <w:trPr>
          <w:tblCellSpacing w:w="15" w:type="dxa"/>
        </w:trPr>
        <w:tc>
          <w:tcPr>
            <w:tcW w:w="0" w:type="auto"/>
            <w:vAlign w:val="center"/>
            <w:hideMark/>
          </w:tcPr>
          <w:p w14:paraId="08C72B62"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Sensibilidade de CAPEX e OPEX apresentada</w:t>
            </w:r>
          </w:p>
        </w:tc>
        <w:tc>
          <w:tcPr>
            <w:tcW w:w="0" w:type="auto"/>
            <w:vAlign w:val="center"/>
            <w:hideMark/>
          </w:tcPr>
          <w:p w14:paraId="5BD8023A"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Sim</w:t>
            </w:r>
          </w:p>
        </w:tc>
      </w:tr>
      <w:tr w:rsidR="00A3112D" w:rsidRPr="00B74E01" w14:paraId="3905F848" w14:textId="77777777" w:rsidTr="002E7EED">
        <w:trPr>
          <w:tblCellSpacing w:w="15" w:type="dxa"/>
        </w:trPr>
        <w:tc>
          <w:tcPr>
            <w:tcW w:w="0" w:type="auto"/>
            <w:vAlign w:val="center"/>
            <w:hideMark/>
          </w:tcPr>
          <w:p w14:paraId="3CE1E2A5"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Tarifa de R$ 95/t e R$ 140/t comparadas</w:t>
            </w:r>
          </w:p>
        </w:tc>
        <w:tc>
          <w:tcPr>
            <w:tcW w:w="0" w:type="auto"/>
            <w:vAlign w:val="center"/>
            <w:hideMark/>
          </w:tcPr>
          <w:p w14:paraId="40C0A1A4"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Sim</w:t>
            </w:r>
          </w:p>
        </w:tc>
      </w:tr>
      <w:tr w:rsidR="00A3112D" w:rsidRPr="00B74E01" w14:paraId="2EC55D34" w14:textId="77777777" w:rsidTr="002E7EED">
        <w:trPr>
          <w:tblCellSpacing w:w="15" w:type="dxa"/>
        </w:trPr>
        <w:tc>
          <w:tcPr>
            <w:tcW w:w="0" w:type="auto"/>
            <w:vAlign w:val="center"/>
            <w:hideMark/>
          </w:tcPr>
          <w:p w14:paraId="3512A49E"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Quantidade mínima contratada de 80 t/dia prevista</w:t>
            </w:r>
          </w:p>
        </w:tc>
        <w:tc>
          <w:tcPr>
            <w:tcW w:w="0" w:type="auto"/>
            <w:vAlign w:val="center"/>
            <w:hideMark/>
          </w:tcPr>
          <w:p w14:paraId="27421FA9"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Sim</w:t>
            </w:r>
          </w:p>
        </w:tc>
      </w:tr>
      <w:tr w:rsidR="00A3112D" w:rsidRPr="00B74E01" w14:paraId="0B73B946" w14:textId="77777777" w:rsidTr="002E7EED">
        <w:trPr>
          <w:tblCellSpacing w:w="15" w:type="dxa"/>
        </w:trPr>
        <w:tc>
          <w:tcPr>
            <w:tcW w:w="0" w:type="auto"/>
            <w:vAlign w:val="center"/>
            <w:hideMark/>
          </w:tcPr>
          <w:p w14:paraId="64956051"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Garantia limitada às receitas principais</w:t>
            </w:r>
          </w:p>
        </w:tc>
        <w:tc>
          <w:tcPr>
            <w:tcW w:w="0" w:type="auto"/>
            <w:vAlign w:val="center"/>
            <w:hideMark/>
          </w:tcPr>
          <w:p w14:paraId="519CE7C1"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Sim</w:t>
            </w:r>
          </w:p>
        </w:tc>
      </w:tr>
      <w:tr w:rsidR="00A3112D" w:rsidRPr="00B74E01" w14:paraId="28E116E0" w14:textId="77777777" w:rsidTr="002E7EED">
        <w:trPr>
          <w:tblCellSpacing w:w="15" w:type="dxa"/>
        </w:trPr>
        <w:tc>
          <w:tcPr>
            <w:tcW w:w="0" w:type="auto"/>
            <w:vAlign w:val="center"/>
            <w:hideMark/>
          </w:tcPr>
          <w:p w14:paraId="719763F4"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Valor da garantia calculado em 3, 6 e 12 meses</w:t>
            </w:r>
          </w:p>
        </w:tc>
        <w:tc>
          <w:tcPr>
            <w:tcW w:w="0" w:type="auto"/>
            <w:vAlign w:val="center"/>
            <w:hideMark/>
          </w:tcPr>
          <w:p w14:paraId="57E28A50"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Sim</w:t>
            </w:r>
          </w:p>
        </w:tc>
      </w:tr>
      <w:tr w:rsidR="00A3112D" w:rsidRPr="00B74E01" w14:paraId="06A8E139" w14:textId="77777777" w:rsidTr="002E7EED">
        <w:trPr>
          <w:tblCellSpacing w:w="15" w:type="dxa"/>
        </w:trPr>
        <w:tc>
          <w:tcPr>
            <w:tcW w:w="0" w:type="auto"/>
            <w:vAlign w:val="center"/>
            <w:hideMark/>
          </w:tcPr>
          <w:p w14:paraId="5E3753DC"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Matriz de riscos clara</w:t>
            </w:r>
          </w:p>
        </w:tc>
        <w:tc>
          <w:tcPr>
            <w:tcW w:w="0" w:type="auto"/>
            <w:vAlign w:val="center"/>
            <w:hideMark/>
          </w:tcPr>
          <w:p w14:paraId="0B98F984"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Sim</w:t>
            </w:r>
          </w:p>
        </w:tc>
      </w:tr>
      <w:tr w:rsidR="00A3112D" w:rsidRPr="00B74E01" w14:paraId="28764497" w14:textId="77777777" w:rsidTr="002E7EED">
        <w:trPr>
          <w:tblCellSpacing w:w="15" w:type="dxa"/>
        </w:trPr>
        <w:tc>
          <w:tcPr>
            <w:tcW w:w="0" w:type="auto"/>
            <w:vAlign w:val="center"/>
            <w:hideMark/>
          </w:tcPr>
          <w:p w14:paraId="17D4F7E4"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Reequilíbrio limitado à matriz de riscos</w:t>
            </w:r>
          </w:p>
        </w:tc>
        <w:tc>
          <w:tcPr>
            <w:tcW w:w="0" w:type="auto"/>
            <w:vAlign w:val="center"/>
            <w:hideMark/>
          </w:tcPr>
          <w:p w14:paraId="6036916F"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Sim</w:t>
            </w:r>
          </w:p>
        </w:tc>
      </w:tr>
      <w:tr w:rsidR="00A3112D" w:rsidRPr="00B74E01" w14:paraId="0D5D83A3" w14:textId="77777777" w:rsidTr="002E7EED">
        <w:trPr>
          <w:tblCellSpacing w:w="15" w:type="dxa"/>
        </w:trPr>
        <w:tc>
          <w:tcPr>
            <w:tcW w:w="0" w:type="auto"/>
            <w:vAlign w:val="center"/>
            <w:hideMark/>
          </w:tcPr>
          <w:p w14:paraId="5C321298"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CAPEX detalhado</w:t>
            </w:r>
          </w:p>
        </w:tc>
        <w:tc>
          <w:tcPr>
            <w:tcW w:w="0" w:type="auto"/>
            <w:vAlign w:val="center"/>
            <w:hideMark/>
          </w:tcPr>
          <w:p w14:paraId="080044D6"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Sim</w:t>
            </w:r>
          </w:p>
        </w:tc>
      </w:tr>
      <w:tr w:rsidR="00A3112D" w:rsidRPr="00B74E01" w14:paraId="734BE5E0" w14:textId="77777777" w:rsidTr="002E7EED">
        <w:trPr>
          <w:tblCellSpacing w:w="15" w:type="dxa"/>
        </w:trPr>
        <w:tc>
          <w:tcPr>
            <w:tcW w:w="0" w:type="auto"/>
            <w:vAlign w:val="center"/>
            <w:hideMark/>
          </w:tcPr>
          <w:p w14:paraId="578FB90A"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OPEX detalhado</w:t>
            </w:r>
          </w:p>
        </w:tc>
        <w:tc>
          <w:tcPr>
            <w:tcW w:w="0" w:type="auto"/>
            <w:vAlign w:val="center"/>
            <w:hideMark/>
          </w:tcPr>
          <w:p w14:paraId="3FBA90A5"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Sim</w:t>
            </w:r>
          </w:p>
        </w:tc>
      </w:tr>
      <w:tr w:rsidR="00A3112D" w:rsidRPr="00B74E01" w14:paraId="5AD373ED" w14:textId="77777777" w:rsidTr="002E7EED">
        <w:trPr>
          <w:tblCellSpacing w:w="15" w:type="dxa"/>
        </w:trPr>
        <w:tc>
          <w:tcPr>
            <w:tcW w:w="0" w:type="auto"/>
            <w:vAlign w:val="center"/>
            <w:hideMark/>
          </w:tcPr>
          <w:p w14:paraId="41BEBDB5"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Energia tratada como disponibilização de capacidade</w:t>
            </w:r>
          </w:p>
        </w:tc>
        <w:tc>
          <w:tcPr>
            <w:tcW w:w="0" w:type="auto"/>
            <w:vAlign w:val="center"/>
            <w:hideMark/>
          </w:tcPr>
          <w:p w14:paraId="4D80A1FE"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Sim</w:t>
            </w:r>
          </w:p>
        </w:tc>
      </w:tr>
      <w:tr w:rsidR="00A3112D" w:rsidRPr="00B74E01" w14:paraId="51BD79D7" w14:textId="77777777" w:rsidTr="002E7EED">
        <w:trPr>
          <w:tblCellSpacing w:w="15" w:type="dxa"/>
        </w:trPr>
        <w:tc>
          <w:tcPr>
            <w:tcW w:w="0" w:type="auto"/>
            <w:vAlign w:val="center"/>
            <w:hideMark/>
          </w:tcPr>
          <w:p w14:paraId="7D131F17"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Rubrica energética com cautela jurídico-regulatória</w:t>
            </w:r>
          </w:p>
        </w:tc>
        <w:tc>
          <w:tcPr>
            <w:tcW w:w="0" w:type="auto"/>
            <w:vAlign w:val="center"/>
            <w:hideMark/>
          </w:tcPr>
          <w:p w14:paraId="619CA6F2"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Sim</w:t>
            </w:r>
          </w:p>
        </w:tc>
      </w:tr>
      <w:tr w:rsidR="00A3112D" w:rsidRPr="00B74E01" w14:paraId="332D0491" w14:textId="77777777" w:rsidTr="002E7EED">
        <w:trPr>
          <w:tblCellSpacing w:w="15" w:type="dxa"/>
        </w:trPr>
        <w:tc>
          <w:tcPr>
            <w:tcW w:w="0" w:type="auto"/>
            <w:vAlign w:val="center"/>
            <w:hideMark/>
          </w:tcPr>
          <w:p w14:paraId="6CF80478"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Exigência de operação assistida por 1 ano</w:t>
            </w:r>
          </w:p>
        </w:tc>
        <w:tc>
          <w:tcPr>
            <w:tcW w:w="0" w:type="auto"/>
            <w:vAlign w:val="center"/>
            <w:hideMark/>
          </w:tcPr>
          <w:p w14:paraId="01D067DC"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Sim</w:t>
            </w:r>
          </w:p>
        </w:tc>
      </w:tr>
      <w:tr w:rsidR="00A3112D" w:rsidRPr="00B74E01" w14:paraId="402043A2" w14:textId="77777777" w:rsidTr="002E7EED">
        <w:trPr>
          <w:tblCellSpacing w:w="15" w:type="dxa"/>
        </w:trPr>
        <w:tc>
          <w:tcPr>
            <w:tcW w:w="0" w:type="auto"/>
            <w:vAlign w:val="center"/>
            <w:hideMark/>
          </w:tcPr>
          <w:p w14:paraId="6114F782"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 xml:space="preserve">Modelo </w:t>
            </w:r>
            <w:proofErr w:type="spellStart"/>
            <w:r w:rsidRPr="00B74E01">
              <w:rPr>
                <w:rFonts w:eastAsia="Times New Roman" w:cs="Arial"/>
                <w:kern w:val="0"/>
                <w:lang w:eastAsia="pt-BR"/>
                <w14:ligatures w14:val="none"/>
              </w:rPr>
              <w:t>turnkey</w:t>
            </w:r>
            <w:proofErr w:type="spellEnd"/>
            <w:r w:rsidRPr="00B74E01">
              <w:rPr>
                <w:rFonts w:eastAsia="Times New Roman" w:cs="Arial"/>
                <w:kern w:val="0"/>
                <w:lang w:eastAsia="pt-BR"/>
                <w14:ligatures w14:val="none"/>
              </w:rPr>
              <w:t xml:space="preserve"> previsto como diretriz</w:t>
            </w:r>
          </w:p>
        </w:tc>
        <w:tc>
          <w:tcPr>
            <w:tcW w:w="0" w:type="auto"/>
            <w:vAlign w:val="center"/>
            <w:hideMark/>
          </w:tcPr>
          <w:p w14:paraId="7C6815FB"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Sim</w:t>
            </w:r>
          </w:p>
        </w:tc>
      </w:tr>
      <w:tr w:rsidR="00A3112D" w:rsidRPr="00B74E01" w14:paraId="2C49239F" w14:textId="77777777" w:rsidTr="002E7EED">
        <w:trPr>
          <w:tblCellSpacing w:w="15" w:type="dxa"/>
        </w:trPr>
        <w:tc>
          <w:tcPr>
            <w:tcW w:w="0" w:type="auto"/>
            <w:vAlign w:val="center"/>
            <w:hideMark/>
          </w:tcPr>
          <w:p w14:paraId="30CF64A9"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Licitantes obrigados a comprovar exequibilidade</w:t>
            </w:r>
          </w:p>
        </w:tc>
        <w:tc>
          <w:tcPr>
            <w:tcW w:w="0" w:type="auto"/>
            <w:vAlign w:val="center"/>
            <w:hideMark/>
          </w:tcPr>
          <w:p w14:paraId="1F5573D3"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Sim</w:t>
            </w:r>
          </w:p>
        </w:tc>
      </w:tr>
      <w:tr w:rsidR="00A3112D" w:rsidRPr="00B74E01" w14:paraId="5F2B5DA1" w14:textId="77777777" w:rsidTr="002E7EED">
        <w:trPr>
          <w:tblCellSpacing w:w="15" w:type="dxa"/>
        </w:trPr>
        <w:tc>
          <w:tcPr>
            <w:tcW w:w="0" w:type="auto"/>
            <w:vAlign w:val="center"/>
            <w:hideMark/>
          </w:tcPr>
          <w:p w14:paraId="0CE8468F"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lastRenderedPageBreak/>
              <w:t xml:space="preserve">Receitas acessórias tratadas como </w:t>
            </w:r>
            <w:proofErr w:type="spellStart"/>
            <w:r w:rsidRPr="00B74E01">
              <w:rPr>
                <w:rFonts w:eastAsia="Times New Roman" w:cs="Arial"/>
                <w:kern w:val="0"/>
                <w:lang w:eastAsia="pt-BR"/>
                <w14:ligatures w14:val="none"/>
              </w:rPr>
              <w:t>upside</w:t>
            </w:r>
            <w:proofErr w:type="spellEnd"/>
            <w:r w:rsidRPr="00B74E01">
              <w:rPr>
                <w:rFonts w:eastAsia="Times New Roman" w:cs="Arial"/>
                <w:kern w:val="0"/>
                <w:lang w:eastAsia="pt-BR"/>
                <w14:ligatures w14:val="none"/>
              </w:rPr>
              <w:t xml:space="preserve"> da SPE</w:t>
            </w:r>
          </w:p>
        </w:tc>
        <w:tc>
          <w:tcPr>
            <w:tcW w:w="0" w:type="auto"/>
            <w:vAlign w:val="center"/>
            <w:hideMark/>
          </w:tcPr>
          <w:p w14:paraId="45E78D7A"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Sim</w:t>
            </w:r>
          </w:p>
        </w:tc>
      </w:tr>
      <w:tr w:rsidR="00A3112D" w:rsidRPr="00B74E01" w14:paraId="0CDF6218" w14:textId="77777777" w:rsidTr="002E7EED">
        <w:trPr>
          <w:tblCellSpacing w:w="15" w:type="dxa"/>
        </w:trPr>
        <w:tc>
          <w:tcPr>
            <w:tcW w:w="0" w:type="auto"/>
            <w:vAlign w:val="center"/>
            <w:hideMark/>
          </w:tcPr>
          <w:p w14:paraId="1DB3E14D"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Risco de mercado alocado à SPE</w:t>
            </w:r>
          </w:p>
        </w:tc>
        <w:tc>
          <w:tcPr>
            <w:tcW w:w="0" w:type="auto"/>
            <w:vAlign w:val="center"/>
            <w:hideMark/>
          </w:tcPr>
          <w:p w14:paraId="18D70B76"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Sim</w:t>
            </w:r>
          </w:p>
        </w:tc>
      </w:tr>
      <w:tr w:rsidR="00A3112D" w:rsidRPr="00B74E01" w14:paraId="171A046D" w14:textId="77777777" w:rsidTr="002E7EED">
        <w:trPr>
          <w:tblCellSpacing w:w="15" w:type="dxa"/>
        </w:trPr>
        <w:tc>
          <w:tcPr>
            <w:tcW w:w="0" w:type="auto"/>
            <w:vAlign w:val="center"/>
            <w:hideMark/>
          </w:tcPr>
          <w:p w14:paraId="70C2FD58"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kern w:val="0"/>
                <w:lang w:eastAsia="pt-BR"/>
                <w14:ligatures w14:val="none"/>
              </w:rPr>
              <w:t>Fundo Municipal tratado com base objetiva</w:t>
            </w:r>
          </w:p>
        </w:tc>
        <w:tc>
          <w:tcPr>
            <w:tcW w:w="0" w:type="auto"/>
            <w:vAlign w:val="center"/>
            <w:hideMark/>
          </w:tcPr>
          <w:p w14:paraId="037E15E1" w14:textId="77777777" w:rsidR="00A3112D" w:rsidRPr="00B74E01" w:rsidRDefault="00A3112D" w:rsidP="00A22CDA">
            <w:pPr>
              <w:spacing w:after="0" w:line="360" w:lineRule="auto"/>
              <w:rPr>
                <w:rFonts w:eastAsia="Times New Roman" w:cs="Arial"/>
                <w:kern w:val="0"/>
                <w:lang w:eastAsia="pt-BR"/>
                <w14:ligatures w14:val="none"/>
              </w:rPr>
            </w:pPr>
            <w:r w:rsidRPr="00B74E01">
              <w:rPr>
                <w:rFonts w:eastAsia="Times New Roman" w:cs="Arial"/>
                <w:b/>
                <w:bCs/>
                <w:kern w:val="0"/>
                <w:lang w:eastAsia="pt-BR"/>
                <w14:ligatures w14:val="none"/>
              </w:rPr>
              <w:t>Sim</w:t>
            </w:r>
          </w:p>
        </w:tc>
      </w:tr>
    </w:tbl>
    <w:p w14:paraId="5C28791A" w14:textId="15160048" w:rsidR="00A3112D" w:rsidRDefault="00A3112D" w:rsidP="00B74E01">
      <w:pPr>
        <w:spacing w:after="0" w:line="360" w:lineRule="auto"/>
        <w:ind w:firstLine="709"/>
        <w:jc w:val="both"/>
        <w:rPr>
          <w:rFonts w:eastAsia="Times New Roman" w:cs="Arial"/>
          <w:kern w:val="0"/>
          <w:lang w:eastAsia="pt-BR"/>
          <w14:ligatures w14:val="none"/>
        </w:rPr>
      </w:pPr>
    </w:p>
    <w:p w14:paraId="3AAFAAF7" w14:textId="77777777" w:rsidR="00A22CDA" w:rsidRDefault="00A22CDA" w:rsidP="00B74E01">
      <w:pPr>
        <w:spacing w:after="0" w:line="360" w:lineRule="auto"/>
        <w:ind w:firstLine="709"/>
        <w:jc w:val="both"/>
        <w:rPr>
          <w:rFonts w:eastAsia="Times New Roman" w:cs="Arial"/>
          <w:kern w:val="0"/>
          <w:lang w:eastAsia="pt-BR"/>
          <w14:ligatures w14:val="none"/>
        </w:rPr>
      </w:pPr>
    </w:p>
    <w:p w14:paraId="7C8260F5" w14:textId="77777777" w:rsidR="00A22CDA" w:rsidRDefault="00A22CDA" w:rsidP="00B74E01">
      <w:pPr>
        <w:spacing w:after="0" w:line="360" w:lineRule="auto"/>
        <w:ind w:firstLine="709"/>
        <w:jc w:val="both"/>
        <w:rPr>
          <w:rFonts w:eastAsia="Times New Roman" w:cs="Arial"/>
          <w:kern w:val="0"/>
          <w:lang w:eastAsia="pt-BR"/>
          <w14:ligatures w14:val="none"/>
        </w:rPr>
      </w:pPr>
    </w:p>
    <w:p w14:paraId="02773634" w14:textId="77777777" w:rsidR="00A22CDA" w:rsidRDefault="00A22CDA" w:rsidP="00B74E01">
      <w:pPr>
        <w:spacing w:after="0" w:line="360" w:lineRule="auto"/>
        <w:ind w:firstLine="709"/>
        <w:jc w:val="both"/>
        <w:rPr>
          <w:rFonts w:eastAsia="Times New Roman" w:cs="Arial"/>
          <w:kern w:val="0"/>
          <w:lang w:eastAsia="pt-BR"/>
          <w14:ligatures w14:val="none"/>
        </w:rPr>
      </w:pPr>
    </w:p>
    <w:p w14:paraId="35CF9552" w14:textId="77777777" w:rsidR="00A22CDA" w:rsidRDefault="00A22CDA" w:rsidP="00B74E01">
      <w:pPr>
        <w:spacing w:after="0" w:line="360" w:lineRule="auto"/>
        <w:ind w:firstLine="709"/>
        <w:jc w:val="both"/>
        <w:rPr>
          <w:rFonts w:eastAsia="Times New Roman" w:cs="Arial"/>
          <w:kern w:val="0"/>
          <w:lang w:eastAsia="pt-BR"/>
          <w14:ligatures w14:val="none"/>
        </w:rPr>
      </w:pPr>
    </w:p>
    <w:p w14:paraId="57118D37" w14:textId="77777777" w:rsidR="00A22CDA" w:rsidRDefault="00A22CDA" w:rsidP="00B74E01">
      <w:pPr>
        <w:spacing w:after="0" w:line="360" w:lineRule="auto"/>
        <w:ind w:firstLine="709"/>
        <w:jc w:val="both"/>
        <w:rPr>
          <w:rFonts w:eastAsia="Times New Roman" w:cs="Arial"/>
          <w:kern w:val="0"/>
          <w:lang w:eastAsia="pt-BR"/>
          <w14:ligatures w14:val="none"/>
        </w:rPr>
      </w:pPr>
    </w:p>
    <w:p w14:paraId="1A98BD83" w14:textId="77777777" w:rsidR="00A22CDA" w:rsidRDefault="00A22CDA" w:rsidP="00B74E01">
      <w:pPr>
        <w:spacing w:after="0" w:line="360" w:lineRule="auto"/>
        <w:ind w:firstLine="709"/>
        <w:jc w:val="both"/>
        <w:rPr>
          <w:rFonts w:eastAsia="Times New Roman" w:cs="Arial"/>
          <w:kern w:val="0"/>
          <w:lang w:eastAsia="pt-BR"/>
          <w14:ligatures w14:val="none"/>
        </w:rPr>
      </w:pPr>
    </w:p>
    <w:p w14:paraId="6CECCC4F" w14:textId="77777777" w:rsidR="00A22CDA" w:rsidRDefault="00A22CDA" w:rsidP="00B74E01">
      <w:pPr>
        <w:spacing w:after="0" w:line="360" w:lineRule="auto"/>
        <w:ind w:firstLine="709"/>
        <w:jc w:val="both"/>
        <w:rPr>
          <w:rFonts w:eastAsia="Times New Roman" w:cs="Arial"/>
          <w:kern w:val="0"/>
          <w:lang w:eastAsia="pt-BR"/>
          <w14:ligatures w14:val="none"/>
        </w:rPr>
      </w:pPr>
    </w:p>
    <w:p w14:paraId="2C457EEA" w14:textId="77777777" w:rsidR="00A22CDA" w:rsidRDefault="00A22CDA" w:rsidP="00B74E01">
      <w:pPr>
        <w:spacing w:after="0" w:line="360" w:lineRule="auto"/>
        <w:ind w:firstLine="709"/>
        <w:jc w:val="both"/>
        <w:rPr>
          <w:rFonts w:eastAsia="Times New Roman" w:cs="Arial"/>
          <w:kern w:val="0"/>
          <w:lang w:eastAsia="pt-BR"/>
          <w14:ligatures w14:val="none"/>
        </w:rPr>
      </w:pPr>
    </w:p>
    <w:p w14:paraId="25C5A19C" w14:textId="77777777" w:rsidR="00A22CDA" w:rsidRDefault="00A22CDA" w:rsidP="00B74E01">
      <w:pPr>
        <w:spacing w:after="0" w:line="360" w:lineRule="auto"/>
        <w:ind w:firstLine="709"/>
        <w:jc w:val="both"/>
        <w:rPr>
          <w:rFonts w:eastAsia="Times New Roman" w:cs="Arial"/>
          <w:kern w:val="0"/>
          <w:lang w:eastAsia="pt-BR"/>
          <w14:ligatures w14:val="none"/>
        </w:rPr>
      </w:pPr>
    </w:p>
    <w:p w14:paraId="01A416AE" w14:textId="77777777" w:rsidR="00A22CDA" w:rsidRDefault="00A22CDA" w:rsidP="00B74E01">
      <w:pPr>
        <w:spacing w:after="0" w:line="360" w:lineRule="auto"/>
        <w:ind w:firstLine="709"/>
        <w:jc w:val="both"/>
        <w:rPr>
          <w:rFonts w:eastAsia="Times New Roman" w:cs="Arial"/>
          <w:kern w:val="0"/>
          <w:lang w:eastAsia="pt-BR"/>
          <w14:ligatures w14:val="none"/>
        </w:rPr>
      </w:pPr>
    </w:p>
    <w:p w14:paraId="118217E0" w14:textId="77777777" w:rsidR="00A22CDA" w:rsidRDefault="00A22CDA" w:rsidP="00B74E01">
      <w:pPr>
        <w:spacing w:after="0" w:line="360" w:lineRule="auto"/>
        <w:ind w:firstLine="709"/>
        <w:jc w:val="both"/>
        <w:rPr>
          <w:rFonts w:eastAsia="Times New Roman" w:cs="Arial"/>
          <w:kern w:val="0"/>
          <w:lang w:eastAsia="pt-BR"/>
          <w14:ligatures w14:val="none"/>
        </w:rPr>
      </w:pPr>
    </w:p>
    <w:p w14:paraId="500A53A3" w14:textId="77777777" w:rsidR="00A22CDA" w:rsidRDefault="00A22CDA" w:rsidP="00B74E01">
      <w:pPr>
        <w:spacing w:after="0" w:line="360" w:lineRule="auto"/>
        <w:ind w:firstLine="709"/>
        <w:jc w:val="both"/>
        <w:rPr>
          <w:rFonts w:eastAsia="Times New Roman" w:cs="Arial"/>
          <w:kern w:val="0"/>
          <w:lang w:eastAsia="pt-BR"/>
          <w14:ligatures w14:val="none"/>
        </w:rPr>
      </w:pPr>
    </w:p>
    <w:p w14:paraId="65F5D034" w14:textId="77777777" w:rsidR="00A22CDA" w:rsidRDefault="00A22CDA" w:rsidP="00B74E01">
      <w:pPr>
        <w:spacing w:after="0" w:line="360" w:lineRule="auto"/>
        <w:ind w:firstLine="709"/>
        <w:jc w:val="both"/>
        <w:rPr>
          <w:rFonts w:eastAsia="Times New Roman" w:cs="Arial"/>
          <w:kern w:val="0"/>
          <w:lang w:eastAsia="pt-BR"/>
          <w14:ligatures w14:val="none"/>
        </w:rPr>
      </w:pPr>
    </w:p>
    <w:p w14:paraId="3BEF6BD4" w14:textId="77777777" w:rsidR="00A22CDA" w:rsidRDefault="00A22CDA" w:rsidP="00B74E01">
      <w:pPr>
        <w:spacing w:after="0" w:line="360" w:lineRule="auto"/>
        <w:ind w:firstLine="709"/>
        <w:jc w:val="both"/>
        <w:rPr>
          <w:rFonts w:eastAsia="Times New Roman" w:cs="Arial"/>
          <w:kern w:val="0"/>
          <w:lang w:eastAsia="pt-BR"/>
          <w14:ligatures w14:val="none"/>
        </w:rPr>
      </w:pPr>
    </w:p>
    <w:p w14:paraId="3F2493FE" w14:textId="77777777" w:rsidR="00A22CDA" w:rsidRDefault="00A22CDA" w:rsidP="00B74E01">
      <w:pPr>
        <w:spacing w:after="0" w:line="360" w:lineRule="auto"/>
        <w:ind w:firstLine="709"/>
        <w:jc w:val="both"/>
        <w:rPr>
          <w:rFonts w:eastAsia="Times New Roman" w:cs="Arial"/>
          <w:kern w:val="0"/>
          <w:lang w:eastAsia="pt-BR"/>
          <w14:ligatures w14:val="none"/>
        </w:rPr>
      </w:pPr>
    </w:p>
    <w:p w14:paraId="494EBC74" w14:textId="77777777" w:rsidR="00A22CDA" w:rsidRDefault="00A22CDA" w:rsidP="00B74E01">
      <w:pPr>
        <w:spacing w:after="0" w:line="360" w:lineRule="auto"/>
        <w:ind w:firstLine="709"/>
        <w:jc w:val="both"/>
        <w:rPr>
          <w:rFonts w:eastAsia="Times New Roman" w:cs="Arial"/>
          <w:kern w:val="0"/>
          <w:lang w:eastAsia="pt-BR"/>
          <w14:ligatures w14:val="none"/>
        </w:rPr>
      </w:pPr>
    </w:p>
    <w:p w14:paraId="6525FE82" w14:textId="77777777" w:rsidR="00A22CDA" w:rsidRDefault="00A22CDA" w:rsidP="00B74E01">
      <w:pPr>
        <w:spacing w:after="0" w:line="360" w:lineRule="auto"/>
        <w:ind w:firstLine="709"/>
        <w:jc w:val="both"/>
        <w:rPr>
          <w:rFonts w:eastAsia="Times New Roman" w:cs="Arial"/>
          <w:kern w:val="0"/>
          <w:lang w:eastAsia="pt-BR"/>
          <w14:ligatures w14:val="none"/>
        </w:rPr>
      </w:pPr>
    </w:p>
    <w:p w14:paraId="40B773F2" w14:textId="77777777" w:rsidR="00A22CDA" w:rsidRDefault="00A22CDA" w:rsidP="00B74E01">
      <w:pPr>
        <w:spacing w:after="0" w:line="360" w:lineRule="auto"/>
        <w:ind w:firstLine="709"/>
        <w:jc w:val="both"/>
        <w:rPr>
          <w:rFonts w:eastAsia="Times New Roman" w:cs="Arial"/>
          <w:kern w:val="0"/>
          <w:lang w:eastAsia="pt-BR"/>
          <w14:ligatures w14:val="none"/>
        </w:rPr>
      </w:pPr>
    </w:p>
    <w:p w14:paraId="51AD23E4" w14:textId="77777777" w:rsidR="00A22CDA" w:rsidRDefault="00A22CDA" w:rsidP="00B74E01">
      <w:pPr>
        <w:spacing w:after="0" w:line="360" w:lineRule="auto"/>
        <w:ind w:firstLine="709"/>
        <w:jc w:val="both"/>
        <w:rPr>
          <w:rFonts w:eastAsia="Times New Roman" w:cs="Arial"/>
          <w:kern w:val="0"/>
          <w:lang w:eastAsia="pt-BR"/>
          <w14:ligatures w14:val="none"/>
        </w:rPr>
      </w:pPr>
    </w:p>
    <w:p w14:paraId="06C29EFC" w14:textId="77777777" w:rsidR="00A22CDA" w:rsidRDefault="00A22CDA" w:rsidP="00B74E01">
      <w:pPr>
        <w:spacing w:after="0" w:line="360" w:lineRule="auto"/>
        <w:ind w:firstLine="709"/>
        <w:jc w:val="both"/>
        <w:rPr>
          <w:rFonts w:eastAsia="Times New Roman" w:cs="Arial"/>
          <w:kern w:val="0"/>
          <w:lang w:eastAsia="pt-BR"/>
          <w14:ligatures w14:val="none"/>
        </w:rPr>
      </w:pPr>
    </w:p>
    <w:p w14:paraId="5C49E0C7" w14:textId="77777777" w:rsidR="00A22CDA" w:rsidRDefault="00A22CDA" w:rsidP="00B74E01">
      <w:pPr>
        <w:spacing w:after="0" w:line="360" w:lineRule="auto"/>
        <w:ind w:firstLine="709"/>
        <w:jc w:val="both"/>
        <w:rPr>
          <w:rFonts w:eastAsia="Times New Roman" w:cs="Arial"/>
          <w:kern w:val="0"/>
          <w:lang w:eastAsia="pt-BR"/>
          <w14:ligatures w14:val="none"/>
        </w:rPr>
      </w:pPr>
    </w:p>
    <w:p w14:paraId="7180AEBE" w14:textId="77777777" w:rsidR="00A22CDA" w:rsidRDefault="00A22CDA" w:rsidP="00B74E01">
      <w:pPr>
        <w:spacing w:after="0" w:line="360" w:lineRule="auto"/>
        <w:ind w:firstLine="709"/>
        <w:jc w:val="both"/>
        <w:rPr>
          <w:rFonts w:eastAsia="Times New Roman" w:cs="Arial"/>
          <w:kern w:val="0"/>
          <w:lang w:eastAsia="pt-BR"/>
          <w14:ligatures w14:val="none"/>
        </w:rPr>
      </w:pPr>
    </w:p>
    <w:p w14:paraId="0F9B6CD7" w14:textId="77777777" w:rsidR="00A22CDA" w:rsidRDefault="00A22CDA" w:rsidP="00B74E01">
      <w:pPr>
        <w:spacing w:after="0" w:line="360" w:lineRule="auto"/>
        <w:ind w:firstLine="709"/>
        <w:jc w:val="both"/>
        <w:rPr>
          <w:rFonts w:eastAsia="Times New Roman" w:cs="Arial"/>
          <w:kern w:val="0"/>
          <w:lang w:eastAsia="pt-BR"/>
          <w14:ligatures w14:val="none"/>
        </w:rPr>
      </w:pPr>
    </w:p>
    <w:p w14:paraId="3AC97D67" w14:textId="77777777" w:rsidR="00A22CDA" w:rsidRDefault="00A22CDA" w:rsidP="00B74E01">
      <w:pPr>
        <w:spacing w:after="0" w:line="360" w:lineRule="auto"/>
        <w:ind w:firstLine="709"/>
        <w:jc w:val="both"/>
        <w:rPr>
          <w:rFonts w:eastAsia="Times New Roman" w:cs="Arial"/>
          <w:kern w:val="0"/>
          <w:lang w:eastAsia="pt-BR"/>
          <w14:ligatures w14:val="none"/>
        </w:rPr>
      </w:pPr>
    </w:p>
    <w:p w14:paraId="52F767ED" w14:textId="77777777" w:rsidR="00A22CDA" w:rsidRDefault="00A22CDA" w:rsidP="00B74E01">
      <w:pPr>
        <w:spacing w:after="0" w:line="360" w:lineRule="auto"/>
        <w:ind w:firstLine="709"/>
        <w:jc w:val="both"/>
        <w:rPr>
          <w:rFonts w:eastAsia="Times New Roman" w:cs="Arial"/>
          <w:kern w:val="0"/>
          <w:lang w:eastAsia="pt-BR"/>
          <w14:ligatures w14:val="none"/>
        </w:rPr>
      </w:pPr>
    </w:p>
    <w:p w14:paraId="4D1239E9" w14:textId="77777777" w:rsidR="00A22CDA" w:rsidRDefault="00A22CDA" w:rsidP="00B74E01">
      <w:pPr>
        <w:spacing w:after="0" w:line="360" w:lineRule="auto"/>
        <w:ind w:firstLine="709"/>
        <w:jc w:val="both"/>
        <w:rPr>
          <w:rFonts w:eastAsia="Times New Roman" w:cs="Arial"/>
          <w:kern w:val="0"/>
          <w:lang w:eastAsia="pt-BR"/>
          <w14:ligatures w14:val="none"/>
        </w:rPr>
      </w:pPr>
    </w:p>
    <w:p w14:paraId="13E0BA19" w14:textId="77777777" w:rsidR="00A22CDA" w:rsidRPr="00B74E01" w:rsidRDefault="00A22CDA" w:rsidP="00B74E01">
      <w:pPr>
        <w:spacing w:after="0" w:line="360" w:lineRule="auto"/>
        <w:ind w:firstLine="709"/>
        <w:jc w:val="both"/>
        <w:rPr>
          <w:rFonts w:eastAsia="Times New Roman" w:cs="Arial"/>
          <w:kern w:val="0"/>
          <w:lang w:eastAsia="pt-BR"/>
          <w14:ligatures w14:val="none"/>
        </w:rPr>
      </w:pPr>
    </w:p>
    <w:p w14:paraId="36E4BB1B" w14:textId="353064A8" w:rsidR="00A3112D" w:rsidRDefault="00A3112D" w:rsidP="00B74E01">
      <w:pPr>
        <w:spacing w:after="0" w:line="360" w:lineRule="auto"/>
        <w:ind w:firstLine="709"/>
        <w:jc w:val="both"/>
        <w:rPr>
          <w:rFonts w:eastAsia="Times New Roman" w:cs="Arial"/>
          <w:kern w:val="0"/>
          <w:lang w:eastAsia="pt-BR"/>
          <w14:ligatures w14:val="none"/>
        </w:rPr>
      </w:pPr>
    </w:p>
    <w:p w14:paraId="3461BDF2" w14:textId="77777777" w:rsidR="00A22CDA" w:rsidRPr="00B74E01" w:rsidRDefault="00A22CDA" w:rsidP="00B74E01">
      <w:pPr>
        <w:spacing w:after="0" w:line="360" w:lineRule="auto"/>
        <w:ind w:firstLine="709"/>
        <w:jc w:val="both"/>
        <w:rPr>
          <w:rFonts w:eastAsia="Times New Roman" w:cs="Arial"/>
          <w:kern w:val="0"/>
          <w:lang w:eastAsia="pt-BR"/>
          <w14:ligatures w14:val="none"/>
        </w:rPr>
      </w:pPr>
    </w:p>
    <w:p w14:paraId="70CF8D58" w14:textId="7AA9F74A" w:rsidR="00A3112D" w:rsidRPr="00B74E01" w:rsidRDefault="00A3112D" w:rsidP="00A22CDA">
      <w:pPr>
        <w:pStyle w:val="Ttulo1"/>
        <w:rPr>
          <w:rFonts w:eastAsia="Times New Roman"/>
          <w:lang w:eastAsia="pt-BR"/>
        </w:rPr>
      </w:pPr>
      <w:bookmarkStart w:id="257" w:name="_Toc230204261"/>
      <w:r w:rsidRPr="00B74E01">
        <w:rPr>
          <w:rFonts w:eastAsia="Times New Roman"/>
          <w:lang w:eastAsia="pt-BR"/>
        </w:rPr>
        <w:t>Fechamento Geral do Caderno</w:t>
      </w:r>
      <w:bookmarkEnd w:id="257"/>
    </w:p>
    <w:p w14:paraId="656E59E2"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O Caderno Econômico-Financeiro demonstra que a PPP proposta possui viabilidade preliminar, desde que mantidas as premissas centrais da modelagem e desde que o edital traduza corretamente os mecanismos de proteção econômica, técnica e jurídica aqui estruturados.</w:t>
      </w:r>
    </w:p>
    <w:p w14:paraId="557B291D" w14:textId="0DA6479A"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 análise mostra que a operação fecha positivamente com as receitas principais, ainda que com margem </w:t>
      </w:r>
      <w:r w:rsidR="00460B80">
        <w:rPr>
          <w:rFonts w:eastAsia="Times New Roman" w:cs="Arial"/>
          <w:kern w:val="0"/>
          <w:lang w:eastAsia="pt-BR"/>
          <w14:ligatures w14:val="none"/>
        </w:rPr>
        <w:t>menor</w:t>
      </w:r>
      <w:r w:rsidRPr="00B74E01">
        <w:rPr>
          <w:rFonts w:eastAsia="Times New Roman" w:cs="Arial"/>
          <w:kern w:val="0"/>
          <w:lang w:eastAsia="pt-BR"/>
          <w14:ligatures w14:val="none"/>
        </w:rPr>
        <w:t xml:space="preserve"> no cenário-base. Com as receitas acessórias, a PPP apresenta robustez expressiva, mas essas receitas devem permanecer como risco empresarial da SPE e não como obrigação garantida pelo Município.</w:t>
      </w:r>
    </w:p>
    <w:p w14:paraId="70E51A98"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A principal força do projeto está na integração entre </w:t>
      </w:r>
      <w:r w:rsidRPr="00B74E01">
        <w:rPr>
          <w:rFonts w:eastAsia="Times New Roman" w:cs="Arial"/>
          <w:b/>
          <w:bCs/>
          <w:kern w:val="0"/>
          <w:lang w:eastAsia="pt-BR"/>
          <w14:ligatures w14:val="none"/>
        </w:rPr>
        <w:t>destinação/tratamento de RSU</w:t>
      </w:r>
      <w:r w:rsidRPr="00B74E01">
        <w:rPr>
          <w:rFonts w:eastAsia="Times New Roman" w:cs="Arial"/>
          <w:kern w:val="0"/>
          <w:lang w:eastAsia="pt-BR"/>
          <w14:ligatures w14:val="none"/>
        </w:rPr>
        <w:t xml:space="preserve">, </w:t>
      </w:r>
      <w:r w:rsidRPr="00B74E01">
        <w:rPr>
          <w:rFonts w:eastAsia="Times New Roman" w:cs="Arial"/>
          <w:b/>
          <w:bCs/>
          <w:kern w:val="0"/>
          <w:lang w:eastAsia="pt-BR"/>
          <w14:ligatures w14:val="none"/>
        </w:rPr>
        <w:t>disponibilização de capacidade energética renovável</w:t>
      </w:r>
      <w:r w:rsidRPr="00B74E01">
        <w:rPr>
          <w:rFonts w:eastAsia="Times New Roman" w:cs="Arial"/>
          <w:kern w:val="0"/>
          <w:lang w:eastAsia="pt-BR"/>
          <w14:ligatures w14:val="none"/>
        </w:rPr>
        <w:t xml:space="preserve">, </w:t>
      </w:r>
      <w:r w:rsidRPr="00B74E01">
        <w:rPr>
          <w:rFonts w:eastAsia="Times New Roman" w:cs="Arial"/>
          <w:b/>
          <w:bCs/>
          <w:kern w:val="0"/>
          <w:lang w:eastAsia="pt-BR"/>
          <w14:ligatures w14:val="none"/>
        </w:rPr>
        <w:t>economia municipal</w:t>
      </w:r>
      <w:r w:rsidRPr="00B74E01">
        <w:rPr>
          <w:rFonts w:eastAsia="Times New Roman" w:cs="Arial"/>
          <w:kern w:val="0"/>
          <w:lang w:eastAsia="pt-BR"/>
          <w14:ligatures w14:val="none"/>
        </w:rPr>
        <w:t xml:space="preserve">, </w:t>
      </w:r>
      <w:r w:rsidRPr="00B74E01">
        <w:rPr>
          <w:rFonts w:eastAsia="Times New Roman" w:cs="Arial"/>
          <w:b/>
          <w:bCs/>
          <w:kern w:val="0"/>
          <w:lang w:eastAsia="pt-BR"/>
          <w14:ligatures w14:val="none"/>
        </w:rPr>
        <w:t>investimento privado</w:t>
      </w:r>
      <w:r w:rsidRPr="00B74E01">
        <w:rPr>
          <w:rFonts w:eastAsia="Times New Roman" w:cs="Arial"/>
          <w:kern w:val="0"/>
          <w:lang w:eastAsia="pt-BR"/>
          <w14:ligatures w14:val="none"/>
        </w:rPr>
        <w:t xml:space="preserve">, </w:t>
      </w:r>
      <w:r w:rsidRPr="00B74E01">
        <w:rPr>
          <w:rFonts w:eastAsia="Times New Roman" w:cs="Arial"/>
          <w:b/>
          <w:bCs/>
          <w:kern w:val="0"/>
          <w:lang w:eastAsia="pt-BR"/>
          <w14:ligatures w14:val="none"/>
        </w:rPr>
        <w:t>potencial de receitas acessórias</w:t>
      </w:r>
      <w:r w:rsidRPr="00B74E01">
        <w:rPr>
          <w:rFonts w:eastAsia="Times New Roman" w:cs="Arial"/>
          <w:kern w:val="0"/>
          <w:lang w:eastAsia="pt-BR"/>
          <w14:ligatures w14:val="none"/>
        </w:rPr>
        <w:t xml:space="preserve">, </w:t>
      </w:r>
      <w:r w:rsidRPr="00B74E01">
        <w:rPr>
          <w:rFonts w:eastAsia="Times New Roman" w:cs="Arial"/>
          <w:b/>
          <w:bCs/>
          <w:kern w:val="0"/>
          <w:lang w:eastAsia="pt-BR"/>
          <w14:ligatures w14:val="none"/>
        </w:rPr>
        <w:t>redução de passivo ambiental</w:t>
      </w:r>
      <w:r w:rsidRPr="00B74E01">
        <w:rPr>
          <w:rFonts w:eastAsia="Times New Roman" w:cs="Arial"/>
          <w:kern w:val="0"/>
          <w:lang w:eastAsia="pt-BR"/>
          <w14:ligatures w14:val="none"/>
        </w:rPr>
        <w:t xml:space="preserve"> e </w:t>
      </w:r>
      <w:r w:rsidRPr="00B74E01">
        <w:rPr>
          <w:rFonts w:eastAsia="Times New Roman" w:cs="Arial"/>
          <w:b/>
          <w:bCs/>
          <w:kern w:val="0"/>
          <w:lang w:eastAsia="pt-BR"/>
          <w14:ligatures w14:val="none"/>
        </w:rPr>
        <w:t>fortalecimento do Fundo Municipal de Meio Ambiente e Tecnologia Pública</w:t>
      </w:r>
      <w:r w:rsidRPr="00B74E01">
        <w:rPr>
          <w:rFonts w:eastAsia="Times New Roman" w:cs="Arial"/>
          <w:kern w:val="0"/>
          <w:lang w:eastAsia="pt-BR"/>
          <w14:ligatures w14:val="none"/>
        </w:rPr>
        <w:t>.</w:t>
      </w:r>
    </w:p>
    <w:p w14:paraId="203A29FD"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 xml:space="preserve">O documento não deve ser lido como simples planilha de faturamento. Deve ser lido como instrumento de estruturação de PPP, com lógica econômica, prudência financeira, matriz de riscos, garantias, sensibilidade e </w:t>
      </w:r>
      <w:proofErr w:type="spellStart"/>
      <w:r w:rsidRPr="00B74E01">
        <w:rPr>
          <w:rFonts w:eastAsia="Times New Roman" w:cs="Arial"/>
          <w:kern w:val="0"/>
          <w:lang w:eastAsia="pt-BR"/>
          <w14:ligatures w14:val="none"/>
        </w:rPr>
        <w:t>defensabilidade</w:t>
      </w:r>
      <w:proofErr w:type="spellEnd"/>
      <w:r w:rsidRPr="00B74E01">
        <w:rPr>
          <w:rFonts w:eastAsia="Times New Roman" w:cs="Arial"/>
          <w:kern w:val="0"/>
          <w:lang w:eastAsia="pt-BR"/>
          <w14:ligatures w14:val="none"/>
        </w:rPr>
        <w:t>.</w:t>
      </w:r>
    </w:p>
    <w:p w14:paraId="7269909F"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A conclusão técnica é favorável à continuidade da estruturação, desde que o projeto preserve os seguintes pilares: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540"/>
        <w:gridCol w:w="4521"/>
      </w:tblGrid>
      <w:tr w:rsidR="00A3112D" w:rsidRPr="00B74E01" w14:paraId="0E56A610" w14:textId="77777777" w:rsidTr="002E7EED">
        <w:trPr>
          <w:tblHeade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56DE0910" w14:textId="77777777" w:rsidR="00A3112D" w:rsidRPr="00B74E01" w:rsidRDefault="00A3112D" w:rsidP="00A22CDA">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Pilar</w:t>
            </w:r>
          </w:p>
        </w:tc>
        <w:tc>
          <w:tcPr>
            <w:tcW w:w="0" w:type="auto"/>
            <w:tcBorders>
              <w:top w:val="single" w:sz="4" w:space="0" w:color="auto"/>
              <w:left w:val="single" w:sz="4" w:space="0" w:color="auto"/>
              <w:bottom w:val="single" w:sz="4" w:space="0" w:color="auto"/>
              <w:right w:val="single" w:sz="4" w:space="0" w:color="auto"/>
            </w:tcBorders>
            <w:vAlign w:val="center"/>
            <w:hideMark/>
          </w:tcPr>
          <w:p w14:paraId="1F0E9AD5" w14:textId="77777777" w:rsidR="00A3112D" w:rsidRPr="00B74E01" w:rsidRDefault="00A3112D" w:rsidP="00A22CDA">
            <w:pPr>
              <w:spacing w:after="0" w:line="360" w:lineRule="auto"/>
              <w:jc w:val="both"/>
              <w:rPr>
                <w:rFonts w:eastAsia="Times New Roman" w:cs="Arial"/>
                <w:b/>
                <w:bCs/>
                <w:kern w:val="0"/>
                <w:lang w:eastAsia="pt-BR"/>
                <w14:ligatures w14:val="none"/>
              </w:rPr>
            </w:pPr>
            <w:r w:rsidRPr="00B74E01">
              <w:rPr>
                <w:rFonts w:eastAsia="Times New Roman" w:cs="Arial"/>
                <w:b/>
                <w:bCs/>
                <w:kern w:val="0"/>
                <w:lang w:eastAsia="pt-BR"/>
                <w14:ligatures w14:val="none"/>
              </w:rPr>
              <w:t>Razão</w:t>
            </w:r>
          </w:p>
        </w:tc>
      </w:tr>
      <w:tr w:rsidR="00A3112D" w:rsidRPr="00B74E01" w14:paraId="0CE6D144" w14:textId="77777777" w:rsidTr="002E7EED">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2D2D6EA2" w14:textId="77777777" w:rsidR="00A3112D" w:rsidRPr="00B74E01" w:rsidRDefault="00A3112D" w:rsidP="00A22CDA">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Receitas principais protegidas</w:t>
            </w:r>
          </w:p>
        </w:tc>
        <w:tc>
          <w:tcPr>
            <w:tcW w:w="0" w:type="auto"/>
            <w:tcBorders>
              <w:top w:val="single" w:sz="4" w:space="0" w:color="auto"/>
              <w:left w:val="single" w:sz="4" w:space="0" w:color="auto"/>
              <w:bottom w:val="single" w:sz="4" w:space="0" w:color="auto"/>
              <w:right w:val="single" w:sz="4" w:space="0" w:color="auto"/>
            </w:tcBorders>
            <w:vAlign w:val="center"/>
            <w:hideMark/>
          </w:tcPr>
          <w:p w14:paraId="42FA06E2" w14:textId="77777777" w:rsidR="00A3112D" w:rsidRPr="00B74E01" w:rsidRDefault="00A3112D" w:rsidP="00A22CDA">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Sustentam a SPE e a dívida</w:t>
            </w:r>
          </w:p>
        </w:tc>
      </w:tr>
      <w:tr w:rsidR="00A3112D" w:rsidRPr="00B74E01" w14:paraId="3DB08958" w14:textId="77777777" w:rsidTr="002E7EED">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0DF6C3EC" w14:textId="77777777" w:rsidR="00A3112D" w:rsidRPr="00B74E01" w:rsidRDefault="00A3112D" w:rsidP="00A22CDA">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Receitas acessórias tratadas com prudência</w:t>
            </w:r>
          </w:p>
        </w:tc>
        <w:tc>
          <w:tcPr>
            <w:tcW w:w="0" w:type="auto"/>
            <w:tcBorders>
              <w:top w:val="single" w:sz="4" w:space="0" w:color="auto"/>
              <w:left w:val="single" w:sz="4" w:space="0" w:color="auto"/>
              <w:bottom w:val="single" w:sz="4" w:space="0" w:color="auto"/>
              <w:right w:val="single" w:sz="4" w:space="0" w:color="auto"/>
            </w:tcBorders>
            <w:vAlign w:val="center"/>
            <w:hideMark/>
          </w:tcPr>
          <w:p w14:paraId="4EC6DA46" w14:textId="77777777" w:rsidR="00A3112D" w:rsidRPr="00B74E01" w:rsidRDefault="00A3112D" w:rsidP="00A22CDA">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Evitam otimismo artificial</w:t>
            </w:r>
          </w:p>
        </w:tc>
      </w:tr>
      <w:tr w:rsidR="00A3112D" w:rsidRPr="00B74E01" w14:paraId="59092226" w14:textId="77777777" w:rsidTr="002E7EED">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3891CD9C" w14:textId="77777777" w:rsidR="00A3112D" w:rsidRPr="00B74E01" w:rsidRDefault="00A3112D" w:rsidP="00A22CDA">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Fundo Garantidor ou conta vinculada</w:t>
            </w:r>
          </w:p>
        </w:tc>
        <w:tc>
          <w:tcPr>
            <w:tcW w:w="0" w:type="auto"/>
            <w:tcBorders>
              <w:top w:val="single" w:sz="4" w:space="0" w:color="auto"/>
              <w:left w:val="single" w:sz="4" w:space="0" w:color="auto"/>
              <w:bottom w:val="single" w:sz="4" w:space="0" w:color="auto"/>
              <w:right w:val="single" w:sz="4" w:space="0" w:color="auto"/>
            </w:tcBorders>
            <w:vAlign w:val="center"/>
            <w:hideMark/>
          </w:tcPr>
          <w:p w14:paraId="4C89AEF1" w14:textId="77777777" w:rsidR="00A3112D" w:rsidRPr="00B74E01" w:rsidRDefault="00A3112D" w:rsidP="00A22CDA">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 xml:space="preserve">Garante </w:t>
            </w:r>
            <w:proofErr w:type="spellStart"/>
            <w:r w:rsidRPr="00B74E01">
              <w:rPr>
                <w:rFonts w:eastAsia="Times New Roman" w:cs="Arial"/>
                <w:kern w:val="0"/>
                <w:lang w:eastAsia="pt-BR"/>
                <w14:ligatures w14:val="none"/>
              </w:rPr>
              <w:t>bancabilidade</w:t>
            </w:r>
            <w:proofErr w:type="spellEnd"/>
          </w:p>
        </w:tc>
      </w:tr>
      <w:tr w:rsidR="00A3112D" w:rsidRPr="00B74E01" w14:paraId="69864023" w14:textId="77777777" w:rsidTr="002E7EED">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4E6FFA66" w14:textId="77777777" w:rsidR="00A3112D" w:rsidRPr="00B74E01" w:rsidRDefault="00A3112D" w:rsidP="00A22CDA">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lastRenderedPageBreak/>
              <w:t>Matriz de riscos objetiva</w:t>
            </w:r>
          </w:p>
        </w:tc>
        <w:tc>
          <w:tcPr>
            <w:tcW w:w="0" w:type="auto"/>
            <w:tcBorders>
              <w:top w:val="single" w:sz="4" w:space="0" w:color="auto"/>
              <w:left w:val="single" w:sz="4" w:space="0" w:color="auto"/>
              <w:bottom w:val="single" w:sz="4" w:space="0" w:color="auto"/>
              <w:right w:val="single" w:sz="4" w:space="0" w:color="auto"/>
            </w:tcBorders>
            <w:vAlign w:val="center"/>
            <w:hideMark/>
          </w:tcPr>
          <w:p w14:paraId="38E5F8CA" w14:textId="77777777" w:rsidR="00A3112D" w:rsidRPr="00B74E01" w:rsidRDefault="00A3112D" w:rsidP="00A22CDA">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Evita litígios e pleitos indevidos</w:t>
            </w:r>
          </w:p>
        </w:tc>
      </w:tr>
      <w:tr w:rsidR="00A3112D" w:rsidRPr="00B74E01" w14:paraId="79651FD7" w14:textId="77777777" w:rsidTr="002E7EED">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5E5767FD" w14:textId="77777777" w:rsidR="00A3112D" w:rsidRPr="00B74E01" w:rsidRDefault="00A3112D" w:rsidP="00A22CDA">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Reequilíbrio limitado</w:t>
            </w:r>
          </w:p>
        </w:tc>
        <w:tc>
          <w:tcPr>
            <w:tcW w:w="0" w:type="auto"/>
            <w:tcBorders>
              <w:top w:val="single" w:sz="4" w:space="0" w:color="auto"/>
              <w:left w:val="single" w:sz="4" w:space="0" w:color="auto"/>
              <w:bottom w:val="single" w:sz="4" w:space="0" w:color="auto"/>
              <w:right w:val="single" w:sz="4" w:space="0" w:color="auto"/>
            </w:tcBorders>
            <w:vAlign w:val="center"/>
            <w:hideMark/>
          </w:tcPr>
          <w:p w14:paraId="5A3D369E" w14:textId="77777777" w:rsidR="00A3112D" w:rsidRPr="00B74E01" w:rsidRDefault="00A3112D" w:rsidP="00A22CDA">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Protege o Município</w:t>
            </w:r>
          </w:p>
        </w:tc>
      </w:tr>
      <w:tr w:rsidR="00A3112D" w:rsidRPr="00B74E01" w14:paraId="5A14CEEF" w14:textId="77777777" w:rsidTr="002E7EED">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37837025" w14:textId="77777777" w:rsidR="00A3112D" w:rsidRPr="00B74E01" w:rsidRDefault="00A3112D" w:rsidP="00A22CDA">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Exigência de exequibilidade</w:t>
            </w:r>
          </w:p>
        </w:tc>
        <w:tc>
          <w:tcPr>
            <w:tcW w:w="0" w:type="auto"/>
            <w:tcBorders>
              <w:top w:val="single" w:sz="4" w:space="0" w:color="auto"/>
              <w:left w:val="single" w:sz="4" w:space="0" w:color="auto"/>
              <w:bottom w:val="single" w:sz="4" w:space="0" w:color="auto"/>
              <w:right w:val="single" w:sz="4" w:space="0" w:color="auto"/>
            </w:tcBorders>
            <w:vAlign w:val="center"/>
            <w:hideMark/>
          </w:tcPr>
          <w:p w14:paraId="48720ACA" w14:textId="77777777" w:rsidR="00A3112D" w:rsidRPr="00B74E01" w:rsidRDefault="00A3112D" w:rsidP="00A22CDA">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Evita concorrentes aventureiros</w:t>
            </w:r>
          </w:p>
        </w:tc>
      </w:tr>
      <w:tr w:rsidR="00A3112D" w:rsidRPr="00B74E01" w14:paraId="1911DED3" w14:textId="77777777" w:rsidTr="002E7EED">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6B5381B6" w14:textId="77777777" w:rsidR="00A3112D" w:rsidRPr="00B74E01" w:rsidRDefault="00A3112D" w:rsidP="00A22CDA">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 xml:space="preserve">Operação assistida e </w:t>
            </w:r>
            <w:proofErr w:type="spellStart"/>
            <w:r w:rsidRPr="00B74E01">
              <w:rPr>
                <w:rFonts w:eastAsia="Times New Roman" w:cs="Arial"/>
                <w:kern w:val="0"/>
                <w:lang w:eastAsia="pt-BR"/>
                <w14:ligatures w14:val="none"/>
              </w:rPr>
              <w:t>turnkey</w:t>
            </w:r>
            <w:proofErr w:type="spellEnd"/>
          </w:p>
        </w:tc>
        <w:tc>
          <w:tcPr>
            <w:tcW w:w="0" w:type="auto"/>
            <w:tcBorders>
              <w:top w:val="single" w:sz="4" w:space="0" w:color="auto"/>
              <w:left w:val="single" w:sz="4" w:space="0" w:color="auto"/>
              <w:bottom w:val="single" w:sz="4" w:space="0" w:color="auto"/>
              <w:right w:val="single" w:sz="4" w:space="0" w:color="auto"/>
            </w:tcBorders>
            <w:vAlign w:val="center"/>
            <w:hideMark/>
          </w:tcPr>
          <w:p w14:paraId="7DA4099E" w14:textId="77777777" w:rsidR="00A3112D" w:rsidRPr="00B74E01" w:rsidRDefault="00A3112D" w:rsidP="00A22CDA">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Reduz risco tecnológico</w:t>
            </w:r>
          </w:p>
        </w:tc>
      </w:tr>
      <w:tr w:rsidR="00A3112D" w:rsidRPr="00B74E01" w14:paraId="0D90FCF9" w14:textId="77777777" w:rsidTr="002E7EED">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5D9DF1D5" w14:textId="77777777" w:rsidR="00A3112D" w:rsidRPr="00B74E01" w:rsidRDefault="00A3112D" w:rsidP="00A22CDA">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Análise de sensibilidade</w:t>
            </w:r>
          </w:p>
        </w:tc>
        <w:tc>
          <w:tcPr>
            <w:tcW w:w="0" w:type="auto"/>
            <w:tcBorders>
              <w:top w:val="single" w:sz="4" w:space="0" w:color="auto"/>
              <w:left w:val="single" w:sz="4" w:space="0" w:color="auto"/>
              <w:bottom w:val="single" w:sz="4" w:space="0" w:color="auto"/>
              <w:right w:val="single" w:sz="4" w:space="0" w:color="auto"/>
            </w:tcBorders>
            <w:vAlign w:val="center"/>
            <w:hideMark/>
          </w:tcPr>
          <w:p w14:paraId="0F536687" w14:textId="77777777" w:rsidR="00A3112D" w:rsidRPr="00B74E01" w:rsidRDefault="00A3112D" w:rsidP="00A22CDA">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Fortalece defesa perante órgãos de controle</w:t>
            </w:r>
          </w:p>
        </w:tc>
      </w:tr>
      <w:tr w:rsidR="00A3112D" w:rsidRPr="00B74E01" w14:paraId="50B2F36A" w14:textId="77777777" w:rsidTr="002E7EED">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0E458B37" w14:textId="77777777" w:rsidR="00A3112D" w:rsidRPr="00B74E01" w:rsidRDefault="00A3112D" w:rsidP="00A22CDA">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Comparação com aterro convencional</w:t>
            </w:r>
          </w:p>
        </w:tc>
        <w:tc>
          <w:tcPr>
            <w:tcW w:w="0" w:type="auto"/>
            <w:tcBorders>
              <w:top w:val="single" w:sz="4" w:space="0" w:color="auto"/>
              <w:left w:val="single" w:sz="4" w:space="0" w:color="auto"/>
              <w:bottom w:val="single" w:sz="4" w:space="0" w:color="auto"/>
              <w:right w:val="single" w:sz="4" w:space="0" w:color="auto"/>
            </w:tcBorders>
            <w:vAlign w:val="center"/>
            <w:hideMark/>
          </w:tcPr>
          <w:p w14:paraId="1CFA7DA5" w14:textId="77777777" w:rsidR="00A3112D" w:rsidRPr="00B74E01" w:rsidRDefault="00A3112D" w:rsidP="00A22CDA">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Demonstra valor adicional da PPP</w:t>
            </w:r>
          </w:p>
        </w:tc>
      </w:tr>
      <w:tr w:rsidR="00A3112D" w:rsidRPr="00B74E01" w14:paraId="5BBD4229" w14:textId="77777777" w:rsidTr="002E7EED">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14:paraId="7C31067E" w14:textId="77777777" w:rsidR="00A3112D" w:rsidRPr="00B74E01" w:rsidRDefault="00A3112D" w:rsidP="00A22CDA">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Enquadramento energético cuidadoso</w:t>
            </w:r>
          </w:p>
        </w:tc>
        <w:tc>
          <w:tcPr>
            <w:tcW w:w="0" w:type="auto"/>
            <w:tcBorders>
              <w:top w:val="single" w:sz="4" w:space="0" w:color="auto"/>
              <w:left w:val="single" w:sz="4" w:space="0" w:color="auto"/>
              <w:bottom w:val="single" w:sz="4" w:space="0" w:color="auto"/>
              <w:right w:val="single" w:sz="4" w:space="0" w:color="auto"/>
            </w:tcBorders>
            <w:vAlign w:val="center"/>
            <w:hideMark/>
          </w:tcPr>
          <w:p w14:paraId="7FD2F992" w14:textId="77777777" w:rsidR="00A3112D" w:rsidRPr="00B74E01" w:rsidRDefault="00A3112D" w:rsidP="00A22CDA">
            <w:pPr>
              <w:spacing w:after="0" w:line="360" w:lineRule="auto"/>
              <w:jc w:val="both"/>
              <w:rPr>
                <w:rFonts w:eastAsia="Times New Roman" w:cs="Arial"/>
                <w:kern w:val="0"/>
                <w:lang w:eastAsia="pt-BR"/>
                <w14:ligatures w14:val="none"/>
              </w:rPr>
            </w:pPr>
            <w:r w:rsidRPr="00B74E01">
              <w:rPr>
                <w:rFonts w:eastAsia="Times New Roman" w:cs="Arial"/>
                <w:kern w:val="0"/>
                <w:lang w:eastAsia="pt-BR"/>
                <w14:ligatures w14:val="none"/>
              </w:rPr>
              <w:t>Reduz risco regulatório</w:t>
            </w:r>
          </w:p>
        </w:tc>
      </w:tr>
    </w:tbl>
    <w:p w14:paraId="069FFCEF" w14:textId="77777777" w:rsidR="00A3112D" w:rsidRPr="00B74E01" w:rsidRDefault="00A3112D" w:rsidP="00B74E01">
      <w:pPr>
        <w:spacing w:before="100" w:beforeAutospacing="1" w:after="100" w:afterAutospacing="1" w:line="360" w:lineRule="auto"/>
        <w:ind w:firstLine="709"/>
        <w:jc w:val="both"/>
        <w:rPr>
          <w:rFonts w:eastAsia="Times New Roman" w:cs="Arial"/>
          <w:kern w:val="0"/>
          <w:lang w:eastAsia="pt-BR"/>
          <w14:ligatures w14:val="none"/>
        </w:rPr>
      </w:pPr>
      <w:r w:rsidRPr="00B74E01">
        <w:rPr>
          <w:rFonts w:eastAsia="Times New Roman" w:cs="Arial"/>
          <w:kern w:val="0"/>
          <w:lang w:eastAsia="pt-BR"/>
          <w14:ligatures w14:val="none"/>
        </w:rPr>
        <w:t>Com essa estrutura, o projeto deixa de ser uma promessa genérica e passa a ser uma modelagem econômico-financeira organizada, auditável, defensável e compatível com a complexidade de uma PPP de infraestrutura ambiental e energética.</w:t>
      </w:r>
    </w:p>
    <w:p w14:paraId="47A6F7D0" w14:textId="77777777" w:rsidR="00A3112D" w:rsidRPr="00B74E01" w:rsidRDefault="00A3112D" w:rsidP="00B74E01">
      <w:pPr>
        <w:spacing w:line="360" w:lineRule="auto"/>
        <w:ind w:firstLine="709"/>
        <w:jc w:val="both"/>
        <w:rPr>
          <w:rFonts w:cs="Arial"/>
        </w:rPr>
      </w:pPr>
    </w:p>
    <w:p w14:paraId="523F819B" w14:textId="77777777" w:rsidR="00A3112D" w:rsidRPr="00B74E01" w:rsidRDefault="00A3112D" w:rsidP="00B74E01">
      <w:pPr>
        <w:spacing w:line="360" w:lineRule="auto"/>
        <w:ind w:firstLine="709"/>
        <w:jc w:val="both"/>
        <w:rPr>
          <w:rFonts w:cs="Arial"/>
        </w:rPr>
      </w:pPr>
    </w:p>
    <w:p w14:paraId="5BE68AE1" w14:textId="77777777" w:rsidR="00A3112D" w:rsidRPr="00B74E01" w:rsidRDefault="00A3112D" w:rsidP="00B74E01">
      <w:pPr>
        <w:spacing w:line="360" w:lineRule="auto"/>
        <w:ind w:firstLine="709"/>
        <w:jc w:val="both"/>
        <w:rPr>
          <w:rFonts w:cs="Arial"/>
        </w:rPr>
      </w:pPr>
    </w:p>
    <w:p w14:paraId="5E90A38B" w14:textId="77777777" w:rsidR="00CF7ABE" w:rsidRPr="00B74E01" w:rsidRDefault="00CF7ABE" w:rsidP="00B74E01">
      <w:pPr>
        <w:spacing w:line="360" w:lineRule="auto"/>
        <w:ind w:firstLine="709"/>
        <w:jc w:val="both"/>
        <w:rPr>
          <w:rFonts w:cs="Arial"/>
        </w:rPr>
      </w:pPr>
    </w:p>
    <w:sectPr w:rsidR="00CF7ABE" w:rsidRPr="00B74E01" w:rsidSect="00B74E01">
      <w:footerReference w:type="default" r:id="rId11"/>
      <w:pgSz w:w="11906" w:h="16838"/>
      <w:pgMar w:top="1701" w:right="1134"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34517A" w14:textId="77777777" w:rsidR="00107D01" w:rsidRDefault="00107D01" w:rsidP="002D5E24">
      <w:pPr>
        <w:spacing w:after="0" w:line="240" w:lineRule="auto"/>
      </w:pPr>
      <w:r>
        <w:separator/>
      </w:r>
    </w:p>
  </w:endnote>
  <w:endnote w:type="continuationSeparator" w:id="0">
    <w:p w14:paraId="2C70E5A3" w14:textId="77777777" w:rsidR="00107D01" w:rsidRDefault="00107D01" w:rsidP="002D5E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3CD8B2" w14:textId="671C808E" w:rsidR="00D05860" w:rsidRDefault="00D05860">
    <w:pPr>
      <w:pStyle w:val="Rodap"/>
      <w:jc w:val="right"/>
    </w:pPr>
  </w:p>
  <w:p w14:paraId="7CE13DA9" w14:textId="77777777" w:rsidR="00563E8B" w:rsidRDefault="00563E8B">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27064380"/>
      <w:docPartObj>
        <w:docPartGallery w:val="Page Numbers (Bottom of Page)"/>
        <w:docPartUnique/>
      </w:docPartObj>
    </w:sdtPr>
    <w:sdtContent>
      <w:p w14:paraId="39C1E81E" w14:textId="77777777" w:rsidR="00D05860" w:rsidRDefault="00D05860">
        <w:pPr>
          <w:pStyle w:val="Rodap"/>
          <w:jc w:val="right"/>
        </w:pPr>
        <w:r>
          <w:fldChar w:fldCharType="begin"/>
        </w:r>
        <w:r>
          <w:instrText>PAGE   \* MERGEFORMAT</w:instrText>
        </w:r>
        <w:r>
          <w:fldChar w:fldCharType="separate"/>
        </w:r>
        <w:r>
          <w:t>2</w:t>
        </w:r>
        <w:r>
          <w:fldChar w:fldCharType="end"/>
        </w:r>
      </w:p>
    </w:sdtContent>
  </w:sdt>
  <w:p w14:paraId="5EF29E57" w14:textId="77777777" w:rsidR="00D05860" w:rsidRDefault="00D05860">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D78FBB" w14:textId="77777777" w:rsidR="00107D01" w:rsidRDefault="00107D01" w:rsidP="002D5E24">
      <w:pPr>
        <w:spacing w:after="0" w:line="240" w:lineRule="auto"/>
      </w:pPr>
      <w:r>
        <w:separator/>
      </w:r>
    </w:p>
  </w:footnote>
  <w:footnote w:type="continuationSeparator" w:id="0">
    <w:p w14:paraId="23EBB73D" w14:textId="77777777" w:rsidR="00107D01" w:rsidRDefault="00107D01" w:rsidP="002D5E2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DABCB5" w14:textId="0C531787" w:rsidR="002D5E24" w:rsidRDefault="002D5E24">
    <w:pPr>
      <w:pStyle w:val="Cabealho"/>
    </w:pPr>
    <w:r>
      <w:rPr>
        <w:noProof/>
        <w:sz w:val="20"/>
      </w:rPr>
      <w:drawing>
        <wp:anchor distT="0" distB="0" distL="0" distR="0" simplePos="0" relativeHeight="251659264" behindDoc="1" locked="0" layoutInCell="1" allowOverlap="1" wp14:anchorId="64D61BA3" wp14:editId="04EF16CF">
          <wp:simplePos x="0" y="0"/>
          <wp:positionH relativeFrom="margin">
            <wp:posOffset>0</wp:posOffset>
          </wp:positionH>
          <wp:positionV relativeFrom="page">
            <wp:posOffset>449580</wp:posOffset>
          </wp:positionV>
          <wp:extent cx="1470958" cy="374904"/>
          <wp:effectExtent l="0" t="0" r="0" b="6350"/>
          <wp:wrapNone/>
          <wp:docPr id="170548331"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1" cstate="print"/>
                  <a:stretch>
                    <a:fillRect/>
                  </a:stretch>
                </pic:blipFill>
                <pic:spPr>
                  <a:xfrm>
                    <a:off x="0" y="0"/>
                    <a:ext cx="1470958" cy="374904"/>
                  </a:xfrm>
                  <a:prstGeom prst="rect">
                    <a:avLst/>
                  </a:prstGeom>
                </pic:spPr>
              </pic:pic>
            </a:graphicData>
          </a:graphic>
        </wp:anchor>
      </w:drawing>
    </w:r>
  </w:p>
  <w:p w14:paraId="071D3C7B" w14:textId="236C2D7E" w:rsidR="002D5E24" w:rsidRPr="002D5E24" w:rsidRDefault="002D5E24" w:rsidP="002D5E24">
    <w:pPr>
      <w:spacing w:before="16"/>
      <w:ind w:left="20"/>
      <w:rPr>
        <w:b/>
        <w:sz w:val="20"/>
        <w:szCs w:val="20"/>
      </w:rPr>
    </w:pPr>
    <w:r>
      <w:rPr>
        <w:b/>
        <w:sz w:val="13"/>
      </w:rPr>
      <w:t xml:space="preserve">                                                                                                            </w:t>
    </w:r>
    <w:r w:rsidRPr="002D5E24">
      <w:rPr>
        <w:b/>
        <w:sz w:val="20"/>
        <w:szCs w:val="20"/>
      </w:rPr>
      <w:t>CADERNO ECONÔMICO-FINANCEIRO DA PPP</w:t>
    </w:r>
  </w:p>
  <w:p w14:paraId="70D57C8A" w14:textId="77777777" w:rsidR="002D5E24" w:rsidRDefault="002D5E24">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E60027D"/>
    <w:multiLevelType w:val="multilevel"/>
    <w:tmpl w:val="334684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981974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7ABE"/>
    <w:rsid w:val="00050088"/>
    <w:rsid w:val="0005013F"/>
    <w:rsid w:val="00050807"/>
    <w:rsid w:val="00062B46"/>
    <w:rsid w:val="00077895"/>
    <w:rsid w:val="00107D01"/>
    <w:rsid w:val="00116C3A"/>
    <w:rsid w:val="00132DF3"/>
    <w:rsid w:val="00163D46"/>
    <w:rsid w:val="00186BEB"/>
    <w:rsid w:val="0019247C"/>
    <w:rsid w:val="001965AC"/>
    <w:rsid w:val="001A5297"/>
    <w:rsid w:val="002028D1"/>
    <w:rsid w:val="00221F62"/>
    <w:rsid w:val="00224275"/>
    <w:rsid w:val="002D5E24"/>
    <w:rsid w:val="002E7EED"/>
    <w:rsid w:val="00376497"/>
    <w:rsid w:val="0039142B"/>
    <w:rsid w:val="003E1054"/>
    <w:rsid w:val="003E7DB5"/>
    <w:rsid w:val="0041609D"/>
    <w:rsid w:val="004323A5"/>
    <w:rsid w:val="00454A0F"/>
    <w:rsid w:val="00460B80"/>
    <w:rsid w:val="004A6861"/>
    <w:rsid w:val="004D0DA8"/>
    <w:rsid w:val="004E01AD"/>
    <w:rsid w:val="00500DF4"/>
    <w:rsid w:val="00514939"/>
    <w:rsid w:val="005578CF"/>
    <w:rsid w:val="00563E8B"/>
    <w:rsid w:val="005724D2"/>
    <w:rsid w:val="00582F3D"/>
    <w:rsid w:val="0058413D"/>
    <w:rsid w:val="00596A5A"/>
    <w:rsid w:val="00646F43"/>
    <w:rsid w:val="00654A69"/>
    <w:rsid w:val="00671A31"/>
    <w:rsid w:val="00702CEE"/>
    <w:rsid w:val="0074237A"/>
    <w:rsid w:val="00746B30"/>
    <w:rsid w:val="00757B2F"/>
    <w:rsid w:val="007D7D9A"/>
    <w:rsid w:val="008C475F"/>
    <w:rsid w:val="009018B0"/>
    <w:rsid w:val="00935469"/>
    <w:rsid w:val="00962262"/>
    <w:rsid w:val="009C2073"/>
    <w:rsid w:val="009C2BE9"/>
    <w:rsid w:val="009C50F1"/>
    <w:rsid w:val="009D4504"/>
    <w:rsid w:val="00A22CDA"/>
    <w:rsid w:val="00A3112D"/>
    <w:rsid w:val="00A41E60"/>
    <w:rsid w:val="00A6364E"/>
    <w:rsid w:val="00A70E6F"/>
    <w:rsid w:val="00A8534E"/>
    <w:rsid w:val="00B745F4"/>
    <w:rsid w:val="00B74E01"/>
    <w:rsid w:val="00B84AB6"/>
    <w:rsid w:val="00B90978"/>
    <w:rsid w:val="00B91453"/>
    <w:rsid w:val="00BA36B3"/>
    <w:rsid w:val="00BC32CA"/>
    <w:rsid w:val="00C0670A"/>
    <w:rsid w:val="00C37F5D"/>
    <w:rsid w:val="00C95590"/>
    <w:rsid w:val="00CE7617"/>
    <w:rsid w:val="00CF7ABE"/>
    <w:rsid w:val="00D05860"/>
    <w:rsid w:val="00D4633E"/>
    <w:rsid w:val="00D648F6"/>
    <w:rsid w:val="00D65A3E"/>
    <w:rsid w:val="00D73F27"/>
    <w:rsid w:val="00D77146"/>
    <w:rsid w:val="00DC5B93"/>
    <w:rsid w:val="00DC662F"/>
    <w:rsid w:val="00DE77F2"/>
    <w:rsid w:val="00E00EEF"/>
    <w:rsid w:val="00E04C44"/>
    <w:rsid w:val="00E362A0"/>
    <w:rsid w:val="00E4713E"/>
    <w:rsid w:val="00EB16F0"/>
    <w:rsid w:val="00ED2E2C"/>
    <w:rsid w:val="00F024E4"/>
    <w:rsid w:val="00F03C7F"/>
    <w:rsid w:val="00F6440D"/>
    <w:rsid w:val="00FB1918"/>
    <w:rsid w:val="00FD5B11"/>
    <w:rsid w:val="00FD7DFE"/>
    <w:rsid w:val="00FE2FC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88AF96"/>
  <w15:chartTrackingRefBased/>
  <w15:docId w15:val="{9A373EEE-4BA5-4D21-9A46-2973877B51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32CA"/>
    <w:rPr>
      <w:rFonts w:ascii="Arial" w:hAnsi="Arial"/>
    </w:rPr>
  </w:style>
  <w:style w:type="paragraph" w:styleId="Ttulo1">
    <w:name w:val="heading 1"/>
    <w:basedOn w:val="Normal"/>
    <w:next w:val="Normal"/>
    <w:link w:val="Ttulo1Char"/>
    <w:uiPriority w:val="9"/>
    <w:qFormat/>
    <w:rsid w:val="00B74E01"/>
    <w:pPr>
      <w:keepNext/>
      <w:keepLines/>
      <w:spacing w:before="360" w:after="80"/>
      <w:ind w:left="709"/>
      <w:outlineLvl w:val="0"/>
    </w:pPr>
    <w:rPr>
      <w:rFonts w:eastAsiaTheme="majorEastAsia" w:cstheme="majorBidi"/>
      <w:b/>
      <w:color w:val="000000" w:themeColor="text1"/>
      <w:sz w:val="45"/>
      <w:szCs w:val="40"/>
    </w:rPr>
  </w:style>
  <w:style w:type="paragraph" w:styleId="Ttulo2">
    <w:name w:val="heading 2"/>
    <w:basedOn w:val="Normal"/>
    <w:next w:val="Normal"/>
    <w:link w:val="Ttulo2Char"/>
    <w:uiPriority w:val="9"/>
    <w:unhideWhenUsed/>
    <w:qFormat/>
    <w:rsid w:val="00B74E01"/>
    <w:pPr>
      <w:keepNext/>
      <w:keepLines/>
      <w:spacing w:before="160" w:after="80"/>
      <w:ind w:left="638"/>
      <w:outlineLvl w:val="1"/>
    </w:pPr>
    <w:rPr>
      <w:rFonts w:eastAsiaTheme="majorEastAsia" w:cstheme="majorBidi"/>
      <w:b/>
      <w:sz w:val="33"/>
      <w:szCs w:val="32"/>
    </w:rPr>
  </w:style>
  <w:style w:type="paragraph" w:styleId="Ttulo3">
    <w:name w:val="heading 3"/>
    <w:basedOn w:val="Normal"/>
    <w:next w:val="Normal"/>
    <w:link w:val="Ttulo3Char"/>
    <w:uiPriority w:val="9"/>
    <w:unhideWhenUsed/>
    <w:qFormat/>
    <w:rsid w:val="00D65A3E"/>
    <w:pPr>
      <w:keepNext/>
      <w:keepLines/>
      <w:spacing w:before="160" w:after="80"/>
      <w:ind w:left="638"/>
      <w:outlineLvl w:val="2"/>
    </w:pPr>
    <w:rPr>
      <w:rFonts w:eastAsiaTheme="majorEastAsia" w:cstheme="majorBidi"/>
      <w:b/>
      <w:color w:val="000000" w:themeColor="text1"/>
      <w:sz w:val="33"/>
      <w:szCs w:val="28"/>
    </w:rPr>
  </w:style>
  <w:style w:type="paragraph" w:styleId="Ttulo4">
    <w:name w:val="heading 4"/>
    <w:basedOn w:val="Normal"/>
    <w:next w:val="Normal"/>
    <w:link w:val="Ttulo4Char"/>
    <w:uiPriority w:val="9"/>
    <w:semiHidden/>
    <w:unhideWhenUsed/>
    <w:qFormat/>
    <w:rsid w:val="00CF7ABE"/>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CF7ABE"/>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CF7ABE"/>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CF7ABE"/>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CF7ABE"/>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CF7ABE"/>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B74E01"/>
    <w:rPr>
      <w:rFonts w:ascii="Arial" w:eastAsiaTheme="majorEastAsia" w:hAnsi="Arial" w:cstheme="majorBidi"/>
      <w:b/>
      <w:color w:val="000000" w:themeColor="text1"/>
      <w:sz w:val="45"/>
      <w:szCs w:val="40"/>
    </w:rPr>
  </w:style>
  <w:style w:type="character" w:customStyle="1" w:styleId="Ttulo2Char">
    <w:name w:val="Título 2 Char"/>
    <w:basedOn w:val="Fontepargpadro"/>
    <w:link w:val="Ttulo2"/>
    <w:uiPriority w:val="9"/>
    <w:rsid w:val="00B74E01"/>
    <w:rPr>
      <w:rFonts w:ascii="Arial" w:eastAsiaTheme="majorEastAsia" w:hAnsi="Arial" w:cstheme="majorBidi"/>
      <w:b/>
      <w:sz w:val="33"/>
      <w:szCs w:val="32"/>
    </w:rPr>
  </w:style>
  <w:style w:type="character" w:customStyle="1" w:styleId="Ttulo3Char">
    <w:name w:val="Título 3 Char"/>
    <w:basedOn w:val="Fontepargpadro"/>
    <w:link w:val="Ttulo3"/>
    <w:uiPriority w:val="9"/>
    <w:rsid w:val="00D65A3E"/>
    <w:rPr>
      <w:rFonts w:ascii="Arial" w:eastAsiaTheme="majorEastAsia" w:hAnsi="Arial" w:cstheme="majorBidi"/>
      <w:b/>
      <w:color w:val="000000" w:themeColor="text1"/>
      <w:sz w:val="33"/>
      <w:szCs w:val="28"/>
    </w:rPr>
  </w:style>
  <w:style w:type="character" w:customStyle="1" w:styleId="Ttulo4Char">
    <w:name w:val="Título 4 Char"/>
    <w:basedOn w:val="Fontepargpadro"/>
    <w:link w:val="Ttulo4"/>
    <w:uiPriority w:val="9"/>
    <w:semiHidden/>
    <w:rsid w:val="00CF7ABE"/>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CF7ABE"/>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CF7ABE"/>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CF7ABE"/>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CF7ABE"/>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CF7ABE"/>
    <w:rPr>
      <w:rFonts w:eastAsiaTheme="majorEastAsia" w:cstheme="majorBidi"/>
      <w:color w:val="272727" w:themeColor="text1" w:themeTint="D8"/>
    </w:rPr>
  </w:style>
  <w:style w:type="paragraph" w:styleId="Ttulo">
    <w:name w:val="Title"/>
    <w:basedOn w:val="Normal"/>
    <w:next w:val="Normal"/>
    <w:link w:val="TtuloChar"/>
    <w:uiPriority w:val="10"/>
    <w:qFormat/>
    <w:rsid w:val="00CF7AB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CF7ABE"/>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CF7ABE"/>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CF7ABE"/>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CF7ABE"/>
    <w:pPr>
      <w:spacing w:before="160"/>
      <w:jc w:val="center"/>
    </w:pPr>
    <w:rPr>
      <w:i/>
      <w:iCs/>
      <w:color w:val="404040" w:themeColor="text1" w:themeTint="BF"/>
    </w:rPr>
  </w:style>
  <w:style w:type="character" w:customStyle="1" w:styleId="CitaoChar">
    <w:name w:val="Citação Char"/>
    <w:basedOn w:val="Fontepargpadro"/>
    <w:link w:val="Citao"/>
    <w:uiPriority w:val="29"/>
    <w:rsid w:val="00CF7ABE"/>
    <w:rPr>
      <w:i/>
      <w:iCs/>
      <w:color w:val="404040" w:themeColor="text1" w:themeTint="BF"/>
    </w:rPr>
  </w:style>
  <w:style w:type="paragraph" w:styleId="PargrafodaLista">
    <w:name w:val="List Paragraph"/>
    <w:basedOn w:val="Normal"/>
    <w:uiPriority w:val="34"/>
    <w:qFormat/>
    <w:rsid w:val="00CF7ABE"/>
    <w:pPr>
      <w:ind w:left="720"/>
      <w:contextualSpacing/>
    </w:pPr>
  </w:style>
  <w:style w:type="character" w:styleId="nfaseIntensa">
    <w:name w:val="Intense Emphasis"/>
    <w:basedOn w:val="Fontepargpadro"/>
    <w:uiPriority w:val="21"/>
    <w:qFormat/>
    <w:rsid w:val="00CF7ABE"/>
    <w:rPr>
      <w:i/>
      <w:iCs/>
      <w:color w:val="0F4761" w:themeColor="accent1" w:themeShade="BF"/>
    </w:rPr>
  </w:style>
  <w:style w:type="paragraph" w:styleId="CitaoIntensa">
    <w:name w:val="Intense Quote"/>
    <w:basedOn w:val="Normal"/>
    <w:next w:val="Normal"/>
    <w:link w:val="CitaoIntensaChar"/>
    <w:uiPriority w:val="30"/>
    <w:qFormat/>
    <w:rsid w:val="00CF7AB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CF7ABE"/>
    <w:rPr>
      <w:i/>
      <w:iCs/>
      <w:color w:val="0F4761" w:themeColor="accent1" w:themeShade="BF"/>
    </w:rPr>
  </w:style>
  <w:style w:type="character" w:styleId="RefernciaIntensa">
    <w:name w:val="Intense Reference"/>
    <w:basedOn w:val="Fontepargpadro"/>
    <w:uiPriority w:val="32"/>
    <w:qFormat/>
    <w:rsid w:val="00CF7ABE"/>
    <w:rPr>
      <w:b/>
      <w:bCs/>
      <w:smallCaps/>
      <w:color w:val="0F4761" w:themeColor="accent1" w:themeShade="BF"/>
      <w:spacing w:val="5"/>
    </w:rPr>
  </w:style>
  <w:style w:type="numbering" w:customStyle="1" w:styleId="Semlista1">
    <w:name w:val="Sem lista1"/>
    <w:next w:val="Semlista"/>
    <w:uiPriority w:val="99"/>
    <w:semiHidden/>
    <w:unhideWhenUsed/>
    <w:rsid w:val="00CF7ABE"/>
  </w:style>
  <w:style w:type="paragraph" w:customStyle="1" w:styleId="msonormal0">
    <w:name w:val="msonormal"/>
    <w:basedOn w:val="Normal"/>
    <w:rsid w:val="00CF7ABE"/>
    <w:pPr>
      <w:spacing w:before="100" w:beforeAutospacing="1" w:after="100" w:afterAutospacing="1" w:line="240" w:lineRule="auto"/>
    </w:pPr>
    <w:rPr>
      <w:rFonts w:ascii="Times New Roman" w:eastAsia="Times New Roman" w:hAnsi="Times New Roman" w:cs="Times New Roman"/>
      <w:kern w:val="0"/>
      <w:lang w:eastAsia="pt-BR"/>
      <w14:ligatures w14:val="none"/>
    </w:rPr>
  </w:style>
  <w:style w:type="paragraph" w:styleId="NormalWeb">
    <w:name w:val="Normal (Web)"/>
    <w:basedOn w:val="Normal"/>
    <w:uiPriority w:val="99"/>
    <w:semiHidden/>
    <w:unhideWhenUsed/>
    <w:rsid w:val="00CF7ABE"/>
    <w:pPr>
      <w:spacing w:before="100" w:beforeAutospacing="1" w:after="100" w:afterAutospacing="1" w:line="240" w:lineRule="auto"/>
    </w:pPr>
    <w:rPr>
      <w:rFonts w:ascii="Times New Roman" w:eastAsia="Times New Roman" w:hAnsi="Times New Roman" w:cs="Times New Roman"/>
      <w:kern w:val="0"/>
      <w:lang w:eastAsia="pt-BR"/>
      <w14:ligatures w14:val="none"/>
    </w:rPr>
  </w:style>
  <w:style w:type="character" w:styleId="Forte">
    <w:name w:val="Strong"/>
    <w:basedOn w:val="Fontepargpadro"/>
    <w:uiPriority w:val="22"/>
    <w:qFormat/>
    <w:rsid w:val="00CF7ABE"/>
    <w:rPr>
      <w:b/>
      <w:bCs/>
    </w:rPr>
  </w:style>
  <w:style w:type="numbering" w:customStyle="1" w:styleId="Semlista2">
    <w:name w:val="Sem lista2"/>
    <w:next w:val="Semlista"/>
    <w:uiPriority w:val="99"/>
    <w:semiHidden/>
    <w:unhideWhenUsed/>
    <w:rsid w:val="00CF7ABE"/>
  </w:style>
  <w:style w:type="numbering" w:customStyle="1" w:styleId="Semlista3">
    <w:name w:val="Sem lista3"/>
    <w:next w:val="Semlista"/>
    <w:uiPriority w:val="99"/>
    <w:semiHidden/>
    <w:unhideWhenUsed/>
    <w:rsid w:val="00A3112D"/>
  </w:style>
  <w:style w:type="numbering" w:customStyle="1" w:styleId="Semlista4">
    <w:name w:val="Sem lista4"/>
    <w:next w:val="Semlista"/>
    <w:uiPriority w:val="99"/>
    <w:semiHidden/>
    <w:unhideWhenUsed/>
    <w:rsid w:val="00A3112D"/>
  </w:style>
  <w:style w:type="paragraph" w:styleId="CabealhodoSumrio">
    <w:name w:val="TOC Heading"/>
    <w:basedOn w:val="Ttulo1"/>
    <w:next w:val="Normal"/>
    <w:uiPriority w:val="39"/>
    <w:unhideWhenUsed/>
    <w:qFormat/>
    <w:rsid w:val="005578CF"/>
    <w:pPr>
      <w:spacing w:before="240" w:after="0" w:line="259" w:lineRule="auto"/>
      <w:ind w:left="0"/>
      <w:outlineLvl w:val="9"/>
    </w:pPr>
    <w:rPr>
      <w:rFonts w:asciiTheme="majorHAnsi" w:hAnsiTheme="majorHAnsi"/>
      <w:b w:val="0"/>
      <w:color w:val="0F4761" w:themeColor="accent1" w:themeShade="BF"/>
      <w:kern w:val="0"/>
      <w:sz w:val="32"/>
      <w:szCs w:val="32"/>
      <w:lang w:eastAsia="pt-BR"/>
      <w14:ligatures w14:val="none"/>
    </w:rPr>
  </w:style>
  <w:style w:type="paragraph" w:styleId="Sumrio1">
    <w:name w:val="toc 1"/>
    <w:basedOn w:val="Normal"/>
    <w:next w:val="Normal"/>
    <w:autoRedefine/>
    <w:uiPriority w:val="39"/>
    <w:unhideWhenUsed/>
    <w:rsid w:val="005578CF"/>
    <w:pPr>
      <w:spacing w:after="100"/>
    </w:pPr>
  </w:style>
  <w:style w:type="paragraph" w:styleId="Sumrio2">
    <w:name w:val="toc 2"/>
    <w:basedOn w:val="Normal"/>
    <w:next w:val="Normal"/>
    <w:autoRedefine/>
    <w:uiPriority w:val="39"/>
    <w:unhideWhenUsed/>
    <w:rsid w:val="005578CF"/>
    <w:pPr>
      <w:spacing w:after="100"/>
      <w:ind w:left="240"/>
    </w:pPr>
  </w:style>
  <w:style w:type="paragraph" w:styleId="Sumrio3">
    <w:name w:val="toc 3"/>
    <w:basedOn w:val="Normal"/>
    <w:next w:val="Normal"/>
    <w:autoRedefine/>
    <w:uiPriority w:val="39"/>
    <w:unhideWhenUsed/>
    <w:rsid w:val="005578CF"/>
    <w:pPr>
      <w:spacing w:after="100"/>
      <w:ind w:left="480"/>
    </w:pPr>
  </w:style>
  <w:style w:type="paragraph" w:styleId="Sumrio4">
    <w:name w:val="toc 4"/>
    <w:basedOn w:val="Normal"/>
    <w:next w:val="Normal"/>
    <w:autoRedefine/>
    <w:uiPriority w:val="39"/>
    <w:unhideWhenUsed/>
    <w:rsid w:val="005578CF"/>
    <w:pPr>
      <w:spacing w:after="100"/>
      <w:ind w:left="720"/>
    </w:pPr>
    <w:rPr>
      <w:rFonts w:eastAsiaTheme="minorEastAsia"/>
      <w:lang w:eastAsia="pt-BR"/>
    </w:rPr>
  </w:style>
  <w:style w:type="paragraph" w:styleId="Sumrio5">
    <w:name w:val="toc 5"/>
    <w:basedOn w:val="Normal"/>
    <w:next w:val="Normal"/>
    <w:autoRedefine/>
    <w:uiPriority w:val="39"/>
    <w:unhideWhenUsed/>
    <w:rsid w:val="005578CF"/>
    <w:pPr>
      <w:spacing w:after="100"/>
      <w:ind w:left="960"/>
    </w:pPr>
    <w:rPr>
      <w:rFonts w:eastAsiaTheme="minorEastAsia"/>
      <w:lang w:eastAsia="pt-BR"/>
    </w:rPr>
  </w:style>
  <w:style w:type="paragraph" w:styleId="Sumrio6">
    <w:name w:val="toc 6"/>
    <w:basedOn w:val="Normal"/>
    <w:next w:val="Normal"/>
    <w:autoRedefine/>
    <w:uiPriority w:val="39"/>
    <w:unhideWhenUsed/>
    <w:rsid w:val="005578CF"/>
    <w:pPr>
      <w:spacing w:after="100"/>
      <w:ind w:left="1200"/>
    </w:pPr>
    <w:rPr>
      <w:rFonts w:eastAsiaTheme="minorEastAsia"/>
      <w:lang w:eastAsia="pt-BR"/>
    </w:rPr>
  </w:style>
  <w:style w:type="paragraph" w:styleId="Sumrio7">
    <w:name w:val="toc 7"/>
    <w:basedOn w:val="Normal"/>
    <w:next w:val="Normal"/>
    <w:autoRedefine/>
    <w:uiPriority w:val="39"/>
    <w:unhideWhenUsed/>
    <w:rsid w:val="005578CF"/>
    <w:pPr>
      <w:spacing w:after="100"/>
      <w:ind w:left="1440"/>
    </w:pPr>
    <w:rPr>
      <w:rFonts w:eastAsiaTheme="minorEastAsia"/>
      <w:lang w:eastAsia="pt-BR"/>
    </w:rPr>
  </w:style>
  <w:style w:type="paragraph" w:styleId="Sumrio8">
    <w:name w:val="toc 8"/>
    <w:basedOn w:val="Normal"/>
    <w:next w:val="Normal"/>
    <w:autoRedefine/>
    <w:uiPriority w:val="39"/>
    <w:unhideWhenUsed/>
    <w:rsid w:val="005578CF"/>
    <w:pPr>
      <w:spacing w:after="100"/>
      <w:ind w:left="1680"/>
    </w:pPr>
    <w:rPr>
      <w:rFonts w:eastAsiaTheme="minorEastAsia"/>
      <w:lang w:eastAsia="pt-BR"/>
    </w:rPr>
  </w:style>
  <w:style w:type="paragraph" w:styleId="Sumrio9">
    <w:name w:val="toc 9"/>
    <w:basedOn w:val="Normal"/>
    <w:next w:val="Normal"/>
    <w:autoRedefine/>
    <w:uiPriority w:val="39"/>
    <w:unhideWhenUsed/>
    <w:rsid w:val="005578CF"/>
    <w:pPr>
      <w:spacing w:after="100"/>
      <w:ind w:left="1920"/>
    </w:pPr>
    <w:rPr>
      <w:rFonts w:eastAsiaTheme="minorEastAsia"/>
      <w:lang w:eastAsia="pt-BR"/>
    </w:rPr>
  </w:style>
  <w:style w:type="character" w:styleId="Hyperlink">
    <w:name w:val="Hyperlink"/>
    <w:basedOn w:val="Fontepargpadro"/>
    <w:uiPriority w:val="99"/>
    <w:unhideWhenUsed/>
    <w:rsid w:val="005578CF"/>
    <w:rPr>
      <w:color w:val="467886" w:themeColor="hyperlink"/>
      <w:u w:val="single"/>
    </w:rPr>
  </w:style>
  <w:style w:type="character" w:styleId="MenoPendente">
    <w:name w:val="Unresolved Mention"/>
    <w:basedOn w:val="Fontepargpadro"/>
    <w:uiPriority w:val="99"/>
    <w:semiHidden/>
    <w:unhideWhenUsed/>
    <w:rsid w:val="005578CF"/>
    <w:rPr>
      <w:color w:val="605E5C"/>
      <w:shd w:val="clear" w:color="auto" w:fill="E1DFDD"/>
    </w:rPr>
  </w:style>
  <w:style w:type="paragraph" w:styleId="Cabealho">
    <w:name w:val="header"/>
    <w:basedOn w:val="Normal"/>
    <w:link w:val="CabealhoChar"/>
    <w:uiPriority w:val="99"/>
    <w:unhideWhenUsed/>
    <w:rsid w:val="002D5E24"/>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2D5E24"/>
    <w:rPr>
      <w:rFonts w:ascii="Arial" w:hAnsi="Arial"/>
    </w:rPr>
  </w:style>
  <w:style w:type="paragraph" w:styleId="Rodap">
    <w:name w:val="footer"/>
    <w:basedOn w:val="Normal"/>
    <w:link w:val="RodapChar"/>
    <w:uiPriority w:val="99"/>
    <w:unhideWhenUsed/>
    <w:rsid w:val="002D5E24"/>
    <w:pPr>
      <w:tabs>
        <w:tab w:val="center" w:pos="4252"/>
        <w:tab w:val="right" w:pos="8504"/>
      </w:tabs>
      <w:spacing w:after="0" w:line="240" w:lineRule="auto"/>
    </w:pPr>
  </w:style>
  <w:style w:type="character" w:customStyle="1" w:styleId="RodapChar">
    <w:name w:val="Rodapé Char"/>
    <w:basedOn w:val="Fontepargpadro"/>
    <w:link w:val="Rodap"/>
    <w:uiPriority w:val="99"/>
    <w:rsid w:val="002D5E24"/>
    <w:rPr>
      <w:rFonts w:ascii="Arial" w:hAnsi="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22CD54-205F-4D3B-8CCC-437800945C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233</TotalTime>
  <Pages>205</Pages>
  <Words>42844</Words>
  <Characters>231358</Characters>
  <Application>Microsoft Office Word</Application>
  <DocSecurity>0</DocSecurity>
  <Lines>1927</Lines>
  <Paragraphs>547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273655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Luciano Júnior</dc:creator>
  <cp:keywords/>
  <dc:description/>
  <cp:lastModifiedBy>Luciano Júnior</cp:lastModifiedBy>
  <cp:revision>34</cp:revision>
  <cp:lastPrinted>2026-05-21T00:27:00Z</cp:lastPrinted>
  <dcterms:created xsi:type="dcterms:W3CDTF">2026-05-20T18:19:00Z</dcterms:created>
  <dcterms:modified xsi:type="dcterms:W3CDTF">2026-05-21T15:51:00Z</dcterms:modified>
</cp:coreProperties>
</file>